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48EA348">
      <w:pPr>
        <w:spacing w:before="120" w:after="120" w:line="480" w:lineRule="auto"/>
        <w:ind w:firstLine="883" w:firstLineChars="200"/>
        <w:jc w:val="center"/>
        <w:outlineLvl w:val="0"/>
        <w:rPr>
          <w:rFonts w:ascii="仿宋_GB2312" w:hAnsi="Arial"/>
          <w:b/>
          <w:sz w:val="44"/>
          <w:szCs w:val="44"/>
        </w:rPr>
      </w:pPr>
      <w:bookmarkStart w:id="0" w:name="_GoBack"/>
      <w:bookmarkEnd w:id="0"/>
    </w:p>
    <w:p w14:paraId="62C77506">
      <w:pPr>
        <w:jc w:val="center"/>
        <w:rPr>
          <w:rFonts w:ascii="方正大标宋简体" w:hAnsi="华文中宋" w:eastAsia="方正大标宋简体" w:cs="宋体"/>
          <w:kern w:val="0"/>
          <w:sz w:val="52"/>
          <w:szCs w:val="52"/>
        </w:rPr>
      </w:pPr>
      <w:r>
        <w:rPr>
          <w:rFonts w:hint="eastAsia" w:ascii="方正大标宋简体" w:hAnsi="华文中宋" w:eastAsia="方正大标宋简体" w:cs="宋体"/>
          <w:kern w:val="0"/>
          <w:sz w:val="52"/>
          <w:szCs w:val="52"/>
        </w:rPr>
        <w:t>和田地区于田县乡村振兴衔接资金项目支出绩效自评报告</w:t>
      </w:r>
    </w:p>
    <w:p w14:paraId="2D4528A4">
      <w:pPr>
        <w:spacing w:line="700" w:lineRule="exact"/>
        <w:ind w:firstLine="1040" w:firstLineChars="200"/>
        <w:jc w:val="center"/>
        <w:rPr>
          <w:rFonts w:ascii="方正大标宋简体" w:hAnsi="华文中宋" w:eastAsia="方正大标宋简体" w:cs="宋体"/>
          <w:kern w:val="0"/>
          <w:sz w:val="52"/>
          <w:szCs w:val="52"/>
        </w:rPr>
      </w:pPr>
    </w:p>
    <w:p w14:paraId="3C9B85C2">
      <w:pPr>
        <w:spacing w:line="540" w:lineRule="exact"/>
        <w:ind w:firstLine="720" w:firstLineChars="200"/>
        <w:jc w:val="center"/>
        <w:rPr>
          <w:rFonts w:hint="eastAsia" w:hAnsi="宋体" w:cs="宋体"/>
          <w:kern w:val="0"/>
          <w:sz w:val="36"/>
          <w:szCs w:val="36"/>
        </w:rPr>
      </w:pPr>
      <w:r>
        <w:rPr>
          <w:rFonts w:hint="eastAsia" w:hAnsi="宋体" w:cs="宋体"/>
          <w:kern w:val="0"/>
          <w:sz w:val="36"/>
          <w:szCs w:val="36"/>
        </w:rPr>
        <w:t>（202</w:t>
      </w:r>
      <w:r>
        <w:rPr>
          <w:rFonts w:hint="eastAsia" w:hAnsi="宋体" w:cs="宋体"/>
          <w:kern w:val="0"/>
          <w:sz w:val="36"/>
          <w:szCs w:val="36"/>
          <w:lang w:val="en-US" w:eastAsia="zh-CN"/>
        </w:rPr>
        <w:t>4</w:t>
      </w:r>
      <w:r>
        <w:rPr>
          <w:rFonts w:hint="eastAsia" w:hAnsi="宋体" w:cs="宋体"/>
          <w:kern w:val="0"/>
          <w:sz w:val="36"/>
          <w:szCs w:val="36"/>
        </w:rPr>
        <w:t>年度）</w:t>
      </w:r>
    </w:p>
    <w:p w14:paraId="5F8C8253">
      <w:pPr>
        <w:spacing w:line="540" w:lineRule="exact"/>
        <w:ind w:firstLine="600" w:firstLineChars="200"/>
        <w:jc w:val="center"/>
        <w:rPr>
          <w:rFonts w:hAnsi="宋体" w:cs="宋体"/>
          <w:kern w:val="0"/>
          <w:sz w:val="30"/>
          <w:szCs w:val="30"/>
        </w:rPr>
      </w:pPr>
    </w:p>
    <w:p w14:paraId="6E07B6F4">
      <w:pPr>
        <w:spacing w:line="540" w:lineRule="exact"/>
        <w:ind w:firstLine="600" w:firstLineChars="200"/>
        <w:jc w:val="center"/>
        <w:rPr>
          <w:rFonts w:hAnsi="宋体" w:cs="宋体"/>
          <w:kern w:val="0"/>
          <w:sz w:val="30"/>
          <w:szCs w:val="30"/>
        </w:rPr>
      </w:pPr>
    </w:p>
    <w:p w14:paraId="6FFF7EBD">
      <w:pPr>
        <w:spacing w:line="540" w:lineRule="exact"/>
        <w:ind w:firstLine="600" w:firstLineChars="200"/>
        <w:jc w:val="center"/>
        <w:rPr>
          <w:rFonts w:hAnsi="宋体" w:cs="宋体"/>
          <w:kern w:val="0"/>
          <w:sz w:val="30"/>
          <w:szCs w:val="30"/>
        </w:rPr>
      </w:pPr>
    </w:p>
    <w:p w14:paraId="34B0915D">
      <w:pPr>
        <w:spacing w:line="540" w:lineRule="exact"/>
        <w:ind w:firstLine="600" w:firstLineChars="200"/>
        <w:jc w:val="center"/>
        <w:rPr>
          <w:rFonts w:hAnsi="宋体" w:cs="宋体"/>
          <w:kern w:val="0"/>
          <w:sz w:val="30"/>
          <w:szCs w:val="30"/>
        </w:rPr>
      </w:pPr>
    </w:p>
    <w:p w14:paraId="51FB0AF8">
      <w:pPr>
        <w:spacing w:line="540" w:lineRule="exact"/>
        <w:ind w:firstLine="600" w:firstLineChars="200"/>
        <w:rPr>
          <w:rFonts w:hAnsi="宋体" w:cs="宋体"/>
          <w:kern w:val="0"/>
          <w:sz w:val="30"/>
          <w:szCs w:val="30"/>
        </w:rPr>
      </w:pPr>
    </w:p>
    <w:p w14:paraId="69351E1C">
      <w:pPr>
        <w:spacing w:line="540" w:lineRule="exact"/>
        <w:ind w:firstLine="600" w:firstLineChars="200"/>
        <w:rPr>
          <w:rFonts w:hAnsi="宋体" w:cs="宋体"/>
          <w:kern w:val="0"/>
          <w:sz w:val="30"/>
          <w:szCs w:val="30"/>
        </w:rPr>
      </w:pPr>
    </w:p>
    <w:p w14:paraId="00745AE2">
      <w:pPr>
        <w:spacing w:line="360" w:lineRule="auto"/>
        <w:ind w:left="640" w:leftChars="200" w:firstLine="640" w:firstLineChars="200"/>
        <w:rPr>
          <w:rFonts w:ascii="仿宋" w:hAnsi="仿宋" w:eastAsia="仿宋" w:cs="仿宋"/>
          <w:szCs w:val="32"/>
        </w:rPr>
      </w:pPr>
    </w:p>
    <w:p w14:paraId="0A39A0AD">
      <w:pPr>
        <w:spacing w:line="360" w:lineRule="auto"/>
        <w:ind w:left="640" w:leftChars="200" w:firstLine="640" w:firstLineChars="200"/>
        <w:rPr>
          <w:rFonts w:ascii="仿宋" w:hAnsi="仿宋" w:eastAsia="仿宋" w:cs="仿宋"/>
          <w:szCs w:val="32"/>
        </w:rPr>
      </w:pPr>
    </w:p>
    <w:p w14:paraId="49A72D0A">
      <w:pPr>
        <w:spacing w:line="560" w:lineRule="exact"/>
        <w:ind w:left="640" w:leftChars="200" w:firstLine="640" w:firstLineChars="200"/>
        <w:rPr>
          <w:rFonts w:ascii="仿宋" w:hAnsi="仿宋" w:eastAsia="仿宋" w:cs="仿宋"/>
          <w:szCs w:val="32"/>
        </w:rPr>
      </w:pPr>
    </w:p>
    <w:p w14:paraId="7A8725D4">
      <w:pPr>
        <w:spacing w:line="560" w:lineRule="exact"/>
        <w:ind w:left="2880" w:leftChars="200" w:hanging="2240" w:hangingChars="700"/>
        <w:rPr>
          <w:rFonts w:hint="eastAsia" w:ascii="仿宋" w:hAnsi="仿宋" w:eastAsia="仿宋" w:cs="仿宋"/>
          <w:szCs w:val="32"/>
          <w:lang w:eastAsia="zh-CN"/>
        </w:rPr>
      </w:pPr>
      <w:r>
        <w:rPr>
          <w:rFonts w:hint="eastAsia" w:ascii="仿宋" w:hAnsi="仿宋" w:eastAsia="仿宋" w:cs="仿宋"/>
          <w:szCs w:val="32"/>
        </w:rPr>
        <w:t>项  目  名  称:</w:t>
      </w:r>
      <w:r>
        <w:rPr>
          <w:rFonts w:hint="eastAsia" w:ascii="仿宋" w:hAnsi="仿宋" w:eastAsia="仿宋" w:cs="仿宋"/>
          <w:szCs w:val="32"/>
          <w:lang w:eastAsia="zh-CN"/>
        </w:rPr>
        <w:t>于田县工业园区新家园安置区壮大村集体经济（冷库）建设项目</w:t>
      </w:r>
    </w:p>
    <w:p w14:paraId="1F0F4F31">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实施单位(公章):</w:t>
      </w:r>
      <w:r>
        <w:rPr>
          <w:rFonts w:hint="eastAsia" w:ascii="仿宋" w:hAnsi="仿宋" w:eastAsia="仿宋" w:cs="仿宋"/>
          <w:szCs w:val="32"/>
          <w:lang w:val="en-US" w:eastAsia="zh-CN"/>
        </w:rPr>
        <w:t>于田县农业农村局</w:t>
      </w:r>
    </w:p>
    <w:p w14:paraId="168DE2C4">
      <w:pPr>
        <w:spacing w:line="560" w:lineRule="exact"/>
        <w:ind w:firstLine="640" w:firstLineChars="200"/>
        <w:rPr>
          <w:rFonts w:hint="default" w:ascii="仿宋" w:hAnsi="仿宋" w:eastAsia="仿宋" w:cs="仿宋"/>
          <w:szCs w:val="32"/>
          <w:lang w:val="en-US" w:eastAsia="zh-CN"/>
        </w:rPr>
      </w:pPr>
      <w:r>
        <w:rPr>
          <w:rFonts w:hint="eastAsia" w:ascii="仿宋" w:hAnsi="仿宋" w:eastAsia="仿宋" w:cs="仿宋"/>
          <w:szCs w:val="32"/>
        </w:rPr>
        <w:t>主管部门(公章):</w:t>
      </w:r>
      <w:r>
        <w:rPr>
          <w:rFonts w:hint="eastAsia" w:ascii="仿宋" w:hAnsi="仿宋" w:eastAsia="仿宋" w:cs="仿宋"/>
          <w:szCs w:val="32"/>
          <w:lang w:val="en-US" w:eastAsia="zh-CN"/>
        </w:rPr>
        <w:t>于田县发展和改革委员会</w:t>
      </w:r>
    </w:p>
    <w:p w14:paraId="2B81B18A">
      <w:pPr>
        <w:spacing w:line="560" w:lineRule="exact"/>
        <w:ind w:firstLine="640" w:firstLineChars="200"/>
        <w:rPr>
          <w:rFonts w:hint="eastAsia" w:ascii="仿宋" w:hAnsi="仿宋" w:eastAsia="仿宋" w:cs="仿宋"/>
          <w:szCs w:val="32"/>
          <w:lang w:val="en-US" w:eastAsia="zh-CN"/>
        </w:rPr>
      </w:pPr>
      <w:r>
        <w:rPr>
          <w:rFonts w:hint="eastAsia" w:ascii="仿宋" w:hAnsi="仿宋" w:eastAsia="仿宋" w:cs="仿宋"/>
          <w:szCs w:val="32"/>
        </w:rPr>
        <w:t>项目负责人(签章):</w:t>
      </w:r>
      <w:r>
        <w:rPr>
          <w:rFonts w:hint="eastAsia" w:ascii="仿宋" w:hAnsi="仿宋" w:eastAsia="仿宋" w:cs="仿宋"/>
          <w:szCs w:val="32"/>
          <w:lang w:val="en-US" w:eastAsia="zh-CN"/>
        </w:rPr>
        <w:t>阿布地克热木</w:t>
      </w:r>
    </w:p>
    <w:p w14:paraId="619B7734">
      <w:pPr>
        <w:spacing w:line="560" w:lineRule="exact"/>
        <w:ind w:firstLine="640" w:firstLineChars="200"/>
        <w:rPr>
          <w:rFonts w:hint="eastAsia" w:ascii="仿宋" w:hAnsi="仿宋" w:eastAsia="仿宋" w:cs="仿宋"/>
          <w:szCs w:val="32"/>
        </w:rPr>
      </w:pPr>
      <w:r>
        <w:rPr>
          <w:rFonts w:hint="eastAsia" w:ascii="仿宋" w:hAnsi="仿宋" w:eastAsia="仿宋" w:cs="仿宋"/>
          <w:szCs w:val="32"/>
        </w:rPr>
        <w:t>填  报  时  间:202</w:t>
      </w:r>
      <w:r>
        <w:rPr>
          <w:rFonts w:hint="eastAsia" w:ascii="仿宋" w:hAnsi="仿宋" w:eastAsia="仿宋" w:cs="仿宋"/>
          <w:szCs w:val="32"/>
          <w:lang w:val="en-US" w:eastAsia="zh-CN"/>
        </w:rPr>
        <w:t>5</w:t>
      </w:r>
      <w:r>
        <w:rPr>
          <w:rFonts w:hint="eastAsia" w:ascii="仿宋" w:hAnsi="仿宋" w:eastAsia="仿宋" w:cs="仿宋"/>
          <w:szCs w:val="32"/>
        </w:rPr>
        <w:t>年</w:t>
      </w:r>
      <w:r>
        <w:rPr>
          <w:rFonts w:hint="eastAsia" w:ascii="仿宋" w:hAnsi="仿宋" w:eastAsia="仿宋" w:cs="仿宋"/>
          <w:szCs w:val="32"/>
          <w:lang w:val="en-US" w:eastAsia="zh-CN"/>
        </w:rPr>
        <w:t>2</w:t>
      </w:r>
      <w:r>
        <w:rPr>
          <w:rFonts w:hint="eastAsia" w:ascii="仿宋" w:hAnsi="仿宋" w:eastAsia="仿宋" w:cs="仿宋"/>
          <w:szCs w:val="32"/>
        </w:rPr>
        <w:t>月</w:t>
      </w:r>
      <w:r>
        <w:rPr>
          <w:rFonts w:hint="eastAsia" w:ascii="仿宋" w:hAnsi="仿宋" w:eastAsia="仿宋" w:cs="仿宋"/>
          <w:szCs w:val="32"/>
          <w:lang w:val="en-US" w:eastAsia="zh-CN"/>
        </w:rPr>
        <w:t>18</w:t>
      </w:r>
      <w:r>
        <w:rPr>
          <w:rFonts w:hint="eastAsia" w:ascii="仿宋" w:hAnsi="仿宋" w:eastAsia="仿宋" w:cs="仿宋"/>
          <w:szCs w:val="32"/>
        </w:rPr>
        <w:t>日</w:t>
      </w:r>
    </w:p>
    <w:p w14:paraId="6AA3BC44">
      <w:pPr>
        <w:spacing w:line="360" w:lineRule="auto"/>
        <w:rPr>
          <w:rStyle w:val="20"/>
          <w:rFonts w:ascii="黑体" w:hAnsi="黑体" w:eastAsia="黑体" w:cs="Times New Roman"/>
          <w:spacing w:val="-4"/>
          <w:szCs w:val="32"/>
        </w:rPr>
      </w:pPr>
    </w:p>
    <w:p w14:paraId="00A00ECA">
      <w:pPr>
        <w:pStyle w:val="11"/>
      </w:pPr>
    </w:p>
    <w:p w14:paraId="797F1CD1">
      <w:pPr>
        <w:spacing w:line="360" w:lineRule="auto"/>
        <w:ind w:firstLine="627" w:firstLineChars="200"/>
        <w:rPr>
          <w:rStyle w:val="20"/>
          <w:rFonts w:ascii="黑体" w:hAnsi="黑体" w:eastAsia="黑体" w:cs="Times New Roman"/>
          <w:spacing w:val="-4"/>
          <w:szCs w:val="32"/>
        </w:rPr>
      </w:pPr>
      <w:r>
        <w:rPr>
          <w:rStyle w:val="20"/>
          <w:rFonts w:hint="eastAsia" w:ascii="黑体" w:hAnsi="黑体" w:eastAsia="黑体" w:cs="Times New Roman"/>
          <w:spacing w:val="-4"/>
          <w:szCs w:val="32"/>
        </w:rPr>
        <w:t>一、绩效目标分解下达情况</w:t>
      </w:r>
    </w:p>
    <w:p w14:paraId="51CDF4D5">
      <w:pPr>
        <w:spacing w:line="360" w:lineRule="auto"/>
        <w:ind w:firstLine="546" w:firstLineChars="200"/>
      </w:pPr>
      <w:r>
        <w:rPr>
          <w:rFonts w:hint="eastAsia" w:ascii="楷体_GB2312" w:hAnsi="楷体" w:cs="Times New Roman"/>
          <w:b/>
          <w:spacing w:val="-4"/>
          <w:sz w:val="28"/>
          <w:szCs w:val="32"/>
        </w:rPr>
        <w:t>（一）财政专项乡村振兴衔接资金下达预算及项目情况</w:t>
      </w:r>
    </w:p>
    <w:p w14:paraId="72D6BAE3">
      <w:pPr>
        <w:pStyle w:val="53"/>
        <w:ind w:left="3" w:right="3" w:firstLine="562"/>
        <w:rPr>
          <w:rFonts w:ascii="仿宋_GB2312"/>
          <w:b/>
          <w:szCs w:val="32"/>
        </w:rPr>
      </w:pPr>
      <w:r>
        <w:rPr>
          <w:rFonts w:hint="eastAsia" w:ascii="仿宋_GB2312"/>
          <w:b/>
          <w:szCs w:val="32"/>
        </w:rPr>
        <w:t>1.下达预算情况</w:t>
      </w:r>
    </w:p>
    <w:p w14:paraId="70D6D142">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根据于田县发展和改革委员会下发的《关于对于于田县工业园区新家园安置区壮大村集体经济（冷库）建设项目实施方案的批复》（于发改项目〔2024〕24号）文批复立项实施，于田县工业园区新家园安置区壮大村集体经济（冷库）建设项目预算安排总额为980万元，其中：衔接资金980万元。预算资金到位率为100.00%。</w:t>
      </w:r>
    </w:p>
    <w:p w14:paraId="627CE982">
      <w:pPr>
        <w:pStyle w:val="53"/>
        <w:ind w:left="3" w:right="3" w:firstLine="562"/>
        <w:rPr>
          <w:rFonts w:hint="eastAsia" w:ascii="仿宋_GB2312" w:hAnsi="Times New Roman" w:cs="Times New Roman"/>
          <w:b/>
          <w:szCs w:val="32"/>
        </w:rPr>
      </w:pPr>
      <w:r>
        <w:rPr>
          <w:rFonts w:hint="eastAsia" w:ascii="仿宋_GB2312" w:hAnsi="Times New Roman" w:cs="Times New Roman"/>
          <w:b/>
          <w:szCs w:val="32"/>
        </w:rPr>
        <w:t>2.项目实施背景</w:t>
      </w:r>
    </w:p>
    <w:p w14:paraId="0489D962">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2020年，《中共中央国务院关于抓好“三农”领域重点工作确保如期实现全面小康的意见》已经明确强调，启动仓储保鲜冷链物流设施建设工程。国家发改委、交通运输部发布《关于进一步降低物流成本的实施意见》，提出 6 个方面共 24 条政策措施，明确提出要“加大减税降费力度，助力市场主体纾困”、“优化土地要素供给，保障物流用地需求”、“推进物流基础设施网络建设，构建‘通道+枢纽+网络’的物流运作体系”等举措，其中特别提出要“针对民生短板，布局建设一批国家骨干冷链物流基地，降低冷链物流成本。”这是从国家层面，支持家庭农场、农民合作社、供销合作社、邮政快递企业、产业化龙头企业建设产地分拣包装、冷藏保鲜、仓储运输、初加工等基础设施。</w:t>
      </w:r>
    </w:p>
    <w:p w14:paraId="703805D5">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十四五”冷链物流发展规划》中要求，冷链物流基础设施更加完善。围绕服务产地集散、优化冷链产品销地网络，建设一批产销冷链集配中心；聚焦产地“最先一公里”和城市“最后一公里”，补齐两端冷链物流设施短板，基本建成以国家骨干冷链物流基地为核心、产销冷链集配中心和两端冷链物流设施为支撑的三级冷链物流节点设施网络，支撑冷链物流深度融入“通道+枢纽+网络”现代物流运行体系，与国家物流网络实现协同建设、融合发展。提升监管水平，“政府监管、企业自管、行业自律、社会监督”的监管机制基本建立，贯穿冷链物流全流程的监测监管体系初步形成。冷藏车、冷藏箱、重点冷链产品全程监控基本实现全覆盖。冷链追溯体系进一步完善，广覆盖、高效率、低成本、安全可靠的冷链物流网络基本形成。</w:t>
      </w:r>
    </w:p>
    <w:p w14:paraId="11F95F6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由于上述原因开展于田县工业园区新家园安置区壮大村集体经济（冷库）建设项目，本项目由于田县发展和改革委员会主管，于田县农业农村局负责实施，项目施工期为2024年4月-2024年12月。</w:t>
      </w:r>
    </w:p>
    <w:p w14:paraId="29D45B27">
      <w:pPr>
        <w:spacing w:line="560" w:lineRule="exact"/>
        <w:ind w:firstLine="560" w:firstLineChars="200"/>
        <w:rPr>
          <w:rFonts w:hint="default"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工程实施后，有力促进于田县经济持续、快速、协调发展，有利于带动经济贸易业的发展，刺激经济增长。将冷链、物流、仓储企业进行集中管理，利于于田县县城内自然环境治理，有助于提升和带动周边居民生活环境质量；有利于贯彻落实“一带一路”倡议；有利于“社会稳定和长治久安”总目标实现；有利于创造生态宜居生活环境；有利于促进城市全面健康有序发展。</w:t>
      </w:r>
    </w:p>
    <w:p w14:paraId="32D73491">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3</w:t>
      </w:r>
      <w:r>
        <w:rPr>
          <w:rFonts w:hint="eastAsia" w:ascii="仿宋_GB2312" w:hAnsi="Times New Roman" w:eastAsia="仿宋_GB2312" w:cs="Times New Roman"/>
          <w:b/>
          <w:bCs/>
          <w:color w:val="000000"/>
          <w:sz w:val="28"/>
          <w:szCs w:val="32"/>
        </w:rPr>
        <w:t>、项目实施依据及范围</w:t>
      </w:r>
    </w:p>
    <w:p w14:paraId="27C03DF5">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于田县工业园区新家园安置区壮大村集体经济（冷库）建设项目，根据于田县发展和改革委员会下发的《关于对于于田县工业园区新家园安置区壮大村集体经济（冷库）建设项目实施方案的批复》（于发改项目〔2024〕24号）及该项目初步设计报告，实施范围涉及1个行政村即奥依托格拉克乡新家园委员会。 建设内容：建设用地面积8040平方米；新建冷库3000平方米，其中保鲜库1400平方米，冷藏库1600平方米，地上1层，建筑高度为6.80米（室外地坪至女儿墙顶、室内外高差0.30米），为单层冷库，火灾危险性分类为丙二类，制冷机房火灾危险性为丙类，制冷剂为环保型507制冷剂。门式钢架结构，独立基础，结构安全等级为二级。抗震设防烈度为7度；设计基本地震加速度为0.10g。</w:t>
      </w:r>
    </w:p>
    <w:p w14:paraId="3D461E76">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室外工程为混凝土路面及场地硬化面积3550平方米，路沿石（预制混凝土成品立道牙）529米。室外给水及消防管网：给水管材质为聚乙烯（PE）管，管径DN100,消防给水管材质为钢丝网骨架PE管，管径DN100，给水及消防管共156米，室外排水管网：材质HDPE双壁波纹管，管径De300,共73米；电力外网：电缆型号WDZN-YJY-0.6/1-5*10，长度为606米。及其他附属设施建设、相关设备采购。</w:t>
      </w:r>
    </w:p>
    <w:p w14:paraId="5B8873A6">
      <w:pPr>
        <w:spacing w:line="560" w:lineRule="exact"/>
        <w:ind w:firstLine="562" w:firstLineChars="200"/>
        <w:rPr>
          <w:rFonts w:ascii="仿宋_GB2312" w:hAnsi="Times New Roman" w:eastAsia="仿宋_GB2312" w:cs="Times New Roman"/>
          <w:b/>
          <w:bCs/>
          <w:color w:val="000000"/>
          <w:sz w:val="28"/>
          <w:szCs w:val="32"/>
        </w:rPr>
      </w:pPr>
      <w:r>
        <w:rPr>
          <w:rFonts w:ascii="仿宋_GB2312" w:hAnsi="Times New Roman" w:eastAsia="仿宋_GB2312" w:cs="Times New Roman"/>
          <w:b/>
          <w:bCs/>
          <w:color w:val="000000"/>
          <w:sz w:val="28"/>
          <w:szCs w:val="32"/>
        </w:rPr>
        <w:t>4</w:t>
      </w:r>
      <w:r>
        <w:rPr>
          <w:rFonts w:hint="eastAsia" w:ascii="仿宋_GB2312" w:hAnsi="Times New Roman" w:eastAsia="仿宋_GB2312" w:cs="Times New Roman"/>
          <w:b/>
          <w:bCs/>
          <w:color w:val="000000"/>
          <w:sz w:val="28"/>
          <w:szCs w:val="32"/>
        </w:rPr>
        <w:t>、项目基本性质及类别</w:t>
      </w:r>
    </w:p>
    <w:p w14:paraId="2564273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性质为设施农业工程建设项目，属于乡村振兴衔接资金项目。</w:t>
      </w:r>
    </w:p>
    <w:p w14:paraId="75F59CE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（二）财政专项乡村振兴衔接资金项目绩效目标设定情况</w:t>
      </w:r>
    </w:p>
    <w:p w14:paraId="307D60D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1.项目绩效总体目标</w:t>
      </w:r>
    </w:p>
    <w:p w14:paraId="1E50AACA">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总投资</w:t>
      </w:r>
      <w:r>
        <w:rPr>
          <w:rFonts w:hint="eastAsia" w:ascii="仿宋_GB2312" w:cs="Times New Roman"/>
          <w:color w:val="000000"/>
          <w:kern w:val="2"/>
          <w:sz w:val="28"/>
          <w:szCs w:val="22"/>
          <w:lang w:val="en-US" w:eastAsia="zh-CN" w:bidi="ar-SA"/>
        </w:rPr>
        <w:t>980</w:t>
      </w:r>
      <w:r>
        <w:rPr>
          <w:rFonts w:hint="eastAsia" w:ascii="仿宋_GB2312" w:hAnsi="Times New Roman" w:eastAsia="仿宋_GB2312" w:cs="Times New Roman"/>
          <w:color w:val="000000"/>
          <w:kern w:val="2"/>
          <w:sz w:val="28"/>
          <w:szCs w:val="22"/>
          <w:lang w:val="en-US" w:eastAsia="zh-CN" w:bidi="ar-SA"/>
        </w:rPr>
        <w:t>万元，全部申请以乡村振兴衔接资金。主要内容为：建设用地面积8040平方米；新建冷库3000平方米，其中保鲜库1400平方米，冷藏库1600平方米，地上1层，建筑高度为6.80米（室外地坪至女儿墙顶、室内外高差0.30米），为单层冷库，火灾危险性分类为丙二类，制冷机房火灾危险性为丙类，制冷剂为环保型507制冷剂。门式钢架结构，独立基础，结构安全等级为二级。抗震设防烈度为7度；设计基本地震加速度为0.10g。</w:t>
      </w:r>
    </w:p>
    <w:p w14:paraId="77720E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室外工程为混凝土路面及场地硬化面积3550平方米，路沿石（预制混凝土成品立道牙）529米。室外给水及消防管网：给水管材质为聚乙烯（PE）管，管径DN100,消防给水管材质为钢丝网骨架PE管，管径DN100，给水及消防管共156米，室外排水管网：材质HDPE双壁波纹管，管径De300,共73米；电力外网：电缆型号WDZN-YJY-0.6/1-5*10，长度为606米。及其他附属设施建设、相关设备采购。</w:t>
      </w:r>
    </w:p>
    <w:p w14:paraId="080F3011">
      <w:pPr>
        <w:pStyle w:val="53"/>
        <w:spacing w:line="560" w:lineRule="exact"/>
        <w:ind w:left="3" w:right="3" w:firstLine="562"/>
        <w:rPr>
          <w:rFonts w:ascii="仿宋_GB2312"/>
          <w:b/>
          <w:bCs/>
          <w:szCs w:val="32"/>
        </w:rPr>
      </w:pPr>
      <w:r>
        <w:rPr>
          <w:rFonts w:hint="eastAsia" w:ascii="仿宋_GB2312"/>
          <w:b/>
          <w:bCs/>
          <w:szCs w:val="32"/>
        </w:rPr>
        <w:t>2.具体绩效指标</w:t>
      </w:r>
    </w:p>
    <w:p w14:paraId="588052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根据《自治区财政专项扶贫资金绩效管理操作指南》（新财预〔2019〕170号）的规定，结合项目具体情况，本项目共设置一级指标3个，二级指标</w:t>
      </w:r>
      <w:r>
        <w:rPr>
          <w:rFonts w:hint="eastAsia" w:ascii="仿宋_GB2312" w:cs="Times New Roman"/>
          <w:color w:val="000000"/>
          <w:kern w:val="2"/>
          <w:sz w:val="28"/>
          <w:szCs w:val="22"/>
          <w:lang w:val="en-US" w:eastAsia="zh-CN" w:bidi="ar-SA"/>
        </w:rPr>
        <w:t>7</w:t>
      </w:r>
      <w:r>
        <w:rPr>
          <w:rFonts w:hint="eastAsia" w:ascii="仿宋_GB2312" w:hAnsi="Times New Roman" w:eastAsia="仿宋_GB2312" w:cs="Times New Roman"/>
          <w:color w:val="000000"/>
          <w:kern w:val="2"/>
          <w:sz w:val="28"/>
          <w:szCs w:val="22"/>
          <w:lang w:val="en-US" w:eastAsia="zh-CN" w:bidi="ar-SA"/>
        </w:rPr>
        <w:t>个，三级指标1</w:t>
      </w:r>
      <w:r>
        <w:rPr>
          <w:rFonts w:hint="eastAsia" w:ascii="仿宋_GB2312" w:cs="Times New Roman"/>
          <w:color w:val="000000"/>
          <w:kern w:val="2"/>
          <w:sz w:val="28"/>
          <w:szCs w:val="22"/>
          <w:lang w:val="en-US" w:eastAsia="zh-CN" w:bidi="ar-SA"/>
        </w:rPr>
        <w:t>6</w:t>
      </w:r>
      <w:r>
        <w:rPr>
          <w:rFonts w:hint="eastAsia" w:ascii="仿宋_GB2312" w:hAnsi="Times New Roman" w:eastAsia="仿宋_GB2312" w:cs="Times New Roman"/>
          <w:color w:val="000000"/>
          <w:kern w:val="2"/>
          <w:sz w:val="28"/>
          <w:szCs w:val="22"/>
          <w:lang w:val="en-US" w:eastAsia="zh-CN" w:bidi="ar-SA"/>
        </w:rPr>
        <w:t>个。</w:t>
      </w:r>
    </w:p>
    <w:p w14:paraId="74ABD7E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二、绩效自评工作开展情况</w:t>
      </w:r>
    </w:p>
    <w:p w14:paraId="1CAD8BE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（一）绩效自评工作开展范围</w:t>
      </w:r>
    </w:p>
    <w:p w14:paraId="7C4C1DF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本次自评范围涵盖项目总体绩效目标、各项绩效指标完成情况以及预算执行情况。</w:t>
      </w:r>
    </w:p>
    <w:p w14:paraId="050F672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（二）绩效自评工作对象</w:t>
      </w:r>
    </w:p>
    <w:p w14:paraId="562838C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绩效自评遵循《中央财政衔接推进乡村振兴补助资金管理办法》的通知（财农〔2021〕19号）、《新疆维吾尔自治区财政财政衔接推进乡村振兴补助资金管理办法》（新财规〔2021〕11号）、《自治区财政专项扶贫资金绩效管理操作指南》（新财预〔2019〕170号）等相关政策文件与规定，对</w:t>
      </w: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资金的使用管理、项目产出、综合效益等进行评价。</w:t>
      </w:r>
    </w:p>
    <w:p w14:paraId="3BF484DA">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（三）绩效自评工作方式</w:t>
      </w:r>
    </w:p>
    <w:p w14:paraId="20EEF0F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1.前期准备</w:t>
      </w:r>
    </w:p>
    <w:p w14:paraId="790B677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年，认真学习相关要求与规定，成立绩效自评工作组，作为绩效自评工作具体实施机构。成员构成如下：</w:t>
      </w:r>
    </w:p>
    <w:p w14:paraId="46843CAB">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组     长：马永江              农业农村局局党委书记、副局长</w:t>
      </w:r>
    </w:p>
    <w:p w14:paraId="314DC53D">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副  组 长：亚森江·阿不都外力       农业农村</w:t>
      </w:r>
      <w:r>
        <w:rPr>
          <w:rFonts w:hint="eastAsia" w:ascii="仿宋_GB2312" w:cs="Times New Roman"/>
          <w:color w:val="000000"/>
          <w:kern w:val="2"/>
          <w:sz w:val="28"/>
          <w:szCs w:val="22"/>
          <w:lang w:val="en-US" w:eastAsia="zh-CN" w:bidi="ar-SA"/>
        </w:rPr>
        <w:t>局局长</w:t>
      </w:r>
    </w:p>
    <w:p w14:paraId="78FF544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成 员：李国亮                       项目班主任长</w:t>
      </w:r>
    </w:p>
    <w:p w14:paraId="02A124C7">
      <w:pPr>
        <w:pStyle w:val="53"/>
        <w:spacing w:line="560" w:lineRule="exact"/>
        <w:ind w:left="3" w:right="3" w:firstLine="1680" w:firstLineChars="6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张庆荣                      财务室科长</w:t>
      </w:r>
    </w:p>
    <w:p w14:paraId="3061B7D7">
      <w:pPr>
        <w:pStyle w:val="53"/>
        <w:spacing w:line="560" w:lineRule="exact"/>
        <w:ind w:left="3" w:right="3" w:firstLine="1680" w:firstLineChars="600"/>
        <w:rPr>
          <w:rFonts w:hint="default"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阿木提江·瓦依提            项目办干部</w:t>
      </w:r>
    </w:p>
    <w:p w14:paraId="10FB186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 xml:space="preserve">木克热木                     项目出纳      </w:t>
      </w:r>
    </w:p>
    <w:p w14:paraId="36AD14FB">
      <w:pPr>
        <w:pStyle w:val="53"/>
        <w:spacing w:line="560" w:lineRule="exact"/>
        <w:ind w:left="3" w:right="3" w:firstLine="1400" w:firstLineChars="500"/>
        <w:rPr>
          <w:rFonts w:hint="eastAsia"/>
          <w:sz w:val="28"/>
          <w:szCs w:val="40"/>
          <w:lang w:val="en-US" w:eastAsia="zh-CN"/>
        </w:rPr>
      </w:pPr>
      <w:r>
        <w:rPr>
          <w:rFonts w:hint="eastAsia" w:ascii="仿宋_GB2312" w:hAnsi="Times New Roman" w:eastAsia="仿宋_GB2312" w:cs="Times New Roman"/>
          <w:color w:val="000000"/>
          <w:kern w:val="2"/>
          <w:sz w:val="28"/>
          <w:szCs w:val="22"/>
          <w:lang w:val="en-US" w:eastAsia="zh-CN" w:bidi="ar-SA"/>
        </w:rPr>
        <w:t xml:space="preserve">布买热木 </w:t>
      </w:r>
      <w:r>
        <w:rPr>
          <w:rFonts w:hint="eastAsia"/>
          <w:sz w:val="28"/>
          <w:szCs w:val="40"/>
          <w:lang w:val="en-US" w:eastAsia="zh-CN"/>
        </w:rPr>
        <w:t xml:space="preserve">                                         档案管理负责人</w:t>
      </w:r>
    </w:p>
    <w:p w14:paraId="3BD17D8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办公室负责项目的计划制定、实施，督查、指导相关单位共同做好项目管理工作。切实把该项目作为生态健康建设的重要举措来抓，加强领导，明确分工，落实责任，密切配合，形成合力，推动该项目顺利实施。由农业农村局牵头，负责整个项目的统筹安排和经费使用管理工作，实现分级管理制度。</w:t>
      </w:r>
    </w:p>
    <w:p w14:paraId="0782CC7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2.组织实施</w:t>
      </w:r>
    </w:p>
    <w:p w14:paraId="17EB2C1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成立绩效自评工作组后，经评价组通过实地调研等方式，采用综合分析法对项目的决策、管理、绩效进行的综合评价分析。</w:t>
      </w:r>
    </w:p>
    <w:p w14:paraId="2F779B8A">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3.分析评价。</w:t>
      </w:r>
    </w:p>
    <w:p w14:paraId="70C55BB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首先按照指标体系进行定量、定性分析。其次开展量化打分、综合评价工作，形成初步评价结论。最后归纳整体项目情况与存在问题，撰写绩效自评报告。</w:t>
      </w:r>
    </w:p>
    <w:p w14:paraId="0F889EF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（1）绩效自评指标体系</w:t>
      </w:r>
    </w:p>
    <w:p w14:paraId="7A7F9F3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按照《自治区财政专项扶贫资金绩效管理操作指南》（新财预〔2019〕170号）文件要求，并根据项目各项指标重要程度确定二级指标的分值，并对核心指标赋予更高的权重。其中：数量指标</w:t>
      </w:r>
      <w:r>
        <w:rPr>
          <w:rFonts w:hint="eastAsia" w:ascii="仿宋_GB2312" w:cs="Times New Roman"/>
          <w:color w:val="000000"/>
          <w:kern w:val="2"/>
          <w:sz w:val="28"/>
          <w:szCs w:val="22"/>
          <w:lang w:val="en-US" w:eastAsia="zh-CN" w:bidi="ar-SA"/>
        </w:rPr>
        <w:t>36</w:t>
      </w:r>
      <w:r>
        <w:rPr>
          <w:rFonts w:hint="eastAsia" w:ascii="仿宋_GB2312" w:hAnsi="Times New Roman" w:eastAsia="仿宋_GB2312" w:cs="Times New Roman"/>
          <w:color w:val="000000"/>
          <w:kern w:val="2"/>
          <w:sz w:val="28"/>
          <w:szCs w:val="22"/>
          <w:lang w:val="en-US" w:eastAsia="zh-CN" w:bidi="ar-SA"/>
        </w:rPr>
        <w:t>分、质量指标</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分，时效指标</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分、成本指标</w:t>
      </w:r>
      <w:r>
        <w:rPr>
          <w:rFonts w:hint="eastAsia" w:ascii="仿宋_GB2312" w:cs="Times New Roman"/>
          <w:color w:val="000000"/>
          <w:kern w:val="2"/>
          <w:sz w:val="28"/>
          <w:szCs w:val="22"/>
          <w:lang w:val="en-US" w:eastAsia="zh-CN" w:bidi="ar-SA"/>
        </w:rPr>
        <w:t>8</w:t>
      </w:r>
      <w:r>
        <w:rPr>
          <w:rFonts w:hint="eastAsia" w:ascii="仿宋_GB2312" w:hAnsi="Times New Roman" w:eastAsia="仿宋_GB2312" w:cs="Times New Roman"/>
          <w:color w:val="000000"/>
          <w:kern w:val="2"/>
          <w:sz w:val="28"/>
          <w:szCs w:val="22"/>
          <w:lang w:val="en-US" w:eastAsia="zh-CN" w:bidi="ar-SA"/>
        </w:rPr>
        <w:t>分、社会效益指标</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分、可持续影响指标</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分、满意度指标10分、预算资金执行率10分，满分100分。</w:t>
      </w:r>
    </w:p>
    <w:p w14:paraId="2564AF6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（2）绩效自评方法</w:t>
      </w:r>
    </w:p>
    <w:p w14:paraId="55E81F8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本次绩效自评采用比较法和综合分析法对项目资金的使用管理、项目产出、综合效益等进行评价。</w:t>
      </w:r>
    </w:p>
    <w:p w14:paraId="53102C2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（3）绩效自评标准</w:t>
      </w:r>
    </w:p>
    <w:p w14:paraId="729CBC4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绩效评价标准通常包括计划标准、行业标准、历史标准等，用于对绩效指标完成情况进行比较。本次评价主要采用了计划标准，以预先制定的目标、计划、预算、定额等作为评价标准，对比分析项目产出、效益的完成情况。</w:t>
      </w:r>
    </w:p>
    <w:p w14:paraId="12F08E90">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（4）绩效自评等级</w:t>
      </w:r>
    </w:p>
    <w:p w14:paraId="0F80158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绩效自评总分值100分，根据评分结果，90（含）-100分为优、80（含）-90分为良、60（含）-80分为中、60分以下为差。</w:t>
      </w:r>
    </w:p>
    <w:p w14:paraId="7D8D7CF3">
      <w:pPr>
        <w:pStyle w:val="30"/>
        <w:spacing w:before="120"/>
        <w:ind w:leftChars="0" w:right="3" w:firstLine="562" w:firstLineChars="200"/>
      </w:pPr>
      <w:r>
        <w:rPr>
          <w:rFonts w:hint="eastAsia"/>
        </w:rPr>
        <w:t>三、绩效目标自评完成情况分析</w:t>
      </w:r>
    </w:p>
    <w:p w14:paraId="57571388">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（一）资金投入情况分析</w:t>
      </w:r>
    </w:p>
    <w:p w14:paraId="5513031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1.项目资金到位情况分析</w:t>
      </w:r>
    </w:p>
    <w:p w14:paraId="37B4E9C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预算安排总额为</w:t>
      </w:r>
      <w:r>
        <w:rPr>
          <w:rFonts w:hint="eastAsia" w:ascii="仿宋_GB2312" w:cs="Times New Roman"/>
          <w:color w:val="000000"/>
          <w:kern w:val="2"/>
          <w:sz w:val="28"/>
          <w:szCs w:val="22"/>
          <w:lang w:val="en-US" w:eastAsia="zh-CN" w:bidi="ar-SA"/>
        </w:rPr>
        <w:t>980</w:t>
      </w:r>
      <w:r>
        <w:rPr>
          <w:rFonts w:hint="eastAsia" w:ascii="仿宋_GB2312" w:hAnsi="Times New Roman" w:eastAsia="仿宋_GB2312" w:cs="Times New Roman"/>
          <w:color w:val="000000"/>
          <w:kern w:val="2"/>
          <w:sz w:val="28"/>
          <w:szCs w:val="22"/>
          <w:lang w:val="en-US" w:eastAsia="zh-CN" w:bidi="ar-SA"/>
        </w:rPr>
        <w:t>万元，其中：乡村振兴衔接资金</w:t>
      </w:r>
      <w:r>
        <w:rPr>
          <w:rFonts w:hint="eastAsia" w:ascii="仿宋_GB2312" w:cs="Times New Roman"/>
          <w:color w:val="000000"/>
          <w:kern w:val="2"/>
          <w:sz w:val="28"/>
          <w:szCs w:val="22"/>
          <w:lang w:val="en-US" w:eastAsia="zh-CN" w:bidi="ar-SA"/>
        </w:rPr>
        <w:t>980</w:t>
      </w:r>
      <w:r>
        <w:rPr>
          <w:rFonts w:hint="eastAsia" w:ascii="仿宋_GB2312" w:hAnsi="Times New Roman" w:eastAsia="仿宋_GB2312" w:cs="Times New Roman"/>
          <w:color w:val="000000"/>
          <w:kern w:val="2"/>
          <w:sz w:val="28"/>
          <w:szCs w:val="22"/>
          <w:lang w:val="en-US" w:eastAsia="zh-CN" w:bidi="ar-SA"/>
        </w:rPr>
        <w:t>万元。预算资金到位率为100.00%。</w:t>
      </w:r>
    </w:p>
    <w:p w14:paraId="56FE0AD4">
      <w:pPr>
        <w:pStyle w:val="53"/>
        <w:spacing w:line="560" w:lineRule="exact"/>
        <w:ind w:left="0" w:leftChars="0" w:right="3" w:firstLine="562"/>
        <w:rPr>
          <w:b/>
        </w:rPr>
      </w:pPr>
      <w:r>
        <w:rPr>
          <w:rFonts w:hint="eastAsia"/>
          <w:b/>
        </w:rPr>
        <w:t>2.项目资金执行情况分析</w:t>
      </w:r>
    </w:p>
    <w:p w14:paraId="7A99AD1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预算投入资金</w:t>
      </w:r>
      <w:r>
        <w:rPr>
          <w:rFonts w:hint="eastAsia" w:ascii="仿宋_GB2312" w:cs="Times New Roman"/>
          <w:color w:val="000000"/>
          <w:kern w:val="2"/>
          <w:sz w:val="28"/>
          <w:szCs w:val="22"/>
          <w:lang w:val="en-US" w:eastAsia="zh-CN" w:bidi="ar-SA"/>
        </w:rPr>
        <w:t>980</w:t>
      </w:r>
      <w:r>
        <w:rPr>
          <w:rFonts w:hint="eastAsia" w:ascii="仿宋_GB2312" w:hAnsi="Times New Roman" w:eastAsia="仿宋_GB2312" w:cs="Times New Roman"/>
          <w:color w:val="000000"/>
          <w:kern w:val="2"/>
          <w:sz w:val="28"/>
          <w:szCs w:val="22"/>
          <w:lang w:val="en-US" w:eastAsia="zh-CN" w:bidi="ar-SA"/>
        </w:rPr>
        <w:t>万元，经财务决算，项目实际完成投资共</w:t>
      </w:r>
      <w:r>
        <w:rPr>
          <w:rFonts w:hint="eastAsia" w:ascii="仿宋" w:hAnsi="仿宋" w:eastAsia="仿宋" w:cs="Times New Roman"/>
          <w:spacing w:val="20"/>
          <w:kern w:val="2"/>
          <w:sz w:val="28"/>
          <w:szCs w:val="28"/>
          <w:highlight w:val="none"/>
          <w:lang w:val="en-US" w:eastAsia="zh-CN" w:bidi="ar-SA"/>
        </w:rPr>
        <w:t>883.38</w:t>
      </w:r>
      <w:r>
        <w:rPr>
          <w:rFonts w:hint="eastAsia" w:ascii="仿宋_GB2312" w:hAnsi="Times New Roman" w:eastAsia="仿宋_GB2312" w:cs="Times New Roman"/>
          <w:color w:val="000000"/>
          <w:kern w:val="2"/>
          <w:sz w:val="28"/>
          <w:szCs w:val="22"/>
          <w:lang w:val="en-US" w:eastAsia="zh-CN" w:bidi="ar-SA"/>
        </w:rPr>
        <w:t>万元，</w:t>
      </w:r>
      <w:r>
        <w:rPr>
          <w:rFonts w:hint="eastAsia" w:ascii="仿宋_GB2312" w:cs="Times New Roman"/>
          <w:color w:val="000000"/>
          <w:kern w:val="2"/>
          <w:sz w:val="28"/>
          <w:szCs w:val="22"/>
          <w:lang w:val="en-US" w:eastAsia="zh-CN" w:bidi="ar-SA"/>
        </w:rPr>
        <w:t>已支付718.59万元，</w:t>
      </w:r>
      <w:r>
        <w:rPr>
          <w:rFonts w:hint="eastAsia" w:ascii="仿宋_GB2312" w:hAnsi="Times New Roman" w:eastAsia="仿宋_GB2312" w:cs="Times New Roman"/>
          <w:color w:val="000000"/>
          <w:kern w:val="2"/>
          <w:sz w:val="28"/>
          <w:szCs w:val="22"/>
          <w:lang w:val="en-US" w:eastAsia="zh-CN" w:bidi="ar-SA"/>
        </w:rPr>
        <w:t>其中：建筑安装工程</w:t>
      </w:r>
      <w:r>
        <w:rPr>
          <w:rFonts w:hint="eastAsia" w:ascii="仿宋_GB2312" w:cs="Times New Roman"/>
          <w:color w:val="000000"/>
          <w:kern w:val="2"/>
          <w:sz w:val="28"/>
          <w:szCs w:val="22"/>
          <w:lang w:val="en-US" w:eastAsia="zh-CN" w:bidi="ar-SA"/>
        </w:rPr>
        <w:t>成本</w:t>
      </w:r>
      <w:r>
        <w:rPr>
          <w:rFonts w:hint="eastAsia" w:ascii="仿宋" w:hAnsi="仿宋" w:eastAsia="仿宋" w:cs="Times New Roman"/>
          <w:spacing w:val="20"/>
          <w:kern w:val="2"/>
          <w:sz w:val="28"/>
          <w:szCs w:val="28"/>
          <w:highlight w:val="none"/>
          <w:lang w:val="en-US" w:eastAsia="zh-CN" w:bidi="ar-SA"/>
        </w:rPr>
        <w:t>718.59</w:t>
      </w:r>
      <w:r>
        <w:rPr>
          <w:rFonts w:hint="eastAsia" w:ascii="仿宋_GB2312" w:hAnsi="Times New Roman" w:eastAsia="仿宋_GB2312" w:cs="Times New Roman"/>
          <w:color w:val="000000"/>
          <w:kern w:val="2"/>
          <w:sz w:val="28"/>
          <w:szCs w:val="22"/>
          <w:lang w:val="en-US" w:eastAsia="zh-CN" w:bidi="ar-SA"/>
        </w:rPr>
        <w:t>万元，</w:t>
      </w:r>
      <w:r>
        <w:rPr>
          <w:rFonts w:hint="eastAsia" w:ascii="仿宋_GB2312" w:cs="Times New Roman"/>
          <w:color w:val="000000"/>
          <w:kern w:val="2"/>
          <w:sz w:val="28"/>
          <w:szCs w:val="22"/>
          <w:lang w:val="en-US" w:eastAsia="zh-CN" w:bidi="ar-SA"/>
        </w:rPr>
        <w:t>剩余164.79万元待支付。</w:t>
      </w:r>
      <w:r>
        <w:rPr>
          <w:rFonts w:hint="eastAsia" w:ascii="仿宋_GB2312" w:hAnsi="Times New Roman" w:eastAsia="仿宋_GB2312" w:cs="Times New Roman"/>
          <w:color w:val="000000"/>
          <w:kern w:val="2"/>
          <w:sz w:val="28"/>
          <w:szCs w:val="22"/>
          <w:lang w:val="en-US" w:eastAsia="zh-CN" w:bidi="ar-SA"/>
        </w:rPr>
        <w:t>预算资金执行率</w:t>
      </w:r>
      <w:r>
        <w:rPr>
          <w:rFonts w:hint="eastAsia" w:ascii="仿宋_GB2312" w:cs="Times New Roman"/>
          <w:color w:val="000000"/>
          <w:kern w:val="2"/>
          <w:sz w:val="28"/>
          <w:szCs w:val="22"/>
          <w:lang w:val="en-US" w:eastAsia="zh-CN" w:bidi="ar-SA"/>
        </w:rPr>
        <w:t>73.33</w:t>
      </w:r>
      <w:r>
        <w:rPr>
          <w:rFonts w:hint="eastAsia" w:ascii="仿宋_GB2312" w:hAnsi="Times New Roman" w:eastAsia="仿宋_GB2312" w:cs="Times New Roman"/>
          <w:color w:val="000000"/>
          <w:kern w:val="2"/>
          <w:sz w:val="28"/>
          <w:szCs w:val="22"/>
          <w:lang w:val="en-US" w:eastAsia="zh-CN" w:bidi="ar-SA"/>
        </w:rPr>
        <w:t>%。</w:t>
      </w:r>
    </w:p>
    <w:p w14:paraId="150EF58C">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3.项目资金管理情况分析</w:t>
      </w:r>
    </w:p>
    <w:p w14:paraId="6EA252F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资金使用和管理按照关于印发《中央财政衔接推进乡村振兴补助资金管理办法》的通知（财农〔2021〕19号）、《新疆维吾尔自治区财政财政衔接推进乡村振兴补助资金管理办法》（新财规〔2021〕11号）等相关文件要求。项目实施单位依据项目计划，提出支付申请并提供相关真实、合规的证明材料，制定资金使用计划，经审核后按照国库集中支付管理制度的规定和程序及时支付资金。资金的拨付过程有完整的审批程序和手续，不存在截留、挤占、挪用等情况。</w:t>
      </w:r>
    </w:p>
    <w:p w14:paraId="67FF2709">
      <w:pPr>
        <w:pStyle w:val="53"/>
        <w:spacing w:line="560" w:lineRule="exact"/>
        <w:ind w:leftChars="0" w:right="3" w:firstLine="562"/>
        <w:rPr>
          <w:b/>
        </w:rPr>
      </w:pPr>
      <w:r>
        <w:rPr>
          <w:rFonts w:hint="eastAsia"/>
          <w:b/>
        </w:rPr>
        <w:t>4.项目管理情况分析</w:t>
      </w:r>
    </w:p>
    <w:p w14:paraId="0765626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在项目实施中，于田县农业农村局建立了项目管理制度，用以保障本项目的顺利实施。项目的实施遵守相关法律法规和业务管理规定，项目资料齐全并及时归档。已建立项目监督检查机制，不定期对项目进度情况进行督导检查，对检查过程中发现的问题及时督促整改，确保了项目按时保质完成。</w:t>
      </w:r>
    </w:p>
    <w:p w14:paraId="00FE076E">
      <w:pPr>
        <w:spacing w:line="58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（二）绩效目标完成情况分析</w:t>
      </w:r>
    </w:p>
    <w:p w14:paraId="216E738F">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本项目在202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截止12月底，工程实际完成建设用地面积8040平方米；新建冷库3000平方米，其中保鲜库1400平方米，冷藏库1600平方米，地上1层，建筑高度为6.80米（室外地坪至女儿墙顶、室内外高差0.30米），为单层冷库，火灾危险性分类为丙二类，制冷机房火灾危险性为丙类，制冷剂为环保型507制冷剂。门式钢架结构，独立基础，结构安全等级为二级。抗震设防烈度为7度；设计基本地震加速度为0.10g。室外工程为混凝土路面及场地硬化面积5788平方米。室外给水及消防管网：给水管材质为聚乙烯（PE）管，管径DN100,消防给水管材质为钢丝网骨架PE管，管径DN100，给水及消防管共613米，室外排水管网：材质HDPE双壁波纹管，管径De300,共286米；电力外网：电缆型号WDZN-YJY-0.6/1-5*10，长度为410.2米。配套附属设施建设、相关设备采购，购置制冷机组1台，冷凝器1台，冷风机20台，贮液器1台，供液管道20套，信号控制20套，高压排气管1套，安装冷库墙板、顶板4362.48平方米，铺设冷库地面2126平方米，安装冷库电动平移门8樘，冷风幕8台。</w:t>
      </w:r>
    </w:p>
    <w:p w14:paraId="060721D6">
      <w:pPr>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该工程已完成验收，资产有奥依托格拉克乡新家园小区委员会负责运行，维护。项目有效减少洪灾、改善生态环境、减少水土流失，促进当地经济可持续发展。</w:t>
      </w:r>
    </w:p>
    <w:p w14:paraId="26FAADA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本项目共设置一级指标3个，二级指标</w:t>
      </w:r>
      <w:r>
        <w:rPr>
          <w:rFonts w:hint="eastAsia" w:ascii="仿宋_GB2312" w:cs="Times New Roman"/>
          <w:color w:val="000000"/>
          <w:kern w:val="2"/>
          <w:sz w:val="28"/>
          <w:szCs w:val="22"/>
          <w:lang w:val="en-US" w:eastAsia="zh-CN" w:bidi="ar-SA"/>
        </w:rPr>
        <w:t>7</w:t>
      </w:r>
      <w:r>
        <w:rPr>
          <w:rFonts w:hint="eastAsia" w:ascii="仿宋_GB2312" w:hAnsi="Times New Roman" w:eastAsia="仿宋_GB2312" w:cs="Times New Roman"/>
          <w:color w:val="000000"/>
          <w:kern w:val="2"/>
          <w:sz w:val="28"/>
          <w:szCs w:val="22"/>
          <w:lang w:val="en-US" w:eastAsia="zh-CN" w:bidi="ar-SA"/>
        </w:rPr>
        <w:t>个，三级指标1</w:t>
      </w:r>
      <w:r>
        <w:rPr>
          <w:rFonts w:hint="eastAsia" w:ascii="仿宋_GB2312" w:cs="Times New Roman"/>
          <w:color w:val="000000"/>
          <w:kern w:val="2"/>
          <w:sz w:val="28"/>
          <w:szCs w:val="22"/>
          <w:lang w:val="en-US" w:eastAsia="zh-CN" w:bidi="ar-SA"/>
        </w:rPr>
        <w:t>6</w:t>
      </w:r>
      <w:r>
        <w:rPr>
          <w:rFonts w:hint="eastAsia" w:ascii="仿宋_GB2312" w:hAnsi="Times New Roman" w:eastAsia="仿宋_GB2312" w:cs="Times New Roman"/>
          <w:color w:val="000000"/>
          <w:kern w:val="2"/>
          <w:sz w:val="28"/>
          <w:szCs w:val="22"/>
          <w:lang w:val="en-US" w:eastAsia="zh-CN" w:bidi="ar-SA"/>
        </w:rPr>
        <w:t>个，其中已完成三级指标1</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个，指标完成率为</w:t>
      </w:r>
      <w:r>
        <w:rPr>
          <w:rFonts w:hint="eastAsia" w:ascii="仿宋_GB2312" w:cs="Times New Roman"/>
          <w:color w:val="000000"/>
          <w:kern w:val="2"/>
          <w:sz w:val="28"/>
          <w:szCs w:val="22"/>
          <w:lang w:val="en-US" w:eastAsia="zh-CN" w:bidi="ar-SA"/>
        </w:rPr>
        <w:t>87.5</w:t>
      </w:r>
      <w:r>
        <w:rPr>
          <w:rFonts w:hint="eastAsia" w:ascii="仿宋_GB2312" w:hAnsi="Times New Roman" w:eastAsia="仿宋_GB2312" w:cs="Times New Roman"/>
          <w:color w:val="000000"/>
          <w:kern w:val="2"/>
          <w:sz w:val="28"/>
          <w:szCs w:val="22"/>
          <w:lang w:val="en-US" w:eastAsia="zh-CN" w:bidi="ar-SA"/>
        </w:rPr>
        <w:t>%，指标完成情况分析如下：</w:t>
      </w:r>
    </w:p>
    <w:p w14:paraId="2D350F08">
      <w:pPr>
        <w:pStyle w:val="53"/>
        <w:spacing w:line="580" w:lineRule="exact"/>
        <w:ind w:left="0" w:leftChars="0" w:right="0" w:rightChars="0" w:firstLine="562"/>
        <w:rPr>
          <w:b/>
        </w:rPr>
      </w:pPr>
      <w:r>
        <w:rPr>
          <w:rFonts w:hint="eastAsia"/>
          <w:b/>
        </w:rPr>
        <w:t>1.产出指标完成情况分析</w:t>
      </w:r>
    </w:p>
    <w:p w14:paraId="774D69F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1.1项目完成数量</w:t>
      </w:r>
    </w:p>
    <w:p w14:paraId="4277380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“新建冷库数量”指标，预期指标值为</w:t>
      </w:r>
      <w:r>
        <w:rPr>
          <w:rFonts w:hint="eastAsia" w:ascii="仿宋_GB2312" w:cs="Times New Roman"/>
          <w:color w:val="000000"/>
          <w:kern w:val="2"/>
          <w:sz w:val="28"/>
          <w:szCs w:val="22"/>
          <w:lang w:val="en-US" w:eastAsia="zh-CN" w:bidi="ar-SA"/>
        </w:rPr>
        <w:t>大于等于1</w:t>
      </w:r>
      <w:r>
        <w:rPr>
          <w:rFonts w:hint="eastAsia" w:ascii="仿宋_GB2312" w:hAnsi="Times New Roman" w:eastAsia="仿宋_GB2312" w:cs="Times New Roman"/>
          <w:color w:val="000000"/>
          <w:kern w:val="2"/>
          <w:sz w:val="28"/>
          <w:szCs w:val="22"/>
          <w:lang w:val="en-US" w:eastAsia="zh-CN" w:bidi="ar-SA"/>
        </w:rPr>
        <w:t>座,全年实际值为</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座，指标完成率为100.00%。所设分值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 xml:space="preserve">分。   </w:t>
      </w:r>
    </w:p>
    <w:p w14:paraId="032D7BA4">
      <w:pPr>
        <w:pStyle w:val="53"/>
        <w:spacing w:line="560" w:lineRule="exact"/>
        <w:ind w:left="0" w:leftChars="0" w:right="3" w:firstLine="0" w:firstLineChars="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“新建保鲜库面积”指标，预期指标值为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1400平方米,全年实际值为1400平方米，指标完成率为100.00%。所设分值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061F101C">
      <w:pPr>
        <w:pStyle w:val="53"/>
        <w:spacing w:line="560" w:lineRule="exact"/>
        <w:ind w:left="0" w:leftChars="0" w:right="3" w:firstLine="0" w:firstLineChars="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“新建冷藏库面积”指标，预期指标值为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1600平方米,全年实际值为1600平方米，指标完成率为100.00%。所设分值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 xml:space="preserve">分。  </w:t>
      </w:r>
    </w:p>
    <w:p w14:paraId="76C43373">
      <w:pPr>
        <w:pStyle w:val="53"/>
        <w:spacing w:line="560" w:lineRule="exact"/>
        <w:ind w:left="0" w:leftChars="0" w:right="3" w:firstLine="0" w:firstLineChars="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w:t>
      </w:r>
      <w:r>
        <w:rPr>
          <w:rFonts w:hint="eastAsia" w:ascii="仿宋_GB2312"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“新建混凝土路面及场地硬化面面积”指标，预期指标值为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3550米,全年实际值为3550米，指标完成率为100.00%。所设分值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 xml:space="preserve">分。 </w:t>
      </w:r>
    </w:p>
    <w:p w14:paraId="4BAB140C">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“路沿石长度”指标，预期指标值为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cs="Times New Roman"/>
          <w:color w:val="000000"/>
          <w:kern w:val="2"/>
          <w:sz w:val="28"/>
          <w:szCs w:val="22"/>
          <w:lang w:val="en-US" w:eastAsia="zh-CN" w:bidi="ar-SA"/>
        </w:rPr>
        <w:t>529</w:t>
      </w:r>
      <w:r>
        <w:rPr>
          <w:rFonts w:hint="eastAsia" w:ascii="仿宋_GB2312" w:hAnsi="Times New Roman" w:eastAsia="仿宋_GB2312" w:cs="Times New Roman"/>
          <w:color w:val="000000"/>
          <w:kern w:val="2"/>
          <w:sz w:val="28"/>
          <w:szCs w:val="22"/>
          <w:lang w:val="en-US" w:eastAsia="zh-CN" w:bidi="ar-SA"/>
        </w:rPr>
        <w:t>米,全年实际值为</w:t>
      </w:r>
      <w:r>
        <w:rPr>
          <w:rFonts w:hint="eastAsia" w:ascii="仿宋_GB2312" w:hAnsi="Times New Roman" w:cs="Times New Roman"/>
          <w:color w:val="000000"/>
          <w:kern w:val="2"/>
          <w:sz w:val="28"/>
          <w:szCs w:val="22"/>
          <w:lang w:val="en-US" w:eastAsia="zh-CN" w:bidi="ar-SA"/>
        </w:rPr>
        <w:t>529</w:t>
      </w:r>
      <w:r>
        <w:rPr>
          <w:rFonts w:hint="eastAsia" w:ascii="仿宋_GB2312" w:hAnsi="Times New Roman" w:eastAsia="仿宋_GB2312" w:cs="Times New Roman"/>
          <w:color w:val="000000"/>
          <w:kern w:val="2"/>
          <w:sz w:val="28"/>
          <w:szCs w:val="22"/>
          <w:lang w:val="en-US" w:eastAsia="zh-CN" w:bidi="ar-SA"/>
        </w:rPr>
        <w:t>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47EB40E5">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“室外给水及消防管网长度”指标，预期指标值为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cs="Times New Roman"/>
          <w:color w:val="000000"/>
          <w:kern w:val="2"/>
          <w:sz w:val="28"/>
          <w:szCs w:val="22"/>
          <w:lang w:val="en-US" w:eastAsia="zh-CN" w:bidi="ar-SA"/>
        </w:rPr>
        <w:t>156</w:t>
      </w:r>
      <w:r>
        <w:rPr>
          <w:rFonts w:hint="eastAsia" w:ascii="仿宋_GB2312" w:hAnsi="Times New Roman" w:eastAsia="仿宋_GB2312" w:cs="Times New Roman"/>
          <w:color w:val="000000"/>
          <w:kern w:val="2"/>
          <w:sz w:val="28"/>
          <w:szCs w:val="22"/>
          <w:lang w:val="en-US" w:eastAsia="zh-CN" w:bidi="ar-SA"/>
        </w:rPr>
        <w:t>米,全年实际值为</w:t>
      </w:r>
      <w:r>
        <w:rPr>
          <w:rFonts w:hint="eastAsia" w:ascii="仿宋_GB2312" w:hAnsi="Times New Roman" w:cs="Times New Roman"/>
          <w:color w:val="000000"/>
          <w:kern w:val="2"/>
          <w:sz w:val="28"/>
          <w:szCs w:val="22"/>
          <w:lang w:val="en-US" w:eastAsia="zh-CN" w:bidi="ar-SA"/>
        </w:rPr>
        <w:t>156</w:t>
      </w:r>
      <w:r>
        <w:rPr>
          <w:rFonts w:hint="eastAsia" w:ascii="仿宋_GB2312" w:hAnsi="Times New Roman" w:eastAsia="仿宋_GB2312" w:cs="Times New Roman"/>
          <w:color w:val="000000"/>
          <w:kern w:val="2"/>
          <w:sz w:val="28"/>
          <w:szCs w:val="22"/>
          <w:lang w:val="en-US" w:eastAsia="zh-CN" w:bidi="ar-SA"/>
        </w:rPr>
        <w:t>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3DEE4D63">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“室外排水管网长度”指标，预期指标值为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cs="Times New Roman"/>
          <w:color w:val="000000"/>
          <w:kern w:val="2"/>
          <w:sz w:val="28"/>
          <w:szCs w:val="22"/>
          <w:lang w:val="en-US" w:eastAsia="zh-CN" w:bidi="ar-SA"/>
        </w:rPr>
        <w:t>73</w:t>
      </w:r>
      <w:r>
        <w:rPr>
          <w:rFonts w:hint="eastAsia" w:ascii="仿宋_GB2312" w:hAnsi="Times New Roman" w:eastAsia="仿宋_GB2312" w:cs="Times New Roman"/>
          <w:color w:val="000000"/>
          <w:kern w:val="2"/>
          <w:sz w:val="28"/>
          <w:szCs w:val="22"/>
          <w:lang w:val="en-US" w:eastAsia="zh-CN" w:bidi="ar-SA"/>
        </w:rPr>
        <w:t>米,全年实际值为</w:t>
      </w:r>
      <w:r>
        <w:rPr>
          <w:rFonts w:hint="eastAsia" w:ascii="仿宋_GB2312" w:hAnsi="Times New Roman" w:cs="Times New Roman"/>
          <w:color w:val="000000"/>
          <w:kern w:val="2"/>
          <w:sz w:val="28"/>
          <w:szCs w:val="22"/>
          <w:lang w:val="en-US" w:eastAsia="zh-CN" w:bidi="ar-SA"/>
        </w:rPr>
        <w:t>73</w:t>
      </w:r>
      <w:r>
        <w:rPr>
          <w:rFonts w:hint="eastAsia" w:ascii="仿宋_GB2312" w:hAnsi="Times New Roman" w:eastAsia="仿宋_GB2312" w:cs="Times New Roman"/>
          <w:color w:val="000000"/>
          <w:kern w:val="2"/>
          <w:sz w:val="28"/>
          <w:szCs w:val="22"/>
          <w:lang w:val="en-US" w:eastAsia="zh-CN" w:bidi="ar-SA"/>
        </w:rPr>
        <w:t>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6ED0055A">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“电力外网长度”指标，预期指标值为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cs="Times New Roman"/>
          <w:color w:val="000000"/>
          <w:kern w:val="2"/>
          <w:sz w:val="28"/>
          <w:szCs w:val="22"/>
          <w:lang w:val="en-US" w:eastAsia="zh-CN" w:bidi="ar-SA"/>
        </w:rPr>
        <w:t>606</w:t>
      </w:r>
      <w:r>
        <w:rPr>
          <w:rFonts w:hint="eastAsia" w:ascii="仿宋_GB2312" w:hAnsi="Times New Roman" w:eastAsia="仿宋_GB2312" w:cs="Times New Roman"/>
          <w:color w:val="000000"/>
          <w:kern w:val="2"/>
          <w:sz w:val="28"/>
          <w:szCs w:val="22"/>
          <w:lang w:val="en-US" w:eastAsia="zh-CN" w:bidi="ar-SA"/>
        </w:rPr>
        <w:t>米,全年实际值为</w:t>
      </w:r>
      <w:r>
        <w:rPr>
          <w:rFonts w:hint="eastAsia" w:ascii="仿宋_GB2312" w:hAnsi="Times New Roman" w:cs="Times New Roman"/>
          <w:color w:val="000000"/>
          <w:kern w:val="2"/>
          <w:sz w:val="28"/>
          <w:szCs w:val="22"/>
          <w:lang w:val="en-US" w:eastAsia="zh-CN" w:bidi="ar-SA"/>
        </w:rPr>
        <w:t>606</w:t>
      </w:r>
      <w:r>
        <w:rPr>
          <w:rFonts w:hint="eastAsia" w:ascii="仿宋_GB2312" w:hAnsi="Times New Roman" w:eastAsia="仿宋_GB2312" w:cs="Times New Roman"/>
          <w:color w:val="000000"/>
          <w:kern w:val="2"/>
          <w:sz w:val="28"/>
          <w:szCs w:val="22"/>
          <w:lang w:val="en-US" w:eastAsia="zh-CN" w:bidi="ar-SA"/>
        </w:rPr>
        <w:t>米，指标完成率为100.00%。所设分值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793EDC9D">
      <w:pPr>
        <w:pStyle w:val="53"/>
        <w:spacing w:line="560" w:lineRule="exact"/>
        <w:ind w:left="0" w:leftChars="0" w:right="3"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“采购冷库设备数量”指标，预期指标值为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cs="Times New Roman"/>
          <w:color w:val="000000"/>
          <w:kern w:val="2"/>
          <w:sz w:val="28"/>
          <w:szCs w:val="22"/>
          <w:lang w:val="en-US" w:eastAsia="zh-CN" w:bidi="ar-SA"/>
        </w:rPr>
        <w:t>1套</w:t>
      </w:r>
      <w:r>
        <w:rPr>
          <w:rFonts w:hint="eastAsia" w:ascii="仿宋_GB2312" w:hAnsi="Times New Roman" w:eastAsia="仿宋_GB2312" w:cs="Times New Roman"/>
          <w:color w:val="000000"/>
          <w:kern w:val="2"/>
          <w:sz w:val="28"/>
          <w:szCs w:val="22"/>
          <w:lang w:val="en-US" w:eastAsia="zh-CN" w:bidi="ar-SA"/>
        </w:rPr>
        <w:t>,全年实际值为</w:t>
      </w:r>
      <w:r>
        <w:rPr>
          <w:rFonts w:hint="eastAsia" w:ascii="仿宋_GB2312" w:hAnsi="Times New Roman" w:cs="Times New Roman"/>
          <w:color w:val="000000"/>
          <w:kern w:val="2"/>
          <w:sz w:val="28"/>
          <w:szCs w:val="22"/>
          <w:lang w:val="en-US" w:eastAsia="zh-CN" w:bidi="ar-SA"/>
        </w:rPr>
        <w:t>1套</w:t>
      </w:r>
      <w:r>
        <w:rPr>
          <w:rFonts w:hint="eastAsia" w:ascii="仿宋_GB2312" w:hAnsi="Times New Roman" w:eastAsia="仿宋_GB2312" w:cs="Times New Roman"/>
          <w:color w:val="000000"/>
          <w:kern w:val="2"/>
          <w:sz w:val="28"/>
          <w:szCs w:val="22"/>
          <w:lang w:val="en-US" w:eastAsia="zh-CN" w:bidi="ar-SA"/>
        </w:rPr>
        <w:t>，指标完成率为100.00%。所设分值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w:t>
      </w:r>
    </w:p>
    <w:p w14:paraId="093D9CD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 xml:space="preserve">   1.2项目完成质量</w:t>
      </w:r>
    </w:p>
    <w:p w14:paraId="78799C4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“项目工程验收合格率”指标，预期指标值为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w:t>
      </w:r>
    </w:p>
    <w:p w14:paraId="172E425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1.3项目完成时效</w:t>
      </w:r>
    </w:p>
    <w:p w14:paraId="5EF3059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“项目资金支付及时率”指标，预期指标值为</w:t>
      </w:r>
      <w:r>
        <w:rPr>
          <w:rFonts w:hint="eastAsia" w:ascii="仿宋_GB2312" w:cs="Times New Roman"/>
          <w:color w:val="000000"/>
          <w:kern w:val="2"/>
          <w:sz w:val="28"/>
          <w:szCs w:val="22"/>
          <w:lang w:val="en-US" w:eastAsia="zh-CN" w:bidi="ar-SA"/>
        </w:rPr>
        <w:t>等于</w:t>
      </w:r>
      <w:r>
        <w:rPr>
          <w:rFonts w:hint="eastAsia" w:ascii="仿宋_GB2312" w:hAnsi="Times New Roman" w:eastAsia="仿宋_GB2312" w:cs="Times New Roman"/>
          <w:color w:val="000000"/>
          <w:kern w:val="2"/>
          <w:sz w:val="28"/>
          <w:szCs w:val="22"/>
          <w:lang w:val="en-US" w:eastAsia="zh-CN" w:bidi="ar-SA"/>
        </w:rPr>
        <w:t>100.00%,全年实际值为100.00%，指标完成率为100.00%。所设分值</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分。</w:t>
      </w:r>
      <w:r>
        <w:rPr>
          <w:rFonts w:hint="eastAsia" w:ascii="仿宋_GB2312" w:hAnsi="Times New Roman" w:cs="Times New Roman"/>
          <w:color w:val="000000"/>
          <w:kern w:val="2"/>
          <w:sz w:val="28"/>
          <w:szCs w:val="22"/>
          <w:lang w:val="en-US" w:eastAsia="zh-CN" w:bidi="ar-SA"/>
        </w:rPr>
        <w:t xml:space="preserve">  </w:t>
      </w:r>
      <w:r>
        <w:rPr>
          <w:rFonts w:hint="eastAsia" w:ascii="仿宋_GB2312" w:hAnsi="Times New Roman" w:eastAsia="仿宋_GB2312" w:cs="Times New Roman"/>
          <w:color w:val="000000"/>
          <w:kern w:val="2"/>
          <w:sz w:val="28"/>
          <w:szCs w:val="22"/>
          <w:lang w:val="en-US" w:eastAsia="zh-CN" w:bidi="ar-SA"/>
        </w:rPr>
        <w:t xml:space="preserve">       </w:t>
      </w:r>
    </w:p>
    <w:p w14:paraId="36D9491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1.4项目成本节约情况</w:t>
      </w:r>
    </w:p>
    <w:p w14:paraId="67E0041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为有效控制项目实施成本，我单位在实施项目前就该项目设定了成本控制指标，实施过程中我单位通过公开招标的方式有效降低了项目执行成本，具体指标设置及完成情况如下：</w:t>
      </w:r>
    </w:p>
    <w:p w14:paraId="4B4F753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“工程成本”指标，预期指标值为</w:t>
      </w:r>
      <w:r>
        <w:rPr>
          <w:rFonts w:hint="eastAsia" w:ascii="仿宋_GB2312" w:cs="Times New Roman"/>
          <w:color w:val="000000"/>
          <w:kern w:val="2"/>
          <w:sz w:val="28"/>
          <w:szCs w:val="22"/>
          <w:lang w:val="en-US" w:eastAsia="zh-CN" w:bidi="ar-SA"/>
        </w:rPr>
        <w:t>小于等于</w:t>
      </w:r>
      <w:r>
        <w:rPr>
          <w:rFonts w:hint="eastAsia" w:ascii="仿宋_GB2312" w:hAnsi="Times New Roman" w:eastAsia="仿宋_GB2312" w:cs="Times New Roman"/>
          <w:color w:val="000000"/>
          <w:kern w:val="2"/>
          <w:sz w:val="28"/>
          <w:szCs w:val="22"/>
          <w:lang w:val="en-US" w:eastAsia="zh-CN" w:bidi="ar-SA"/>
        </w:rPr>
        <w:t>899.3万元, 全年实际值为</w:t>
      </w:r>
      <w:r>
        <w:rPr>
          <w:rFonts w:hint="eastAsia" w:ascii="仿宋_GB2312" w:cs="Times New Roman"/>
          <w:color w:val="000000"/>
          <w:kern w:val="2"/>
          <w:sz w:val="28"/>
          <w:szCs w:val="22"/>
          <w:lang w:val="en-US" w:eastAsia="zh-CN" w:bidi="ar-SA"/>
        </w:rPr>
        <w:t>718.59</w:t>
      </w:r>
      <w:r>
        <w:rPr>
          <w:rFonts w:hint="eastAsia" w:ascii="仿宋_GB2312" w:hAnsi="Times New Roman" w:eastAsia="仿宋_GB2312" w:cs="Times New Roman"/>
          <w:color w:val="000000"/>
          <w:kern w:val="2"/>
          <w:sz w:val="28"/>
          <w:szCs w:val="22"/>
          <w:lang w:val="en-US" w:eastAsia="zh-CN" w:bidi="ar-SA"/>
        </w:rPr>
        <w:t>万元，指标完成率为</w:t>
      </w:r>
      <w:r>
        <w:rPr>
          <w:rFonts w:hint="eastAsia" w:ascii="仿宋_GB2312" w:cs="Times New Roman"/>
          <w:color w:val="000000"/>
          <w:kern w:val="2"/>
          <w:sz w:val="28"/>
          <w:szCs w:val="22"/>
          <w:lang w:val="en-US" w:eastAsia="zh-CN" w:bidi="ar-SA"/>
        </w:rPr>
        <w:t>79.91</w:t>
      </w:r>
      <w:r>
        <w:rPr>
          <w:rFonts w:hint="eastAsia" w:ascii="仿宋_GB2312" w:hAnsi="Times New Roman" w:eastAsia="仿宋_GB2312" w:cs="Times New Roman"/>
          <w:color w:val="000000"/>
          <w:kern w:val="2"/>
          <w:sz w:val="28"/>
          <w:szCs w:val="22"/>
          <w:lang w:val="en-US" w:eastAsia="zh-CN" w:bidi="ar-SA"/>
        </w:rPr>
        <w:t>%。所设分值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3.2</w:t>
      </w:r>
      <w:r>
        <w:rPr>
          <w:rFonts w:hint="eastAsia" w:ascii="仿宋_GB2312" w:hAnsi="Times New Roman" w:eastAsia="仿宋_GB2312" w:cs="Times New Roman"/>
          <w:color w:val="000000"/>
          <w:kern w:val="2"/>
          <w:sz w:val="28"/>
          <w:szCs w:val="22"/>
          <w:lang w:val="en-US" w:eastAsia="zh-CN" w:bidi="ar-SA"/>
        </w:rPr>
        <w:t>分。</w:t>
      </w:r>
    </w:p>
    <w:p w14:paraId="139D08E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偏差原因：项目已完工，竣工决算审计项目总投资883.38万元，实际已支付工程费用718.59万元，剩余资金待支付。</w:t>
      </w:r>
    </w:p>
    <w:p w14:paraId="0522128F">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改进措施：加强项目管理，加快资金支付进度。</w:t>
      </w:r>
    </w:p>
    <w:p w14:paraId="6E7C695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“其他成本”指标，预期指标值为</w:t>
      </w:r>
      <w:r>
        <w:rPr>
          <w:rFonts w:hint="eastAsia" w:ascii="仿宋_GB2312" w:cs="Times New Roman"/>
          <w:color w:val="000000"/>
          <w:kern w:val="2"/>
          <w:sz w:val="28"/>
          <w:szCs w:val="22"/>
          <w:lang w:val="en-US" w:eastAsia="zh-CN" w:bidi="ar-SA"/>
        </w:rPr>
        <w:t>小于等于</w:t>
      </w:r>
      <w:r>
        <w:rPr>
          <w:rFonts w:hint="eastAsia" w:ascii="仿宋_GB2312" w:hAnsi="Times New Roman" w:eastAsia="仿宋_GB2312" w:cs="Times New Roman"/>
          <w:color w:val="000000"/>
          <w:kern w:val="2"/>
          <w:sz w:val="28"/>
          <w:szCs w:val="22"/>
          <w:lang w:val="en-US" w:eastAsia="zh-CN" w:bidi="ar-SA"/>
        </w:rPr>
        <w:t>80.7万元, 全年实际值为</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万元，指标完成率为</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%。所设分值</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分。</w:t>
      </w:r>
    </w:p>
    <w:p w14:paraId="0A4B9A4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偏差原因：项目已完工，竣工决算审计项目总投资883.38万元，实际已支付工程费用718.59万元，剩余资金待支付。</w:t>
      </w:r>
    </w:p>
    <w:p w14:paraId="6A51671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改进措施：加强项目管理，加快资金支付进度。</w:t>
      </w:r>
    </w:p>
    <w:p w14:paraId="69E8370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2.效益指标完成情况分析</w:t>
      </w:r>
    </w:p>
    <w:p w14:paraId="68372B6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项目实施的社会效益分析</w:t>
      </w:r>
    </w:p>
    <w:p w14:paraId="76D95507">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“保障建设区域食品安全的稳定”指标，指标预期有效保障，实际完成值为</w:t>
      </w:r>
      <w:r>
        <w:rPr>
          <w:rFonts w:hint="eastAsia" w:ascii="仿宋_GB2312" w:cs="Times New Roman"/>
          <w:color w:val="000000"/>
          <w:kern w:val="2"/>
          <w:sz w:val="28"/>
          <w:szCs w:val="22"/>
          <w:lang w:val="en-US" w:eastAsia="zh-CN" w:bidi="ar-SA"/>
        </w:rPr>
        <w:t>达成年度指标</w:t>
      </w:r>
      <w:r>
        <w:rPr>
          <w:rFonts w:hint="eastAsia" w:ascii="仿宋_GB2312" w:hAnsi="Times New Roman" w:eastAsia="仿宋_GB2312" w:cs="Times New Roman"/>
          <w:color w:val="000000"/>
          <w:kern w:val="2"/>
          <w:sz w:val="28"/>
          <w:szCs w:val="22"/>
          <w:lang w:val="en-US" w:eastAsia="zh-CN" w:bidi="ar-SA"/>
        </w:rPr>
        <w:t>，指标完成率为100%。所设分值</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分，实际得分</w:t>
      </w:r>
      <w:r>
        <w:rPr>
          <w:rFonts w:hint="eastAsia" w:ascii="仿宋_GB2312" w:cs="Times New Roman"/>
          <w:color w:val="000000"/>
          <w:kern w:val="2"/>
          <w:sz w:val="28"/>
          <w:szCs w:val="22"/>
          <w:lang w:val="en-US" w:eastAsia="zh-CN" w:bidi="ar-SA"/>
        </w:rPr>
        <w:t>15</w:t>
      </w:r>
      <w:r>
        <w:rPr>
          <w:rFonts w:hint="eastAsia" w:ascii="仿宋_GB2312" w:hAnsi="Times New Roman" w:eastAsia="仿宋_GB2312" w:cs="Times New Roman"/>
          <w:color w:val="000000"/>
          <w:kern w:val="2"/>
          <w:sz w:val="28"/>
          <w:szCs w:val="22"/>
          <w:lang w:val="en-US" w:eastAsia="zh-CN" w:bidi="ar-SA"/>
        </w:rPr>
        <w:t>分。</w:t>
      </w:r>
    </w:p>
    <w:p w14:paraId="47E1A51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w:t>
      </w: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color w:val="000000"/>
          <w:kern w:val="2"/>
          <w:sz w:val="28"/>
          <w:szCs w:val="22"/>
          <w:lang w:val="en-US" w:eastAsia="zh-CN" w:bidi="ar-SA"/>
        </w:rPr>
        <w:t>项目实施的可持续影响分析</w:t>
      </w:r>
    </w:p>
    <w:p w14:paraId="2AC212D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“房屋建筑可使用年限”指标，指标预期值为</w:t>
      </w:r>
      <w:r>
        <w:rPr>
          <w:rFonts w:hint="eastAsia" w:ascii="仿宋_GB2312" w:cs="Times New Roman"/>
          <w:color w:val="000000"/>
          <w:kern w:val="2"/>
          <w:sz w:val="28"/>
          <w:szCs w:val="22"/>
          <w:lang w:val="en-US" w:eastAsia="zh-CN" w:bidi="ar-SA"/>
        </w:rPr>
        <w:t>大于等于30</w:t>
      </w:r>
      <w:r>
        <w:rPr>
          <w:rFonts w:hint="eastAsia" w:ascii="仿宋_GB2312" w:hAnsi="Times New Roman" w:eastAsia="仿宋_GB2312" w:cs="Times New Roman"/>
          <w:color w:val="000000"/>
          <w:kern w:val="2"/>
          <w:sz w:val="28"/>
          <w:szCs w:val="22"/>
          <w:lang w:val="en-US" w:eastAsia="zh-CN" w:bidi="ar-SA"/>
        </w:rPr>
        <w:t>年，实际完成值为</w:t>
      </w:r>
      <w:r>
        <w:rPr>
          <w:rFonts w:hint="eastAsia" w:ascii="仿宋_GB2312" w:cs="Times New Roman"/>
          <w:color w:val="000000"/>
          <w:kern w:val="2"/>
          <w:sz w:val="28"/>
          <w:szCs w:val="22"/>
          <w:lang w:val="en-US" w:eastAsia="zh-CN" w:bidi="ar-SA"/>
        </w:rPr>
        <w:t>30</w:t>
      </w:r>
      <w:r>
        <w:rPr>
          <w:rFonts w:hint="eastAsia" w:ascii="仿宋_GB2312" w:hAnsi="Times New Roman" w:eastAsia="仿宋_GB2312" w:cs="Times New Roman"/>
          <w:color w:val="000000"/>
          <w:kern w:val="2"/>
          <w:sz w:val="28"/>
          <w:szCs w:val="22"/>
          <w:lang w:val="en-US" w:eastAsia="zh-CN" w:bidi="ar-SA"/>
        </w:rPr>
        <w:t>年，指标完成率为100.00%。所设分值</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5分，实际得分</w:t>
      </w:r>
      <w:r>
        <w:rPr>
          <w:rFonts w:hint="eastAsia" w:ascii="仿宋_GB2312" w:cs="Times New Roman"/>
          <w:color w:val="000000"/>
          <w:kern w:val="2"/>
          <w:sz w:val="28"/>
          <w:szCs w:val="22"/>
          <w:lang w:val="en-US" w:eastAsia="zh-CN" w:bidi="ar-SA"/>
        </w:rPr>
        <w:t>1</w:t>
      </w:r>
      <w:r>
        <w:rPr>
          <w:rFonts w:hint="eastAsia" w:ascii="仿宋_GB2312" w:hAnsi="Times New Roman" w:eastAsia="仿宋_GB2312" w:cs="Times New Roman"/>
          <w:color w:val="000000"/>
          <w:kern w:val="2"/>
          <w:sz w:val="28"/>
          <w:szCs w:val="22"/>
          <w:lang w:val="en-US" w:eastAsia="zh-CN" w:bidi="ar-SA"/>
        </w:rPr>
        <w:t>5分。</w:t>
      </w:r>
    </w:p>
    <w:p w14:paraId="22A5877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3.满意度指标完成情况分析</w:t>
      </w:r>
    </w:p>
    <w:p w14:paraId="5725A4BE">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w:t>
      </w:r>
      <w:r>
        <w:rPr>
          <w:rFonts w:hint="eastAsia" w:ascii="仿宋_GB2312" w:cs="Times New Roman"/>
          <w:color w:val="000000"/>
          <w:kern w:val="2"/>
          <w:sz w:val="28"/>
          <w:szCs w:val="22"/>
          <w:lang w:val="en-US" w:eastAsia="zh-CN" w:bidi="ar-SA"/>
        </w:rPr>
        <w:t>居民</w:t>
      </w:r>
      <w:r>
        <w:rPr>
          <w:rFonts w:hint="eastAsia" w:ascii="仿宋_GB2312" w:hAnsi="Times New Roman" w:eastAsia="仿宋_GB2312" w:cs="Times New Roman"/>
          <w:color w:val="000000"/>
          <w:kern w:val="2"/>
          <w:sz w:val="28"/>
          <w:szCs w:val="22"/>
          <w:lang w:val="en-US" w:eastAsia="zh-CN" w:bidi="ar-SA"/>
        </w:rPr>
        <w:t>满意度”指标，指标预期指标值为</w:t>
      </w:r>
      <w:r>
        <w:rPr>
          <w:rFonts w:hint="eastAsia" w:ascii="仿宋_GB2312" w:cs="Times New Roman"/>
          <w:color w:val="000000"/>
          <w:kern w:val="2"/>
          <w:sz w:val="28"/>
          <w:szCs w:val="22"/>
          <w:lang w:val="en-US" w:eastAsia="zh-CN" w:bidi="ar-SA"/>
        </w:rPr>
        <w:t>大于等于</w:t>
      </w:r>
      <w:r>
        <w:rPr>
          <w:rFonts w:hint="eastAsia" w:ascii="仿宋_GB2312" w:hAnsi="Times New Roman" w:eastAsia="仿宋_GB2312" w:cs="Times New Roman"/>
          <w:color w:val="000000"/>
          <w:kern w:val="2"/>
          <w:sz w:val="28"/>
          <w:szCs w:val="22"/>
          <w:lang w:val="en-US" w:eastAsia="zh-CN" w:bidi="ar-SA"/>
        </w:rPr>
        <w:t>95%，实际完成值为95%，指标完成率为100.00%。所设分值10分，实际得分10分。</w:t>
      </w:r>
    </w:p>
    <w:p w14:paraId="047FF09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项目实施完成后我单位就该项目的满意度采取抽样发放调查问卷的方式开展调查，通过对调查问卷的梳理和统计，乡村振兴衔接资金群众满意度指标综合满意率为95.00%。</w:t>
      </w:r>
    </w:p>
    <w:p w14:paraId="4752C41D">
      <w:pPr>
        <w:pStyle w:val="30"/>
        <w:numPr>
          <w:ilvl w:val="0"/>
          <w:numId w:val="1"/>
        </w:numPr>
        <w:spacing w:before="120"/>
        <w:ind w:left="0" w:leftChars="0" w:right="3" w:firstLine="562" w:firstLineChars="200"/>
        <w:rPr>
          <w:rFonts w:hint="eastAsia"/>
        </w:rPr>
      </w:pPr>
      <w:r>
        <w:rPr>
          <w:rFonts w:hint="eastAsia"/>
        </w:rPr>
        <w:t>偏离绩效目标的原因和下一步改进措施</w:t>
      </w:r>
    </w:p>
    <w:p w14:paraId="1322F43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b w:val="0"/>
          <w:bCs w:val="0"/>
          <w:color w:val="000000"/>
          <w:kern w:val="2"/>
          <w:sz w:val="28"/>
          <w:szCs w:val="22"/>
          <w:lang w:val="en-US" w:eastAsia="zh-CN" w:bidi="ar-SA"/>
        </w:rPr>
        <w:t>1.成本指标-工程成本：</w:t>
      </w:r>
      <w:r>
        <w:rPr>
          <w:rFonts w:hint="eastAsia" w:ascii="仿宋_GB2312" w:hAnsi="Times New Roman" w:eastAsia="仿宋_GB2312" w:cs="Times New Roman"/>
          <w:color w:val="000000"/>
          <w:kern w:val="2"/>
          <w:sz w:val="28"/>
          <w:szCs w:val="22"/>
          <w:lang w:val="en-US" w:eastAsia="zh-CN" w:bidi="ar-SA"/>
        </w:rPr>
        <w:t>预期指标值为</w:t>
      </w:r>
      <w:r>
        <w:rPr>
          <w:rFonts w:hint="eastAsia" w:ascii="仿宋_GB2312" w:cs="Times New Roman"/>
          <w:color w:val="000000"/>
          <w:kern w:val="2"/>
          <w:sz w:val="28"/>
          <w:szCs w:val="22"/>
          <w:lang w:val="en-US" w:eastAsia="zh-CN" w:bidi="ar-SA"/>
        </w:rPr>
        <w:t>小于等于</w:t>
      </w:r>
      <w:r>
        <w:rPr>
          <w:rFonts w:hint="eastAsia" w:ascii="仿宋_GB2312" w:hAnsi="Times New Roman" w:eastAsia="仿宋_GB2312" w:cs="Times New Roman"/>
          <w:color w:val="000000"/>
          <w:kern w:val="2"/>
          <w:sz w:val="28"/>
          <w:szCs w:val="22"/>
          <w:lang w:val="en-US" w:eastAsia="zh-CN" w:bidi="ar-SA"/>
        </w:rPr>
        <w:t>899.3万元, 全年实际值为</w:t>
      </w:r>
      <w:r>
        <w:rPr>
          <w:rFonts w:hint="eastAsia" w:ascii="仿宋_GB2312" w:cs="Times New Roman"/>
          <w:color w:val="000000"/>
          <w:kern w:val="2"/>
          <w:sz w:val="28"/>
          <w:szCs w:val="22"/>
          <w:lang w:val="en-US" w:eastAsia="zh-CN" w:bidi="ar-SA"/>
        </w:rPr>
        <w:t>718.59</w:t>
      </w:r>
      <w:r>
        <w:rPr>
          <w:rFonts w:hint="eastAsia" w:ascii="仿宋_GB2312" w:hAnsi="Times New Roman" w:eastAsia="仿宋_GB2312" w:cs="Times New Roman"/>
          <w:color w:val="000000"/>
          <w:kern w:val="2"/>
          <w:sz w:val="28"/>
          <w:szCs w:val="22"/>
          <w:lang w:val="en-US" w:eastAsia="zh-CN" w:bidi="ar-SA"/>
        </w:rPr>
        <w:t>万元。</w:t>
      </w:r>
    </w:p>
    <w:p w14:paraId="036FAA0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偏差原因：项目已完工，竣工决算审计项目总投资883.38万元，实际已支付工程费用718.59万元，剩余资金待支付。</w:t>
      </w:r>
    </w:p>
    <w:p w14:paraId="7BE3F1C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改进措施：加强项目管理，加快资金支付进度。</w:t>
      </w:r>
    </w:p>
    <w:p w14:paraId="2B074CB8">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cs="Times New Roman"/>
          <w:color w:val="000000"/>
          <w:kern w:val="2"/>
          <w:sz w:val="28"/>
          <w:szCs w:val="22"/>
          <w:lang w:val="en-US" w:eastAsia="zh-CN" w:bidi="ar-SA"/>
        </w:rPr>
        <w:t>2.</w:t>
      </w:r>
      <w:r>
        <w:rPr>
          <w:rFonts w:hint="eastAsia" w:ascii="仿宋_GB2312" w:hAnsi="Times New Roman" w:eastAsia="仿宋_GB2312" w:cs="Times New Roman"/>
          <w:b w:val="0"/>
          <w:bCs w:val="0"/>
          <w:color w:val="000000"/>
          <w:kern w:val="2"/>
          <w:sz w:val="28"/>
          <w:szCs w:val="22"/>
          <w:lang w:val="en-US" w:eastAsia="zh-CN" w:bidi="ar-SA"/>
        </w:rPr>
        <w:t>成本指标-</w:t>
      </w:r>
      <w:r>
        <w:rPr>
          <w:rFonts w:hint="eastAsia" w:ascii="仿宋_GB2312" w:hAnsi="Times New Roman" w:eastAsia="仿宋_GB2312" w:cs="Times New Roman"/>
          <w:color w:val="000000"/>
          <w:kern w:val="2"/>
          <w:sz w:val="28"/>
          <w:szCs w:val="22"/>
          <w:lang w:val="en-US" w:eastAsia="zh-CN" w:bidi="ar-SA"/>
        </w:rPr>
        <w:t>其他成本，预期指标值为</w:t>
      </w:r>
      <w:r>
        <w:rPr>
          <w:rFonts w:hint="eastAsia" w:ascii="仿宋_GB2312" w:cs="Times New Roman"/>
          <w:color w:val="000000"/>
          <w:kern w:val="2"/>
          <w:sz w:val="28"/>
          <w:szCs w:val="22"/>
          <w:lang w:val="en-US" w:eastAsia="zh-CN" w:bidi="ar-SA"/>
        </w:rPr>
        <w:t>小于等于</w:t>
      </w:r>
      <w:r>
        <w:rPr>
          <w:rFonts w:hint="eastAsia" w:ascii="仿宋_GB2312" w:hAnsi="Times New Roman" w:eastAsia="仿宋_GB2312" w:cs="Times New Roman"/>
          <w:color w:val="000000"/>
          <w:kern w:val="2"/>
          <w:sz w:val="28"/>
          <w:szCs w:val="22"/>
          <w:lang w:val="en-US" w:eastAsia="zh-CN" w:bidi="ar-SA"/>
        </w:rPr>
        <w:t>80.7万元, 全年实际值为</w:t>
      </w:r>
      <w:r>
        <w:rPr>
          <w:rFonts w:hint="eastAsia" w:ascii="仿宋_GB2312" w:cs="Times New Roman"/>
          <w:color w:val="000000"/>
          <w:kern w:val="2"/>
          <w:sz w:val="28"/>
          <w:szCs w:val="22"/>
          <w:lang w:val="en-US" w:eastAsia="zh-CN" w:bidi="ar-SA"/>
        </w:rPr>
        <w:t>0</w:t>
      </w:r>
      <w:r>
        <w:rPr>
          <w:rFonts w:hint="eastAsia" w:ascii="仿宋_GB2312" w:hAnsi="Times New Roman" w:eastAsia="仿宋_GB2312" w:cs="Times New Roman"/>
          <w:color w:val="000000"/>
          <w:kern w:val="2"/>
          <w:sz w:val="28"/>
          <w:szCs w:val="22"/>
          <w:lang w:val="en-US" w:eastAsia="zh-CN" w:bidi="ar-SA"/>
        </w:rPr>
        <w:t>万元。</w:t>
      </w:r>
    </w:p>
    <w:p w14:paraId="57905F26">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偏差原因：项目已完工，竣工决算审计项目总投资883.38万元，实际已支付工程费用718.59万元，剩余资金待支付。</w:t>
      </w:r>
    </w:p>
    <w:p w14:paraId="555C0365">
      <w:pPr>
        <w:pStyle w:val="53"/>
        <w:spacing w:line="560" w:lineRule="exact"/>
        <w:ind w:left="3" w:right="3" w:firstLine="560"/>
        <w:rPr>
          <w:rFonts w:hint="default" w:ascii="仿宋_GB2312" w:hAnsi="Times New Roman" w:eastAsia="仿宋_GB2312" w:cs="Times New Roman"/>
          <w:b w:val="0"/>
          <w:bCs w:val="0"/>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改进措施：加强项目管理，加快资金支付进度。</w:t>
      </w:r>
    </w:p>
    <w:p w14:paraId="5A65866C">
      <w:pPr>
        <w:pStyle w:val="30"/>
        <w:spacing w:before="120"/>
        <w:ind w:left="0" w:leftChars="0" w:right="3" w:firstLine="562" w:firstLineChars="200"/>
      </w:pPr>
      <w:r>
        <w:rPr>
          <w:rFonts w:hint="eastAsia"/>
        </w:rPr>
        <w:t>五、绩效自评结果拟应用和公开情况</w:t>
      </w:r>
    </w:p>
    <w:p w14:paraId="742F3C23">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项目本次评价通过文件研读、实地调研、数据采集、问卷调查方式下，全面了解</w:t>
      </w: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资金的使用效率和效果，从而得出以下综合评价结论：在绩效目标方面，本项目共设置一级指标3个，二级指标</w:t>
      </w:r>
      <w:r>
        <w:rPr>
          <w:rFonts w:hint="eastAsia" w:ascii="仿宋_GB2312" w:cs="Times New Roman"/>
          <w:color w:val="000000"/>
          <w:kern w:val="2"/>
          <w:sz w:val="28"/>
          <w:szCs w:val="22"/>
          <w:lang w:val="en-US" w:eastAsia="zh-CN" w:bidi="ar-SA"/>
        </w:rPr>
        <w:t>7</w:t>
      </w:r>
      <w:r>
        <w:rPr>
          <w:rFonts w:hint="eastAsia" w:ascii="仿宋_GB2312" w:hAnsi="Times New Roman" w:eastAsia="仿宋_GB2312" w:cs="Times New Roman"/>
          <w:color w:val="000000"/>
          <w:kern w:val="2"/>
          <w:sz w:val="28"/>
          <w:szCs w:val="22"/>
          <w:lang w:val="en-US" w:eastAsia="zh-CN" w:bidi="ar-SA"/>
        </w:rPr>
        <w:t>个，三级指标1</w:t>
      </w:r>
      <w:r>
        <w:rPr>
          <w:rFonts w:hint="eastAsia" w:ascii="仿宋_GB2312" w:cs="Times New Roman"/>
          <w:color w:val="000000"/>
          <w:kern w:val="2"/>
          <w:sz w:val="28"/>
          <w:szCs w:val="22"/>
          <w:lang w:val="en-US" w:eastAsia="zh-CN" w:bidi="ar-SA"/>
        </w:rPr>
        <w:t>6</w:t>
      </w:r>
      <w:r>
        <w:rPr>
          <w:rFonts w:hint="eastAsia" w:ascii="仿宋_GB2312" w:hAnsi="Times New Roman" w:eastAsia="仿宋_GB2312" w:cs="Times New Roman"/>
          <w:color w:val="000000"/>
          <w:kern w:val="2"/>
          <w:sz w:val="28"/>
          <w:szCs w:val="22"/>
          <w:lang w:val="en-US" w:eastAsia="zh-CN" w:bidi="ar-SA"/>
        </w:rPr>
        <w:t>个，其中已完成三级指标1</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个，指标完成率为</w:t>
      </w:r>
      <w:r>
        <w:rPr>
          <w:rFonts w:hint="eastAsia" w:ascii="仿宋_GB2312" w:cs="Times New Roman"/>
          <w:color w:val="000000"/>
          <w:kern w:val="2"/>
          <w:sz w:val="28"/>
          <w:szCs w:val="22"/>
          <w:lang w:val="en-US" w:eastAsia="zh-CN" w:bidi="ar-SA"/>
        </w:rPr>
        <w:t>98.66</w:t>
      </w:r>
      <w:r>
        <w:rPr>
          <w:rFonts w:hint="eastAsia" w:ascii="仿宋_GB2312" w:hAnsi="Times New Roman" w:eastAsia="仿宋_GB2312" w:cs="Times New Roman"/>
          <w:color w:val="000000"/>
          <w:kern w:val="2"/>
          <w:sz w:val="28"/>
          <w:szCs w:val="22"/>
          <w:lang w:val="en-US" w:eastAsia="zh-CN" w:bidi="ar-SA"/>
        </w:rPr>
        <w:t>%；在资金使用方面，严格按照《于田县扶贫资金财务管理制度》、《于田县农业农村局财务管理制度》执行，保障了资金使用规范、安全，无挪用、截留资金的情况发生。在项目管理方面，制定了《</w:t>
      </w:r>
      <w:r>
        <w:rPr>
          <w:rFonts w:hint="eastAsia" w:ascii="仿宋_GB2312" w:cs="Times New Roman"/>
          <w:color w:val="000000"/>
          <w:kern w:val="2"/>
          <w:sz w:val="28"/>
          <w:szCs w:val="22"/>
          <w:lang w:val="en-US" w:eastAsia="zh-CN" w:bidi="ar-SA"/>
        </w:rPr>
        <w:t>于田县工业园区新家园安置区壮大村集体经济（冷库）建设项目</w:t>
      </w:r>
      <w:r>
        <w:rPr>
          <w:rFonts w:hint="eastAsia" w:ascii="仿宋_GB2312" w:hAnsi="Times New Roman" w:eastAsia="仿宋_GB2312" w:cs="Times New Roman"/>
          <w:color w:val="000000"/>
          <w:kern w:val="2"/>
          <w:sz w:val="28"/>
          <w:szCs w:val="22"/>
          <w:lang w:val="en-US" w:eastAsia="zh-CN" w:bidi="ar-SA"/>
        </w:rPr>
        <w:t>实施方案》，建立了相关制度，提高了工作人员的监管水平，保质保量的完成了项目的实施工作。项目实施后，取得了一定社会效益；同时，通过开展自评价来总结经验和教训，为我单位今后类似项目的开展，提供可行性参考建议。</w:t>
      </w:r>
    </w:p>
    <w:p w14:paraId="7E66B801">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项目最终得分为</w:t>
      </w:r>
      <w:r>
        <w:rPr>
          <w:rFonts w:hint="eastAsia" w:ascii="仿宋_GB2312" w:cs="Times New Roman"/>
          <w:color w:val="000000"/>
          <w:kern w:val="2"/>
          <w:sz w:val="28"/>
          <w:szCs w:val="22"/>
          <w:lang w:val="en-US" w:eastAsia="zh-CN" w:bidi="ar-SA"/>
        </w:rPr>
        <w:t>92.53</w:t>
      </w:r>
      <w:r>
        <w:rPr>
          <w:rFonts w:hint="eastAsia" w:ascii="仿宋_GB2312" w:hAnsi="Times New Roman" w:eastAsia="仿宋_GB2312" w:cs="Times New Roman"/>
          <w:color w:val="000000"/>
          <w:kern w:val="2"/>
          <w:sz w:val="28"/>
          <w:szCs w:val="22"/>
          <w:lang w:val="en-US" w:eastAsia="zh-CN" w:bidi="ar-SA"/>
        </w:rPr>
        <w:t>分，评价等级为优。</w:t>
      </w:r>
    </w:p>
    <w:p w14:paraId="4C9965A2">
      <w:pPr>
        <w:pStyle w:val="53"/>
        <w:spacing w:line="560" w:lineRule="exact"/>
        <w:ind w:left="3" w:right="3" w:firstLine="554"/>
        <w:rPr>
          <w:rStyle w:val="20"/>
          <w:rFonts w:ascii="楷体_GB2312" w:hAnsi="楷体"/>
          <w:spacing w:val="-4"/>
          <w:szCs w:val="32"/>
        </w:rPr>
      </w:pPr>
      <w:r>
        <w:rPr>
          <w:rStyle w:val="20"/>
          <w:rFonts w:hint="eastAsia" w:ascii="楷体_GB2312" w:hAnsi="楷体"/>
          <w:spacing w:val="-4"/>
          <w:szCs w:val="32"/>
        </w:rPr>
        <w:t>（一）绩效自评结果拟应用情况</w:t>
      </w:r>
    </w:p>
    <w:p w14:paraId="2C5772E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本项目在实施过程中，严格按照关于印发《中央财政衔接推进乡村振兴补助资金管理办法》的通知（财农〔2021〕19号）及实施方案进行实施。本项目绩效自评结果将作为决策和分配财政资金的重要参考依据。对绩效自评发现的问题认真整改，总结经验、改进管理，不断提高项目实施水平。</w:t>
      </w:r>
    </w:p>
    <w:p w14:paraId="0FFA3E3F">
      <w:pPr>
        <w:spacing w:line="560" w:lineRule="exact"/>
        <w:ind w:firstLine="546" w:firstLineChars="200"/>
        <w:rPr>
          <w:rStyle w:val="20"/>
          <w:rFonts w:ascii="楷体_GB2312" w:hAnsi="楷体" w:cs="Times New Roman"/>
          <w:spacing w:val="-4"/>
          <w:sz w:val="28"/>
          <w:szCs w:val="32"/>
        </w:rPr>
      </w:pPr>
      <w:r>
        <w:rPr>
          <w:rStyle w:val="20"/>
          <w:rFonts w:hint="eastAsia" w:ascii="楷体_GB2312" w:hAnsi="楷体" w:cs="Times New Roman"/>
          <w:spacing w:val="-4"/>
          <w:sz w:val="28"/>
          <w:szCs w:val="32"/>
        </w:rPr>
        <w:t>（二）指标佐证材料说明</w:t>
      </w:r>
    </w:p>
    <w:p w14:paraId="0A4D1DF5">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项目状况：该项目不存在立项，由于田县水务服务中心负责项目的实施方案，并由于田县乡村振兴局、于田县财政局审核后，下发了《关于对</w:t>
      </w:r>
      <w:r>
        <w:rPr>
          <w:rFonts w:hint="eastAsia" w:ascii="仿宋_GB2312" w:cs="Times New Roman"/>
          <w:color w:val="000000"/>
          <w:kern w:val="2"/>
          <w:sz w:val="28"/>
          <w:szCs w:val="22"/>
          <w:lang w:val="en-US" w:eastAsia="zh-CN" w:bidi="ar-SA"/>
        </w:rPr>
        <w:t>于于田县工业园区新家园安</w:t>
      </w:r>
      <w:r>
        <w:rPr>
          <w:rFonts w:hint="eastAsia" w:ascii="仿宋_GB2312" w:hAnsi="Times New Roman" w:eastAsia="仿宋_GB2312" w:cs="Times New Roman"/>
          <w:color w:val="000000"/>
          <w:kern w:val="2"/>
          <w:sz w:val="28"/>
          <w:szCs w:val="22"/>
          <w:lang w:val="en-US" w:eastAsia="zh-CN" w:bidi="ar-SA"/>
        </w:rPr>
        <w:t>置区壮大村集体经济（冷库）建设项目</w:t>
      </w:r>
      <w:r>
        <w:rPr>
          <w:rFonts w:hint="eastAsia" w:ascii="仿宋_GB2312" w:cs="Times New Roman"/>
          <w:color w:val="000000"/>
          <w:kern w:val="2"/>
          <w:sz w:val="28"/>
          <w:szCs w:val="22"/>
          <w:lang w:val="en-US" w:eastAsia="zh-CN" w:bidi="ar-SA"/>
        </w:rPr>
        <w:t>实施</w:t>
      </w:r>
      <w:r>
        <w:rPr>
          <w:rFonts w:hint="eastAsia" w:ascii="仿宋_GB2312" w:hAnsi="Times New Roman" w:eastAsia="仿宋_GB2312" w:cs="Times New Roman"/>
          <w:color w:val="000000"/>
          <w:kern w:val="2"/>
          <w:sz w:val="28"/>
          <w:szCs w:val="22"/>
          <w:lang w:val="en-US" w:eastAsia="zh-CN" w:bidi="ar-SA"/>
        </w:rPr>
        <w:t>方案的批复》（于发改项目〔2024〕24 号）。</w:t>
      </w:r>
    </w:p>
    <w:p w14:paraId="170843B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资金状况：预算资金来源为乡村振兴衔接资金，文件依据：《关于对</w:t>
      </w:r>
      <w:r>
        <w:rPr>
          <w:rFonts w:hint="eastAsia" w:ascii="仿宋_GB2312" w:cs="Times New Roman"/>
          <w:color w:val="000000"/>
          <w:kern w:val="2"/>
          <w:sz w:val="28"/>
          <w:szCs w:val="22"/>
          <w:lang w:val="en-US" w:eastAsia="zh-CN" w:bidi="ar-SA"/>
        </w:rPr>
        <w:t>于于田县工业园区新家园安</w:t>
      </w:r>
      <w:r>
        <w:rPr>
          <w:rFonts w:hint="eastAsia" w:ascii="仿宋_GB2312" w:hAnsi="Times New Roman" w:eastAsia="仿宋_GB2312" w:cs="Times New Roman"/>
          <w:color w:val="000000"/>
          <w:kern w:val="2"/>
          <w:sz w:val="28"/>
          <w:szCs w:val="22"/>
          <w:lang w:val="en-US" w:eastAsia="zh-CN" w:bidi="ar-SA"/>
        </w:rPr>
        <w:t>置区壮大村集体经济（冷库）建设项目</w:t>
      </w:r>
      <w:r>
        <w:rPr>
          <w:rFonts w:hint="eastAsia" w:ascii="仿宋_GB2312" w:cs="Times New Roman"/>
          <w:color w:val="000000"/>
          <w:kern w:val="2"/>
          <w:sz w:val="28"/>
          <w:szCs w:val="22"/>
          <w:lang w:val="en-US" w:eastAsia="zh-CN" w:bidi="ar-SA"/>
        </w:rPr>
        <w:t>实施</w:t>
      </w:r>
      <w:r>
        <w:rPr>
          <w:rFonts w:hint="eastAsia" w:ascii="仿宋_GB2312" w:hAnsi="Times New Roman" w:eastAsia="仿宋_GB2312" w:cs="Times New Roman"/>
          <w:color w:val="000000"/>
          <w:kern w:val="2"/>
          <w:sz w:val="28"/>
          <w:szCs w:val="22"/>
          <w:lang w:val="en-US" w:eastAsia="zh-CN" w:bidi="ar-SA"/>
        </w:rPr>
        <w:t>方案的批复》（于发改项目〔2024〕24 号）。</w:t>
      </w:r>
    </w:p>
    <w:p w14:paraId="05DD3154">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过程状况：该项目于202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年4月制订初步设计报告并得到批复，202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3</w:t>
      </w:r>
      <w:r>
        <w:rPr>
          <w:rFonts w:hint="eastAsia" w:ascii="仿宋_GB2312" w:hAnsi="Times New Roman" w:eastAsia="仿宋_GB2312" w:cs="Times New Roman"/>
          <w:color w:val="000000"/>
          <w:kern w:val="2"/>
          <w:sz w:val="28"/>
          <w:szCs w:val="22"/>
          <w:lang w:val="en-US" w:eastAsia="zh-CN" w:bidi="ar-SA"/>
        </w:rPr>
        <w:t>月</w:t>
      </w:r>
      <w:r>
        <w:rPr>
          <w:rFonts w:hint="eastAsia" w:ascii="仿宋_GB2312" w:cs="Times New Roman"/>
          <w:color w:val="000000"/>
          <w:kern w:val="2"/>
          <w:sz w:val="28"/>
          <w:szCs w:val="22"/>
          <w:lang w:val="en-US" w:eastAsia="zh-CN" w:bidi="ar-SA"/>
        </w:rPr>
        <w:t>9</w:t>
      </w:r>
      <w:r>
        <w:rPr>
          <w:rFonts w:hint="eastAsia" w:ascii="仿宋_GB2312" w:hAnsi="Times New Roman" w:eastAsia="仿宋_GB2312" w:cs="Times New Roman"/>
          <w:color w:val="000000"/>
          <w:kern w:val="2"/>
          <w:sz w:val="28"/>
          <w:szCs w:val="22"/>
          <w:lang w:val="en-US" w:eastAsia="zh-CN" w:bidi="ar-SA"/>
        </w:rPr>
        <w:t>日发布招标公告进行招标，202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12</w:t>
      </w:r>
      <w:r>
        <w:rPr>
          <w:rFonts w:hint="eastAsia" w:ascii="仿宋_GB2312" w:hAnsi="Times New Roman" w:eastAsia="仿宋_GB2312" w:cs="Times New Roman"/>
          <w:color w:val="000000"/>
          <w:kern w:val="2"/>
          <w:sz w:val="28"/>
          <w:szCs w:val="22"/>
          <w:lang w:val="en-US" w:eastAsia="zh-CN" w:bidi="ar-SA"/>
        </w:rPr>
        <w:t>月完工。</w:t>
      </w:r>
    </w:p>
    <w:p w14:paraId="7E335F39">
      <w:pPr>
        <w:pStyle w:val="53"/>
        <w:spacing w:line="560" w:lineRule="exact"/>
        <w:ind w:left="3" w:right="3" w:firstLine="56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结果状况：202</w:t>
      </w:r>
      <w:r>
        <w:rPr>
          <w:rFonts w:hint="eastAsia" w:ascii="仿宋_GB2312" w:cs="Times New Roman"/>
          <w:color w:val="000000"/>
          <w:kern w:val="2"/>
          <w:sz w:val="28"/>
          <w:szCs w:val="22"/>
          <w:lang w:val="en-US" w:eastAsia="zh-CN" w:bidi="ar-SA"/>
        </w:rPr>
        <w:t>4</w:t>
      </w:r>
      <w:r>
        <w:rPr>
          <w:rFonts w:hint="eastAsia" w:ascii="仿宋_GB2312" w:hAnsi="Times New Roman" w:eastAsia="仿宋_GB2312" w:cs="Times New Roman"/>
          <w:color w:val="000000"/>
          <w:kern w:val="2"/>
          <w:sz w:val="28"/>
          <w:szCs w:val="22"/>
          <w:lang w:val="en-US" w:eastAsia="zh-CN" w:bidi="ar-SA"/>
        </w:rPr>
        <w:t>年</w:t>
      </w:r>
      <w:r>
        <w:rPr>
          <w:rFonts w:hint="eastAsia" w:ascii="仿宋_GB2312" w:cs="Times New Roman"/>
          <w:color w:val="000000"/>
          <w:kern w:val="2"/>
          <w:sz w:val="28"/>
          <w:szCs w:val="22"/>
          <w:lang w:val="en-US" w:eastAsia="zh-CN" w:bidi="ar-SA"/>
        </w:rPr>
        <w:t>12</w:t>
      </w:r>
      <w:r>
        <w:rPr>
          <w:rFonts w:hint="eastAsia" w:ascii="仿宋_GB2312" w:hAnsi="Times New Roman" w:eastAsia="仿宋_GB2312" w:cs="Times New Roman"/>
          <w:color w:val="000000"/>
          <w:kern w:val="2"/>
          <w:sz w:val="28"/>
          <w:szCs w:val="22"/>
          <w:lang w:val="en-US" w:eastAsia="zh-CN" w:bidi="ar-SA"/>
        </w:rPr>
        <w:t>月1</w:t>
      </w:r>
      <w:r>
        <w:rPr>
          <w:rFonts w:hint="eastAsia" w:ascii="仿宋_GB2312" w:cs="Times New Roman"/>
          <w:color w:val="000000"/>
          <w:kern w:val="2"/>
          <w:sz w:val="28"/>
          <w:szCs w:val="22"/>
          <w:lang w:val="en-US" w:eastAsia="zh-CN" w:bidi="ar-SA"/>
        </w:rPr>
        <w:t>5</w:t>
      </w:r>
      <w:r>
        <w:rPr>
          <w:rFonts w:hint="eastAsia" w:ascii="仿宋_GB2312" w:hAnsi="Times New Roman" w:eastAsia="仿宋_GB2312" w:cs="Times New Roman"/>
          <w:color w:val="000000"/>
          <w:kern w:val="2"/>
          <w:sz w:val="28"/>
          <w:szCs w:val="22"/>
          <w:lang w:val="en-US" w:eastAsia="zh-CN" w:bidi="ar-SA"/>
        </w:rPr>
        <w:t>日于田县</w:t>
      </w:r>
      <w:r>
        <w:rPr>
          <w:rFonts w:hint="eastAsia" w:ascii="仿宋_GB2312" w:cs="Times New Roman"/>
          <w:color w:val="000000"/>
          <w:kern w:val="2"/>
          <w:sz w:val="28"/>
          <w:szCs w:val="22"/>
          <w:lang w:val="en-US" w:eastAsia="zh-CN" w:bidi="ar-SA"/>
        </w:rPr>
        <w:t>五方</w:t>
      </w:r>
      <w:r>
        <w:rPr>
          <w:rFonts w:hint="eastAsia" w:ascii="仿宋_GB2312" w:hAnsi="Times New Roman" w:eastAsia="仿宋_GB2312" w:cs="Times New Roman"/>
          <w:color w:val="000000"/>
          <w:kern w:val="2"/>
          <w:sz w:val="28"/>
          <w:szCs w:val="22"/>
          <w:lang w:val="en-US" w:eastAsia="zh-CN" w:bidi="ar-SA"/>
        </w:rPr>
        <w:t>工验收结果状况：合格。</w:t>
      </w:r>
    </w:p>
    <w:p w14:paraId="086B7E00">
      <w:pPr>
        <w:pStyle w:val="53"/>
        <w:spacing w:line="560" w:lineRule="exact"/>
        <w:ind w:left="3" w:right="3" w:firstLine="562"/>
        <w:rPr>
          <w:rStyle w:val="20"/>
          <w:rFonts w:ascii="楷体_GB2312"/>
        </w:rPr>
      </w:pPr>
      <w:r>
        <w:rPr>
          <w:rStyle w:val="20"/>
          <w:rFonts w:hint="eastAsia" w:ascii="楷体_GB2312"/>
        </w:rPr>
        <w:t>（三）主要经验及做法</w:t>
      </w:r>
    </w:p>
    <w:p w14:paraId="0C0158D2">
      <w:pPr>
        <w:spacing w:line="560" w:lineRule="exact"/>
        <w:ind w:firstLine="560" w:firstLineChars="200"/>
        <w:rPr>
          <w:rFonts w:ascii="仿宋_GB2312" w:hAnsi="Times New Roman" w:eastAsia="仿宋_GB2312" w:cs="Times New Roman"/>
          <w:color w:val="000000"/>
          <w:sz w:val="28"/>
        </w:rPr>
      </w:pPr>
      <w:r>
        <w:rPr>
          <w:rFonts w:hint="eastAsia" w:ascii="仿宋_GB2312" w:hAnsi="Times New Roman" w:eastAsia="仿宋_GB2312" w:cs="Times New Roman"/>
          <w:color w:val="000000"/>
          <w:kern w:val="2"/>
          <w:sz w:val="28"/>
          <w:szCs w:val="22"/>
          <w:lang w:val="en-US" w:eastAsia="zh-CN" w:bidi="ar-SA"/>
        </w:rPr>
        <w:t>2024年于田县工业园区新家园安置区壮大村集体经济（冷库）建设项目资金安排、使用过程中严格执行乡村振兴项目资金管理制度，确保乡村振兴项目正常运行为构建长效稳定奠定物质基础。</w:t>
      </w:r>
    </w:p>
    <w:p w14:paraId="44E2F1DC">
      <w:pPr>
        <w:spacing w:line="560" w:lineRule="exact"/>
        <w:ind w:firstLine="562" w:firstLineChars="200"/>
        <w:rPr>
          <w:rStyle w:val="20"/>
          <w:rFonts w:ascii="楷体_GB2312"/>
          <w:sz w:val="28"/>
        </w:rPr>
      </w:pPr>
      <w:r>
        <w:rPr>
          <w:rStyle w:val="20"/>
          <w:rFonts w:hint="eastAsia" w:ascii="楷体_GB2312"/>
          <w:sz w:val="28"/>
        </w:rPr>
        <w:t>（四）存在的问题</w:t>
      </w:r>
    </w:p>
    <w:p w14:paraId="55FE7C23">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2024年于田县工业园区新家园安置区壮大村集体经济（冷库）建设项目资金安排、使用过程中存在一些问题，主要是资金申报，审批，发放过程中存在对资金拨付缓慢问题。</w:t>
      </w:r>
    </w:p>
    <w:p w14:paraId="17426768">
      <w:pPr>
        <w:spacing w:line="560" w:lineRule="exact"/>
        <w:ind w:firstLine="562" w:firstLineChars="200"/>
        <w:rPr>
          <w:rStyle w:val="20"/>
          <w:rFonts w:ascii="楷体_GB2312"/>
          <w:sz w:val="28"/>
        </w:rPr>
      </w:pPr>
      <w:r>
        <w:rPr>
          <w:rStyle w:val="20"/>
          <w:rFonts w:hint="eastAsia" w:ascii="楷体_GB2312"/>
          <w:sz w:val="28"/>
        </w:rPr>
        <w:t>（五）建议</w:t>
      </w:r>
    </w:p>
    <w:p w14:paraId="09315A41">
      <w:pPr>
        <w:spacing w:line="560" w:lineRule="exact"/>
        <w:ind w:firstLine="560" w:firstLineChars="200"/>
        <w:rPr>
          <w:rFonts w:hint="eastAsia" w:ascii="仿宋_GB2312" w:hAnsi="Times New Roman" w:eastAsia="仿宋_GB2312" w:cs="Times New Roman"/>
          <w:color w:val="000000"/>
          <w:kern w:val="2"/>
          <w:sz w:val="28"/>
          <w:szCs w:val="22"/>
          <w:lang w:val="en-US" w:eastAsia="zh-CN" w:bidi="ar-SA"/>
        </w:rPr>
      </w:pPr>
      <w:r>
        <w:rPr>
          <w:rFonts w:hint="eastAsia" w:ascii="仿宋_GB2312" w:hAnsi="Times New Roman" w:eastAsia="仿宋_GB2312" w:cs="Times New Roman"/>
          <w:color w:val="000000"/>
          <w:kern w:val="2"/>
          <w:sz w:val="28"/>
          <w:szCs w:val="22"/>
          <w:lang w:val="en-US" w:eastAsia="zh-CN" w:bidi="ar-SA"/>
        </w:rPr>
        <w:t>后续要加强项目资金监督力度，严格执行乡村振兴项目资金管理制度，确保乡村振兴项目正常运行。建立健全资产管理体制和运行机制，持续发挥资产扶持效益，确保资产运行安全，管理高效；为构建长效稳定的乡村振兴环境奠定物质基础。</w:t>
      </w:r>
    </w:p>
    <w:p w14:paraId="024C74BE">
      <w:pPr>
        <w:spacing w:line="560" w:lineRule="exact"/>
        <w:ind w:firstLine="562" w:firstLineChars="200"/>
        <w:rPr>
          <w:rStyle w:val="20"/>
          <w:rFonts w:ascii="楷体_GB2312"/>
          <w:sz w:val="28"/>
        </w:rPr>
      </w:pPr>
      <w:r>
        <w:rPr>
          <w:rStyle w:val="20"/>
          <w:rFonts w:hint="eastAsia" w:ascii="楷体_GB2312"/>
          <w:sz w:val="28"/>
        </w:rPr>
        <w:t>（六）项目绩效公告公示情况</w:t>
      </w:r>
    </w:p>
    <w:p w14:paraId="1A30E966">
      <w:pPr>
        <w:pStyle w:val="53"/>
        <w:spacing w:line="560" w:lineRule="exact"/>
        <w:ind w:left="3" w:right="3" w:firstLine="560"/>
      </w:pPr>
      <w:r>
        <w:rPr>
          <w:rFonts w:hint="eastAsia" w:ascii="仿宋_GB2312"/>
        </w:rPr>
        <w:t>项目按照项目公告公示规定要求，完成项目前期公开、项目建设期公开，项目竣工后公开，通过张榜公示向社会公开，接受社会监督。同时，通过门户网站，对项目绩效情况进行公示。</w:t>
      </w:r>
    </w:p>
    <w:sectPr>
      <w:headerReference r:id="rId3" w:type="default"/>
      <w:footerReference r:id="rId4" w:type="default"/>
      <w:pgSz w:w="11906" w:h="16838"/>
      <w:pgMar w:top="1985" w:right="1134" w:bottom="1134" w:left="1701" w:header="737" w:footer="737"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43567469"/>
      <w:docPartObj>
        <w:docPartGallery w:val="autotext"/>
      </w:docPartObj>
    </w:sdtPr>
    <w:sdtContent>
      <w:p w14:paraId="38C9B2BD">
        <w:pPr>
          <w:pStyle w:val="14"/>
          <w:jc w:val="center"/>
        </w:pPr>
        <w:r>
          <w:fldChar w:fldCharType="begin"/>
        </w:r>
        <w:r>
          <w:instrText xml:space="preserve">PAGE   \* MERGEFORMAT</w:instrText>
        </w:r>
        <w:r>
          <w:fldChar w:fldCharType="separate"/>
        </w:r>
        <w:r>
          <w:rPr>
            <w:lang w:val="zh-CN"/>
          </w:rPr>
          <w:t>1</w:t>
        </w:r>
        <w:r>
          <w:fldChar w:fldCharType="end"/>
        </w:r>
      </w:p>
    </w:sdtContent>
  </w:sdt>
  <w:p w14:paraId="0309E36E">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51816">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54C286"/>
    <w:multiLevelType w:val="singleLevel"/>
    <w:tmpl w:val="6E54C286"/>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SnapToGridInCell/>
    <w:doNotWrapTextWithPunct/>
    <w:doNotUseEastAsianBreakRules/>
    <w:growAutofit/>
    <w:useFELayout/>
    <w:doNotUseIndentAsNumberingTabStop/>
    <w:compatSetting w:name="compatibilityMode" w:uri="http://schemas.microsoft.com/office/word" w:val="14"/>
  </w:compat>
  <w:docVars>
    <w:docVar w:name="commondata" w:val="eyJoZGlkIjoiNWZlY2M2YjcxNmZjZmYyODY1MDg0Y2QwMDhiZTYxOGUifQ=="/>
  </w:docVars>
  <w:rsids>
    <w:rsidRoot w:val="00B312FC"/>
    <w:rsid w:val="00005A8B"/>
    <w:rsid w:val="000260F1"/>
    <w:rsid w:val="00026982"/>
    <w:rsid w:val="00044E24"/>
    <w:rsid w:val="00054312"/>
    <w:rsid w:val="00071ED9"/>
    <w:rsid w:val="00080041"/>
    <w:rsid w:val="00083077"/>
    <w:rsid w:val="00091C2E"/>
    <w:rsid w:val="000970E2"/>
    <w:rsid w:val="000A3F8B"/>
    <w:rsid w:val="000B68C8"/>
    <w:rsid w:val="000E0477"/>
    <w:rsid w:val="000F003D"/>
    <w:rsid w:val="000F5BA4"/>
    <w:rsid w:val="001302C1"/>
    <w:rsid w:val="001529B8"/>
    <w:rsid w:val="001C12C9"/>
    <w:rsid w:val="001C5A74"/>
    <w:rsid w:val="001D0046"/>
    <w:rsid w:val="001D7871"/>
    <w:rsid w:val="001F0A88"/>
    <w:rsid w:val="002073D6"/>
    <w:rsid w:val="00216DCD"/>
    <w:rsid w:val="002356F3"/>
    <w:rsid w:val="00237DAC"/>
    <w:rsid w:val="00243713"/>
    <w:rsid w:val="0025219B"/>
    <w:rsid w:val="002746C2"/>
    <w:rsid w:val="0028360D"/>
    <w:rsid w:val="002A49E9"/>
    <w:rsid w:val="002B362C"/>
    <w:rsid w:val="002C1B5A"/>
    <w:rsid w:val="002C23DB"/>
    <w:rsid w:val="002C6622"/>
    <w:rsid w:val="00303872"/>
    <w:rsid w:val="00343C8B"/>
    <w:rsid w:val="0035619D"/>
    <w:rsid w:val="0036579B"/>
    <w:rsid w:val="0037545E"/>
    <w:rsid w:val="003B103E"/>
    <w:rsid w:val="003B2066"/>
    <w:rsid w:val="003B45C2"/>
    <w:rsid w:val="003D6089"/>
    <w:rsid w:val="003F7CD3"/>
    <w:rsid w:val="00402821"/>
    <w:rsid w:val="00407329"/>
    <w:rsid w:val="0042774A"/>
    <w:rsid w:val="00433105"/>
    <w:rsid w:val="0043529B"/>
    <w:rsid w:val="00444004"/>
    <w:rsid w:val="004447F6"/>
    <w:rsid w:val="00452A7B"/>
    <w:rsid w:val="004765F9"/>
    <w:rsid w:val="004D19E3"/>
    <w:rsid w:val="004E156F"/>
    <w:rsid w:val="004F278C"/>
    <w:rsid w:val="004F71F5"/>
    <w:rsid w:val="00502531"/>
    <w:rsid w:val="005033D8"/>
    <w:rsid w:val="00545496"/>
    <w:rsid w:val="005469CF"/>
    <w:rsid w:val="00561ADC"/>
    <w:rsid w:val="005B4348"/>
    <w:rsid w:val="005B7749"/>
    <w:rsid w:val="005D7C18"/>
    <w:rsid w:val="005F7D5D"/>
    <w:rsid w:val="00600873"/>
    <w:rsid w:val="00601C6E"/>
    <w:rsid w:val="00607547"/>
    <w:rsid w:val="00642C18"/>
    <w:rsid w:val="00696A43"/>
    <w:rsid w:val="006C2EB3"/>
    <w:rsid w:val="006F23BE"/>
    <w:rsid w:val="00704F2C"/>
    <w:rsid w:val="00713A95"/>
    <w:rsid w:val="007658DB"/>
    <w:rsid w:val="007F690F"/>
    <w:rsid w:val="0080022F"/>
    <w:rsid w:val="0081784A"/>
    <w:rsid w:val="008703E2"/>
    <w:rsid w:val="00897839"/>
    <w:rsid w:val="008A3305"/>
    <w:rsid w:val="008A49C0"/>
    <w:rsid w:val="008B044F"/>
    <w:rsid w:val="008B4230"/>
    <w:rsid w:val="008B6B8E"/>
    <w:rsid w:val="008C3F3B"/>
    <w:rsid w:val="0091422D"/>
    <w:rsid w:val="0093300C"/>
    <w:rsid w:val="00941946"/>
    <w:rsid w:val="0094736A"/>
    <w:rsid w:val="00956D07"/>
    <w:rsid w:val="009C105D"/>
    <w:rsid w:val="009C2529"/>
    <w:rsid w:val="009D11ED"/>
    <w:rsid w:val="00A1755C"/>
    <w:rsid w:val="00A20A41"/>
    <w:rsid w:val="00A233B8"/>
    <w:rsid w:val="00A2767E"/>
    <w:rsid w:val="00A2793F"/>
    <w:rsid w:val="00A416AC"/>
    <w:rsid w:val="00A43B47"/>
    <w:rsid w:val="00A71644"/>
    <w:rsid w:val="00A75331"/>
    <w:rsid w:val="00AA0053"/>
    <w:rsid w:val="00AB4406"/>
    <w:rsid w:val="00B312FC"/>
    <w:rsid w:val="00B322F0"/>
    <w:rsid w:val="00B455F6"/>
    <w:rsid w:val="00B516E9"/>
    <w:rsid w:val="00B606E1"/>
    <w:rsid w:val="00B77438"/>
    <w:rsid w:val="00B94447"/>
    <w:rsid w:val="00BB1ADD"/>
    <w:rsid w:val="00BC59F8"/>
    <w:rsid w:val="00BD5077"/>
    <w:rsid w:val="00BF0294"/>
    <w:rsid w:val="00C36832"/>
    <w:rsid w:val="00C36FD3"/>
    <w:rsid w:val="00C47EDA"/>
    <w:rsid w:val="00C5126D"/>
    <w:rsid w:val="00C5141C"/>
    <w:rsid w:val="00C5653E"/>
    <w:rsid w:val="00CA0AB1"/>
    <w:rsid w:val="00CD3679"/>
    <w:rsid w:val="00CF170A"/>
    <w:rsid w:val="00CF20B9"/>
    <w:rsid w:val="00D0177C"/>
    <w:rsid w:val="00D026EF"/>
    <w:rsid w:val="00D157F5"/>
    <w:rsid w:val="00D67F10"/>
    <w:rsid w:val="00D775A1"/>
    <w:rsid w:val="00DB1673"/>
    <w:rsid w:val="00DC00CB"/>
    <w:rsid w:val="00DE5C9F"/>
    <w:rsid w:val="00E20066"/>
    <w:rsid w:val="00E215D5"/>
    <w:rsid w:val="00E231E6"/>
    <w:rsid w:val="00E35D4C"/>
    <w:rsid w:val="00E36AF4"/>
    <w:rsid w:val="00E417AF"/>
    <w:rsid w:val="00E5760D"/>
    <w:rsid w:val="00E62F01"/>
    <w:rsid w:val="00E65E86"/>
    <w:rsid w:val="00E66C44"/>
    <w:rsid w:val="00E72FF5"/>
    <w:rsid w:val="00E952C7"/>
    <w:rsid w:val="00EB734B"/>
    <w:rsid w:val="00EE2F0B"/>
    <w:rsid w:val="00F4497B"/>
    <w:rsid w:val="00F52D23"/>
    <w:rsid w:val="00F66291"/>
    <w:rsid w:val="00F66C47"/>
    <w:rsid w:val="00F702E1"/>
    <w:rsid w:val="00F74F64"/>
    <w:rsid w:val="00F75FFF"/>
    <w:rsid w:val="00F83581"/>
    <w:rsid w:val="00FB7553"/>
    <w:rsid w:val="00FC26DC"/>
    <w:rsid w:val="00FD470D"/>
    <w:rsid w:val="00FD4E1C"/>
    <w:rsid w:val="00FD65BA"/>
    <w:rsid w:val="00FE1B50"/>
    <w:rsid w:val="00FF1109"/>
    <w:rsid w:val="023D5371"/>
    <w:rsid w:val="03E0544A"/>
    <w:rsid w:val="05A87E95"/>
    <w:rsid w:val="05C75F63"/>
    <w:rsid w:val="1B2F02C6"/>
    <w:rsid w:val="304E1FC2"/>
    <w:rsid w:val="3E982E81"/>
    <w:rsid w:val="58567642"/>
    <w:rsid w:val="5DE13318"/>
    <w:rsid w:val="5FF57804"/>
    <w:rsid w:val="60516C5E"/>
    <w:rsid w:val="71871EDE"/>
    <w:rsid w:val="7A2E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nhideWhenUsed="0" w:uiPriority="99"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eastAsia="楷体_GB2312" w:asciiTheme="minorHAnsi" w:hAnsiTheme="minorHAnsi" w:cstheme="minorBidi"/>
      <w:kern w:val="2"/>
      <w:sz w:val="32"/>
      <w:szCs w:val="22"/>
      <w:lang w:val="en-US" w:eastAsia="zh-CN" w:bidi="ar-SA"/>
    </w:rPr>
  </w:style>
  <w:style w:type="paragraph" w:styleId="2">
    <w:name w:val="heading 1"/>
    <w:basedOn w:val="1"/>
    <w:next w:val="1"/>
    <w:link w:val="22"/>
    <w:autoRedefine/>
    <w:qFormat/>
    <w:uiPriority w:val="9"/>
    <w:pPr>
      <w:keepNext/>
      <w:keepLines/>
      <w:spacing w:before="340" w:after="330" w:line="576" w:lineRule="auto"/>
      <w:outlineLvl w:val="0"/>
    </w:pPr>
    <w:rPr>
      <w:rFonts w:cs="宋体"/>
      <w:b/>
      <w:bCs/>
      <w:kern w:val="44"/>
      <w:sz w:val="44"/>
      <w:szCs w:val="44"/>
    </w:rPr>
  </w:style>
  <w:style w:type="paragraph" w:styleId="3">
    <w:name w:val="heading 2"/>
    <w:basedOn w:val="1"/>
    <w:next w:val="1"/>
    <w:link w:val="23"/>
    <w:qFormat/>
    <w:uiPriority w:val="9"/>
    <w:pPr>
      <w:keepNext/>
      <w:keepLines/>
      <w:spacing w:before="260" w:after="260" w:line="415" w:lineRule="auto"/>
      <w:outlineLvl w:val="1"/>
    </w:pPr>
    <w:rPr>
      <w:rFonts w:asciiTheme="majorHAnsi" w:hAnsiTheme="majorHAnsi" w:eastAsiaTheme="majorEastAsia" w:cstheme="majorBidi"/>
      <w:b/>
      <w:bCs/>
      <w:szCs w:val="32"/>
    </w:rPr>
  </w:style>
  <w:style w:type="paragraph" w:styleId="4">
    <w:name w:val="heading 3"/>
    <w:basedOn w:val="1"/>
    <w:next w:val="1"/>
    <w:link w:val="24"/>
    <w:qFormat/>
    <w:uiPriority w:val="9"/>
    <w:pPr>
      <w:keepNext/>
      <w:keepLines/>
      <w:spacing w:before="260" w:after="260" w:line="415" w:lineRule="auto"/>
      <w:outlineLvl w:val="2"/>
    </w:pPr>
    <w:rPr>
      <w:rFonts w:cs="宋体"/>
      <w:b/>
      <w:bCs/>
      <w:szCs w:val="32"/>
    </w:rPr>
  </w:style>
  <w:style w:type="paragraph" w:styleId="5">
    <w:name w:val="heading 4"/>
    <w:basedOn w:val="1"/>
    <w:next w:val="1"/>
    <w:link w:val="25"/>
    <w:qFormat/>
    <w:uiPriority w:val="9"/>
    <w:pPr>
      <w:keepNext/>
      <w:keepLines/>
      <w:spacing w:before="280" w:after="290" w:line="374" w:lineRule="auto"/>
      <w:outlineLvl w:val="3"/>
    </w:pPr>
    <w:rPr>
      <w:rFonts w:asciiTheme="majorHAnsi" w:hAnsiTheme="majorHAnsi" w:eastAsiaTheme="majorEastAsia" w:cstheme="majorBidi"/>
      <w:b/>
      <w:bCs/>
      <w:sz w:val="28"/>
      <w:szCs w:val="28"/>
    </w:rPr>
  </w:style>
  <w:style w:type="paragraph" w:styleId="6">
    <w:name w:val="heading 5"/>
    <w:basedOn w:val="1"/>
    <w:next w:val="1"/>
    <w:link w:val="26"/>
    <w:qFormat/>
    <w:uiPriority w:val="9"/>
    <w:pPr>
      <w:keepNext/>
      <w:keepLines/>
      <w:spacing w:before="280" w:after="290" w:line="374" w:lineRule="auto"/>
      <w:outlineLvl w:val="4"/>
    </w:pPr>
    <w:rPr>
      <w:rFonts w:cs="宋体"/>
      <w:b/>
      <w:bCs/>
      <w:sz w:val="28"/>
      <w:szCs w:val="28"/>
    </w:rPr>
  </w:style>
  <w:style w:type="paragraph" w:styleId="7">
    <w:name w:val="heading 6"/>
    <w:basedOn w:val="1"/>
    <w:next w:val="1"/>
    <w:link w:val="37"/>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qFormat/>
    <w:uiPriority w:val="9"/>
    <w:pPr>
      <w:keepNext/>
      <w:keepLines/>
      <w:spacing w:before="240" w:after="64" w:line="320" w:lineRule="auto"/>
      <w:outlineLvl w:val="6"/>
    </w:pPr>
    <w:rPr>
      <w:b/>
      <w:bCs/>
      <w:sz w:val="24"/>
      <w:szCs w:val="24"/>
    </w:rPr>
  </w:style>
  <w:style w:type="paragraph" w:styleId="9">
    <w:name w:val="heading 8"/>
    <w:basedOn w:val="1"/>
    <w:next w:val="1"/>
    <w:link w:val="64"/>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link w:val="65"/>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9">
    <w:name w:val="Default Paragraph Font"/>
    <w:autoRedefine/>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toa heading"/>
    <w:basedOn w:val="1"/>
    <w:next w:val="1"/>
    <w:autoRedefine/>
    <w:qFormat/>
    <w:uiPriority w:val="99"/>
    <w:pPr>
      <w:spacing w:before="120"/>
    </w:pPr>
    <w:rPr>
      <w:rFonts w:ascii="Arial" w:hAnsi="Arial" w:cs="Arial"/>
      <w:sz w:val="24"/>
    </w:rPr>
  </w:style>
  <w:style w:type="paragraph" w:styleId="12">
    <w:name w:val="annotation text"/>
    <w:basedOn w:val="1"/>
    <w:link w:val="68"/>
    <w:autoRedefine/>
    <w:semiHidden/>
    <w:unhideWhenUsed/>
    <w:qFormat/>
    <w:uiPriority w:val="99"/>
    <w:pPr>
      <w:jc w:val="left"/>
    </w:pPr>
  </w:style>
  <w:style w:type="paragraph" w:styleId="13">
    <w:name w:val="Balloon Text"/>
    <w:basedOn w:val="1"/>
    <w:link w:val="70"/>
    <w:semiHidden/>
    <w:unhideWhenUsed/>
    <w:qFormat/>
    <w:uiPriority w:val="99"/>
    <w:rPr>
      <w:sz w:val="18"/>
      <w:szCs w:val="18"/>
    </w:rPr>
  </w:style>
  <w:style w:type="paragraph" w:styleId="14">
    <w:name w:val="footer"/>
    <w:basedOn w:val="1"/>
    <w:link w:val="67"/>
    <w:unhideWhenUsed/>
    <w:qFormat/>
    <w:uiPriority w:val="99"/>
    <w:pPr>
      <w:tabs>
        <w:tab w:val="center" w:pos="4153"/>
        <w:tab w:val="right" w:pos="8306"/>
      </w:tabs>
      <w:snapToGrid w:val="0"/>
      <w:jc w:val="left"/>
    </w:pPr>
    <w:rPr>
      <w:sz w:val="18"/>
      <w:szCs w:val="18"/>
    </w:rPr>
  </w:style>
  <w:style w:type="paragraph" w:styleId="15">
    <w:name w:val="header"/>
    <w:basedOn w:val="1"/>
    <w:link w:val="66"/>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7">
    <w:name w:val="annotation subject"/>
    <w:basedOn w:val="12"/>
    <w:next w:val="12"/>
    <w:link w:val="69"/>
    <w:semiHidden/>
    <w:unhideWhenUsed/>
    <w:qFormat/>
    <w:uiPriority w:val="99"/>
    <w:rPr>
      <w:b/>
      <w:bCs/>
    </w:rPr>
  </w:style>
  <w:style w:type="character" w:styleId="20">
    <w:name w:val="Strong"/>
    <w:basedOn w:val="19"/>
    <w:qFormat/>
    <w:uiPriority w:val="0"/>
    <w:rPr>
      <w:b/>
      <w:bCs/>
    </w:rPr>
  </w:style>
  <w:style w:type="character" w:styleId="21">
    <w:name w:val="annotation reference"/>
    <w:basedOn w:val="19"/>
    <w:semiHidden/>
    <w:unhideWhenUsed/>
    <w:qFormat/>
    <w:uiPriority w:val="99"/>
    <w:rPr>
      <w:sz w:val="21"/>
      <w:szCs w:val="21"/>
    </w:rPr>
  </w:style>
  <w:style w:type="character" w:customStyle="1" w:styleId="22">
    <w:name w:val="标题 1 Char"/>
    <w:basedOn w:val="19"/>
    <w:link w:val="2"/>
    <w:qFormat/>
    <w:locked/>
    <w:uiPriority w:val="9"/>
    <w:rPr>
      <w:b/>
      <w:bCs/>
      <w:kern w:val="44"/>
      <w:sz w:val="44"/>
      <w:szCs w:val="44"/>
    </w:rPr>
  </w:style>
  <w:style w:type="character" w:customStyle="1" w:styleId="23">
    <w:name w:val="标题 2 Char"/>
    <w:basedOn w:val="19"/>
    <w:link w:val="3"/>
    <w:semiHidden/>
    <w:qFormat/>
    <w:locked/>
    <w:uiPriority w:val="9"/>
    <w:rPr>
      <w:rFonts w:hint="eastAsia" w:asciiTheme="majorHAnsi" w:hAnsiTheme="majorHAnsi" w:eastAsiaTheme="majorEastAsia" w:cstheme="majorBidi"/>
      <w:b/>
      <w:bCs/>
      <w:sz w:val="32"/>
      <w:szCs w:val="32"/>
    </w:rPr>
  </w:style>
  <w:style w:type="character" w:customStyle="1" w:styleId="24">
    <w:name w:val="标题 3 Char"/>
    <w:basedOn w:val="19"/>
    <w:link w:val="4"/>
    <w:semiHidden/>
    <w:qFormat/>
    <w:locked/>
    <w:uiPriority w:val="9"/>
    <w:rPr>
      <w:b/>
      <w:bCs/>
      <w:sz w:val="32"/>
      <w:szCs w:val="32"/>
    </w:rPr>
  </w:style>
  <w:style w:type="character" w:customStyle="1" w:styleId="25">
    <w:name w:val="标题 4 Char"/>
    <w:basedOn w:val="19"/>
    <w:link w:val="5"/>
    <w:semiHidden/>
    <w:qFormat/>
    <w:locked/>
    <w:uiPriority w:val="9"/>
    <w:rPr>
      <w:rFonts w:hint="eastAsia" w:asciiTheme="majorHAnsi" w:hAnsiTheme="majorHAnsi" w:eastAsiaTheme="majorEastAsia" w:cstheme="majorBidi"/>
      <w:b/>
      <w:bCs/>
      <w:sz w:val="28"/>
      <w:szCs w:val="28"/>
    </w:rPr>
  </w:style>
  <w:style w:type="character" w:customStyle="1" w:styleId="26">
    <w:name w:val="标题 5 Char"/>
    <w:basedOn w:val="19"/>
    <w:link w:val="6"/>
    <w:semiHidden/>
    <w:qFormat/>
    <w:locked/>
    <w:uiPriority w:val="9"/>
    <w:rPr>
      <w:b/>
      <w:bCs/>
      <w:sz w:val="28"/>
      <w:szCs w:val="28"/>
    </w:rPr>
  </w:style>
  <w:style w:type="character" w:customStyle="1" w:styleId="27">
    <w:name w:val="FZ标题1 字符"/>
    <w:basedOn w:val="19"/>
    <w:link w:val="28"/>
    <w:qFormat/>
    <w:locked/>
    <w:uiPriority w:val="0"/>
    <w:rPr>
      <w:rFonts w:hint="eastAsia" w:ascii="宋体" w:hAnsi="宋体" w:eastAsia="宋体"/>
      <w:b/>
      <w:color w:val="000000"/>
      <w:sz w:val="32"/>
    </w:rPr>
  </w:style>
  <w:style w:type="paragraph" w:customStyle="1" w:styleId="28">
    <w:name w:val="FZ标题1"/>
    <w:basedOn w:val="2"/>
    <w:link w:val="27"/>
    <w:qFormat/>
    <w:uiPriority w:val="0"/>
    <w:pPr>
      <w:keepNext w:val="0"/>
      <w:keepLines w:val="0"/>
      <w:snapToGrid w:val="0"/>
      <w:spacing w:before="0" w:after="0" w:line="360" w:lineRule="auto"/>
      <w:ind w:left="1" w:leftChars="1" w:right="1" w:rightChars="1" w:firstLine="1" w:firstLineChars="1"/>
      <w:jc w:val="center"/>
    </w:pPr>
    <w:rPr>
      <w:rFonts w:ascii="宋体" w:hAnsi="宋体" w:eastAsia="宋体" w:cstheme="minorBidi"/>
      <w:bCs w:val="0"/>
      <w:color w:val="000000"/>
      <w:kern w:val="2"/>
      <w:sz w:val="32"/>
      <w:szCs w:val="22"/>
    </w:rPr>
  </w:style>
  <w:style w:type="character" w:customStyle="1" w:styleId="29">
    <w:name w:val="FZ标题2 字符"/>
    <w:basedOn w:val="19"/>
    <w:link w:val="30"/>
    <w:qFormat/>
    <w:locked/>
    <w:uiPriority w:val="0"/>
    <w:rPr>
      <w:rFonts w:eastAsia="黑体"/>
      <w:b/>
      <w:bCs/>
      <w:color w:val="000000"/>
      <w:kern w:val="2"/>
      <w:sz w:val="28"/>
      <w:szCs w:val="44"/>
    </w:rPr>
  </w:style>
  <w:style w:type="paragraph" w:customStyle="1" w:styleId="30">
    <w:name w:val="FZ标题2"/>
    <w:basedOn w:val="3"/>
    <w:link w:val="29"/>
    <w:qFormat/>
    <w:uiPriority w:val="0"/>
    <w:pPr>
      <w:keepNext w:val="0"/>
      <w:keepLines w:val="0"/>
      <w:snapToGrid w:val="0"/>
      <w:spacing w:before="0" w:beforeLines="50" w:after="0" w:line="360" w:lineRule="auto"/>
      <w:ind w:left="1" w:leftChars="1" w:right="1" w:rightChars="1" w:firstLine="1" w:firstLineChars="1"/>
      <w:jc w:val="left"/>
    </w:pPr>
    <w:rPr>
      <w:rFonts w:ascii="宋体" w:hAnsi="宋体" w:eastAsia="黑体" w:cstheme="minorBidi"/>
      <w:color w:val="000000"/>
      <w:sz w:val="28"/>
      <w:szCs w:val="44"/>
    </w:rPr>
  </w:style>
  <w:style w:type="character" w:customStyle="1" w:styleId="31">
    <w:name w:val="FZ标题3 字符"/>
    <w:basedOn w:val="19"/>
    <w:link w:val="32"/>
    <w:qFormat/>
    <w:locked/>
    <w:uiPriority w:val="0"/>
    <w:rPr>
      <w:rFonts w:eastAsia="仿宋_GB2312" w:cstheme="majorBidi"/>
      <w:b/>
      <w:bCs/>
      <w:color w:val="000000"/>
      <w:kern w:val="2"/>
      <w:sz w:val="28"/>
      <w:szCs w:val="32"/>
    </w:rPr>
  </w:style>
  <w:style w:type="paragraph" w:customStyle="1" w:styleId="32">
    <w:name w:val="FZ标题3"/>
    <w:basedOn w:val="4"/>
    <w:link w:val="31"/>
    <w:qFormat/>
    <w:uiPriority w:val="0"/>
    <w:pPr>
      <w:keepNext w:val="0"/>
      <w:keepLines w:val="0"/>
      <w:snapToGrid w:val="0"/>
      <w:spacing w:before="120" w:beforeLines="50" w:after="0" w:line="360" w:lineRule="auto"/>
      <w:ind w:right="3" w:rightChars="1" w:firstLine="281" w:firstLineChars="100"/>
    </w:pPr>
    <w:rPr>
      <w:rFonts w:ascii="宋体" w:hAnsi="宋体" w:eastAsia="仿宋_GB2312" w:cstheme="majorBidi"/>
      <w:color w:val="000000"/>
      <w:sz w:val="28"/>
    </w:rPr>
  </w:style>
  <w:style w:type="character" w:customStyle="1" w:styleId="33">
    <w:name w:val="FZ标题4 字符"/>
    <w:basedOn w:val="19"/>
    <w:link w:val="34"/>
    <w:qFormat/>
    <w:locked/>
    <w:uiPriority w:val="0"/>
    <w:rPr>
      <w:rFonts w:ascii="仿宋_GB2312" w:eastAsia="仿宋_GB2312"/>
      <w:bCs/>
      <w:color w:val="000000"/>
      <w:kern w:val="2"/>
      <w:sz w:val="28"/>
      <w:szCs w:val="32"/>
    </w:rPr>
  </w:style>
  <w:style w:type="paragraph" w:customStyle="1" w:styleId="34">
    <w:name w:val="FZ标题4"/>
    <w:basedOn w:val="5"/>
    <w:link w:val="33"/>
    <w:qFormat/>
    <w:uiPriority w:val="0"/>
    <w:pPr>
      <w:keepNext w:val="0"/>
      <w:keepLines w:val="0"/>
      <w:snapToGrid w:val="0"/>
      <w:spacing w:before="120" w:beforeLines="50" w:after="0" w:line="560" w:lineRule="exact"/>
      <w:ind w:firstLine="560" w:firstLineChars="200"/>
      <w:jc w:val="left"/>
    </w:pPr>
    <w:rPr>
      <w:rFonts w:ascii="仿宋_GB2312" w:hAnsi="宋体" w:eastAsia="仿宋_GB2312" w:cstheme="minorBidi"/>
      <w:b w:val="0"/>
      <w:color w:val="000000"/>
      <w:szCs w:val="32"/>
    </w:rPr>
  </w:style>
  <w:style w:type="character" w:customStyle="1" w:styleId="35">
    <w:name w:val="FZ标题5 字符"/>
    <w:basedOn w:val="19"/>
    <w:link w:val="36"/>
    <w:qFormat/>
    <w:locked/>
    <w:uiPriority w:val="0"/>
    <w:rPr>
      <w:rFonts w:hint="eastAsia" w:ascii="宋体" w:hAnsi="宋体" w:eastAsia="宋体" w:cstheme="majorBidi"/>
      <w:bCs/>
      <w:color w:val="000000"/>
      <w:szCs w:val="28"/>
    </w:rPr>
  </w:style>
  <w:style w:type="paragraph" w:customStyle="1" w:styleId="36">
    <w:name w:val="FZ标题5"/>
    <w:basedOn w:val="6"/>
    <w:link w:val="35"/>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ajorBidi"/>
      <w:b w:val="0"/>
      <w:color w:val="000000"/>
      <w:sz w:val="21"/>
    </w:rPr>
  </w:style>
  <w:style w:type="character" w:customStyle="1" w:styleId="37">
    <w:name w:val="标题 6 Char"/>
    <w:basedOn w:val="19"/>
    <w:link w:val="7"/>
    <w:semiHidden/>
    <w:qFormat/>
    <w:uiPriority w:val="9"/>
    <w:rPr>
      <w:rFonts w:asciiTheme="majorHAnsi" w:hAnsiTheme="majorHAnsi" w:eastAsiaTheme="majorEastAsia" w:cstheme="majorBidi"/>
      <w:b/>
      <w:bCs/>
      <w:kern w:val="2"/>
      <w:sz w:val="24"/>
      <w:szCs w:val="24"/>
    </w:rPr>
  </w:style>
  <w:style w:type="character" w:customStyle="1" w:styleId="38">
    <w:name w:val="FZ标题6 字符"/>
    <w:basedOn w:val="19"/>
    <w:link w:val="39"/>
    <w:qFormat/>
    <w:locked/>
    <w:uiPriority w:val="0"/>
    <w:rPr>
      <w:rFonts w:hint="eastAsia" w:ascii="宋体" w:hAnsi="宋体" w:eastAsia="宋体"/>
      <w:bCs/>
      <w:color w:val="000000"/>
      <w:szCs w:val="28"/>
    </w:rPr>
  </w:style>
  <w:style w:type="paragraph" w:customStyle="1" w:styleId="39">
    <w:name w:val="FZ标题6"/>
    <w:basedOn w:val="7"/>
    <w:link w:val="38"/>
    <w:qFormat/>
    <w:uiPriority w:val="0"/>
    <w:pPr>
      <w:keepNext w:val="0"/>
      <w:keepLines w:val="0"/>
      <w:snapToGrid w:val="0"/>
      <w:spacing w:before="0" w:beforeLines="50" w:after="0" w:line="360" w:lineRule="auto"/>
      <w:ind w:left="1" w:leftChars="1" w:right="1" w:rightChars="1" w:firstLine="200" w:firstLineChars="200"/>
      <w:jc w:val="left"/>
    </w:pPr>
    <w:rPr>
      <w:rFonts w:ascii="宋体" w:hAnsi="宋体" w:eastAsia="宋体" w:cstheme="minorBidi"/>
      <w:b w:val="0"/>
      <w:color w:val="000000"/>
      <w:sz w:val="21"/>
      <w:szCs w:val="28"/>
    </w:rPr>
  </w:style>
  <w:style w:type="character" w:customStyle="1" w:styleId="40">
    <w:name w:val="FZ表格标题行首列 字符"/>
    <w:basedOn w:val="19"/>
    <w:link w:val="41"/>
    <w:qFormat/>
    <w:locked/>
    <w:uiPriority w:val="0"/>
    <w:rPr>
      <w:rFonts w:hint="eastAsia" w:ascii="宋体" w:hAnsi="宋体" w:eastAsia="宋体"/>
      <w:color w:val="000000"/>
      <w:sz w:val="18"/>
    </w:rPr>
  </w:style>
  <w:style w:type="paragraph" w:customStyle="1" w:styleId="41">
    <w:name w:val="FZ表格标题行首列"/>
    <w:basedOn w:val="1"/>
    <w:link w:val="40"/>
    <w:qFormat/>
    <w:uiPriority w:val="0"/>
    <w:pPr>
      <w:snapToGrid w:val="0"/>
      <w:spacing w:before="10" w:after="10"/>
      <w:ind w:left="1" w:leftChars="1" w:right="1" w:rightChars="1" w:firstLine="74" w:firstLineChars="50"/>
      <w:jc w:val="left"/>
    </w:pPr>
    <w:rPr>
      <w:rFonts w:ascii="宋体" w:hAnsi="宋体" w:eastAsia="宋体"/>
      <w:color w:val="000000"/>
      <w:sz w:val="18"/>
    </w:rPr>
  </w:style>
  <w:style w:type="character" w:customStyle="1" w:styleId="42">
    <w:name w:val="FZ表格标题行 字符"/>
    <w:basedOn w:val="19"/>
    <w:link w:val="43"/>
    <w:qFormat/>
    <w:locked/>
    <w:uiPriority w:val="0"/>
    <w:rPr>
      <w:rFonts w:hint="eastAsia" w:ascii="宋体" w:hAnsi="宋体" w:eastAsia="宋体"/>
      <w:color w:val="000000"/>
      <w:sz w:val="18"/>
    </w:rPr>
  </w:style>
  <w:style w:type="paragraph" w:customStyle="1" w:styleId="43">
    <w:name w:val="FZ表格标题行"/>
    <w:basedOn w:val="1"/>
    <w:link w:val="42"/>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44">
    <w:name w:val="FZ表格正文行首列 字符"/>
    <w:basedOn w:val="19"/>
    <w:link w:val="45"/>
    <w:qFormat/>
    <w:locked/>
    <w:uiPriority w:val="0"/>
    <w:rPr>
      <w:rFonts w:hint="eastAsia" w:ascii="宋体" w:hAnsi="宋体" w:eastAsia="宋体"/>
      <w:color w:val="000000"/>
      <w:sz w:val="18"/>
    </w:rPr>
  </w:style>
  <w:style w:type="paragraph" w:customStyle="1" w:styleId="45">
    <w:name w:val="FZ表格正文行首列"/>
    <w:basedOn w:val="1"/>
    <w:link w:val="44"/>
    <w:qFormat/>
    <w:uiPriority w:val="0"/>
    <w:pPr>
      <w:snapToGrid w:val="0"/>
      <w:spacing w:before="10" w:after="10"/>
      <w:ind w:left="1" w:leftChars="1" w:right="1" w:rightChars="1" w:firstLine="50" w:firstLineChars="50"/>
      <w:jc w:val="left"/>
    </w:pPr>
    <w:rPr>
      <w:rFonts w:ascii="宋体" w:hAnsi="宋体" w:eastAsia="宋体"/>
      <w:color w:val="000000"/>
      <w:sz w:val="18"/>
    </w:rPr>
  </w:style>
  <w:style w:type="character" w:customStyle="1" w:styleId="46">
    <w:name w:val="FZ表格正文行 字符"/>
    <w:basedOn w:val="19"/>
    <w:link w:val="47"/>
    <w:qFormat/>
    <w:locked/>
    <w:uiPriority w:val="0"/>
    <w:rPr>
      <w:rFonts w:hint="eastAsia" w:ascii="宋体" w:hAnsi="宋体" w:eastAsia="宋体"/>
      <w:color w:val="000000"/>
      <w:sz w:val="18"/>
    </w:rPr>
  </w:style>
  <w:style w:type="paragraph" w:customStyle="1" w:styleId="47">
    <w:name w:val="FZ表格正文行"/>
    <w:basedOn w:val="1"/>
    <w:link w:val="46"/>
    <w:qFormat/>
    <w:uiPriority w:val="0"/>
    <w:pPr>
      <w:snapToGrid w:val="0"/>
      <w:spacing w:before="10" w:after="10"/>
      <w:ind w:left="1" w:leftChars="1" w:right="1" w:rightChars="50" w:firstLine="74" w:firstLineChars="50"/>
      <w:jc w:val="right"/>
    </w:pPr>
    <w:rPr>
      <w:rFonts w:ascii="Times New Roman" w:hAnsi="Times New Roman" w:eastAsia="宋体"/>
      <w:color w:val="000000"/>
      <w:sz w:val="18"/>
    </w:rPr>
  </w:style>
  <w:style w:type="character" w:customStyle="1" w:styleId="48">
    <w:name w:val="FZ表格合计行首列 字符"/>
    <w:basedOn w:val="19"/>
    <w:link w:val="49"/>
    <w:qFormat/>
    <w:locked/>
    <w:uiPriority w:val="0"/>
    <w:rPr>
      <w:rFonts w:hint="eastAsia" w:ascii="宋体" w:hAnsi="宋体" w:eastAsia="宋体"/>
      <w:color w:val="000000"/>
      <w:sz w:val="18"/>
    </w:rPr>
  </w:style>
  <w:style w:type="paragraph" w:customStyle="1" w:styleId="49">
    <w:name w:val="FZ表格合计行首列"/>
    <w:basedOn w:val="1"/>
    <w:link w:val="48"/>
    <w:qFormat/>
    <w:uiPriority w:val="0"/>
    <w:pPr>
      <w:snapToGrid w:val="0"/>
      <w:spacing w:before="10" w:after="10"/>
      <w:ind w:left="1" w:leftChars="1" w:right="1" w:rightChars="1" w:firstLine="74" w:firstLineChars="74"/>
      <w:jc w:val="center"/>
    </w:pPr>
    <w:rPr>
      <w:rFonts w:ascii="宋体" w:hAnsi="宋体" w:eastAsia="宋体"/>
      <w:color w:val="000000"/>
      <w:sz w:val="18"/>
    </w:rPr>
  </w:style>
  <w:style w:type="character" w:customStyle="1" w:styleId="50">
    <w:name w:val="FZ表格合计行 字符"/>
    <w:basedOn w:val="19"/>
    <w:link w:val="51"/>
    <w:qFormat/>
    <w:locked/>
    <w:uiPriority w:val="0"/>
    <w:rPr>
      <w:rFonts w:hint="eastAsia" w:ascii="宋体" w:hAnsi="宋体" w:eastAsia="宋体"/>
      <w:color w:val="000000"/>
      <w:sz w:val="18"/>
    </w:rPr>
  </w:style>
  <w:style w:type="paragraph" w:customStyle="1" w:styleId="51">
    <w:name w:val="FZ表格合计行"/>
    <w:basedOn w:val="1"/>
    <w:link w:val="50"/>
    <w:qFormat/>
    <w:uiPriority w:val="0"/>
    <w:pPr>
      <w:snapToGrid w:val="0"/>
      <w:spacing w:before="10" w:after="10"/>
      <w:ind w:left="1" w:leftChars="1" w:right="1" w:rightChars="1" w:firstLine="74"/>
      <w:jc w:val="right"/>
    </w:pPr>
    <w:rPr>
      <w:rFonts w:ascii="Times New Roman" w:hAnsi="Times New Roman" w:eastAsia="宋体"/>
      <w:color w:val="000000"/>
      <w:sz w:val="18"/>
    </w:rPr>
  </w:style>
  <w:style w:type="character" w:customStyle="1" w:styleId="52">
    <w:name w:val="FZ正文 字符"/>
    <w:basedOn w:val="19"/>
    <w:link w:val="53"/>
    <w:qFormat/>
    <w:locked/>
    <w:uiPriority w:val="0"/>
    <w:rPr>
      <w:rFonts w:ascii="Times New Roman" w:hAnsi="Times New Roman" w:eastAsia="仿宋_GB2312" w:cs="Times New Roman"/>
      <w:color w:val="000000"/>
      <w:kern w:val="2"/>
      <w:sz w:val="28"/>
      <w:szCs w:val="22"/>
    </w:rPr>
  </w:style>
  <w:style w:type="paragraph" w:customStyle="1" w:styleId="53">
    <w:name w:val="FZ正文"/>
    <w:basedOn w:val="1"/>
    <w:link w:val="52"/>
    <w:qFormat/>
    <w:uiPriority w:val="0"/>
    <w:pPr>
      <w:snapToGrid w:val="0"/>
      <w:spacing w:line="360" w:lineRule="auto"/>
      <w:ind w:left="1" w:leftChars="1" w:right="1" w:rightChars="1" w:firstLine="200" w:firstLineChars="200"/>
    </w:pPr>
    <w:rPr>
      <w:rFonts w:ascii="Times New Roman" w:hAnsi="Times New Roman" w:eastAsia="仿宋_GB2312" w:cs="Times New Roman"/>
      <w:color w:val="000000"/>
      <w:sz w:val="28"/>
    </w:rPr>
  </w:style>
  <w:style w:type="character" w:customStyle="1" w:styleId="54">
    <w:name w:val="FZ副标题 字符"/>
    <w:basedOn w:val="19"/>
    <w:link w:val="55"/>
    <w:qFormat/>
    <w:locked/>
    <w:uiPriority w:val="0"/>
    <w:rPr>
      <w:rFonts w:hint="eastAsia" w:ascii="宋体" w:hAnsi="宋体" w:eastAsia="宋体"/>
      <w:color w:val="000000"/>
    </w:rPr>
  </w:style>
  <w:style w:type="paragraph" w:customStyle="1" w:styleId="55">
    <w:name w:val="FZ副标题"/>
    <w:basedOn w:val="1"/>
    <w:link w:val="54"/>
    <w:qFormat/>
    <w:uiPriority w:val="0"/>
    <w:pPr>
      <w:snapToGrid w:val="0"/>
      <w:spacing w:beforeLines="50"/>
      <w:ind w:left="1" w:leftChars="1" w:right="1" w:rightChars="1" w:firstLine="1" w:firstLineChars="1"/>
      <w:jc w:val="center"/>
    </w:pPr>
    <w:rPr>
      <w:rFonts w:ascii="宋体" w:hAnsi="宋体" w:eastAsia="宋体"/>
      <w:color w:val="000000"/>
    </w:rPr>
  </w:style>
  <w:style w:type="character" w:customStyle="1" w:styleId="56">
    <w:name w:val="FZ落款 字符"/>
    <w:basedOn w:val="19"/>
    <w:link w:val="57"/>
    <w:qFormat/>
    <w:locked/>
    <w:uiPriority w:val="0"/>
    <w:rPr>
      <w:rFonts w:hint="eastAsia" w:ascii="宋体" w:hAnsi="宋体" w:eastAsia="宋体"/>
      <w:color w:val="000000"/>
    </w:rPr>
  </w:style>
  <w:style w:type="paragraph" w:customStyle="1" w:styleId="57">
    <w:name w:val="FZ落款"/>
    <w:basedOn w:val="1"/>
    <w:link w:val="56"/>
    <w:qFormat/>
    <w:uiPriority w:val="0"/>
    <w:pPr>
      <w:snapToGrid w:val="0"/>
      <w:spacing w:beforeLines="50" w:line="360" w:lineRule="auto"/>
      <w:ind w:left="1" w:leftChars="1" w:right="1" w:rightChars="1" w:firstLine="1500" w:firstLineChars="1500"/>
      <w:jc w:val="center"/>
    </w:pPr>
    <w:rPr>
      <w:rFonts w:ascii="宋体" w:hAnsi="宋体" w:eastAsia="宋体"/>
      <w:color w:val="000000"/>
    </w:rPr>
  </w:style>
  <w:style w:type="character" w:customStyle="1" w:styleId="58">
    <w:name w:val="FZ注释 字符"/>
    <w:basedOn w:val="19"/>
    <w:link w:val="59"/>
    <w:qFormat/>
    <w:locked/>
    <w:uiPriority w:val="0"/>
    <w:rPr>
      <w:rFonts w:hint="eastAsia" w:ascii="宋体" w:hAnsi="宋体" w:eastAsia="宋体"/>
      <w:color w:val="000000"/>
      <w:sz w:val="18"/>
    </w:rPr>
  </w:style>
  <w:style w:type="paragraph" w:customStyle="1" w:styleId="59">
    <w:name w:val="FZ注释"/>
    <w:basedOn w:val="1"/>
    <w:link w:val="58"/>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character" w:customStyle="1" w:styleId="60">
    <w:name w:val="FZ小标题 字符"/>
    <w:basedOn w:val="19"/>
    <w:link w:val="61"/>
    <w:qFormat/>
    <w:locked/>
    <w:uiPriority w:val="0"/>
    <w:rPr>
      <w:rFonts w:hint="eastAsia" w:ascii="宋体" w:hAnsi="宋体" w:eastAsia="宋体"/>
      <w:color w:val="000000"/>
      <w:sz w:val="18"/>
    </w:rPr>
  </w:style>
  <w:style w:type="paragraph" w:customStyle="1" w:styleId="61">
    <w:name w:val="FZ小标题"/>
    <w:basedOn w:val="1"/>
    <w:link w:val="60"/>
    <w:qFormat/>
    <w:uiPriority w:val="0"/>
    <w:pPr>
      <w:snapToGrid w:val="0"/>
      <w:spacing w:before="10" w:after="10"/>
      <w:ind w:left="1" w:leftChars="1" w:right="1" w:rightChars="1" w:firstLine="74" w:firstLineChars="74"/>
      <w:jc w:val="left"/>
    </w:pPr>
    <w:rPr>
      <w:rFonts w:ascii="宋体" w:hAnsi="宋体" w:eastAsia="宋体"/>
      <w:color w:val="000000"/>
      <w:sz w:val="18"/>
    </w:rPr>
  </w:style>
  <w:style w:type="paragraph" w:customStyle="1" w:styleId="62">
    <w:name w:val="tbtd"/>
    <w:basedOn w:val="1"/>
    <w:qFormat/>
    <w:uiPriority w:val="0"/>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textAlignment w:val="center"/>
    </w:pPr>
    <w:rPr>
      <w:rFonts w:ascii="Times New Roman" w:hAnsi="Times New Roman" w:eastAsia="宋体" w:cs="Times New Roman"/>
      <w:color w:val="000000"/>
      <w:kern w:val="0"/>
      <w:sz w:val="18"/>
      <w:szCs w:val="18"/>
    </w:rPr>
  </w:style>
  <w:style w:type="character" w:customStyle="1" w:styleId="63">
    <w:name w:val="标题 7 Char"/>
    <w:basedOn w:val="19"/>
    <w:link w:val="8"/>
    <w:semiHidden/>
    <w:qFormat/>
    <w:uiPriority w:val="9"/>
    <w:rPr>
      <w:rFonts w:asciiTheme="minorHAnsi" w:hAnsiTheme="minorHAnsi" w:eastAsiaTheme="minorEastAsia"/>
      <w:b/>
      <w:bCs/>
      <w:kern w:val="2"/>
      <w:sz w:val="24"/>
      <w:szCs w:val="24"/>
    </w:rPr>
  </w:style>
  <w:style w:type="character" w:customStyle="1" w:styleId="64">
    <w:name w:val="标题 8 Char"/>
    <w:basedOn w:val="19"/>
    <w:link w:val="9"/>
    <w:semiHidden/>
    <w:qFormat/>
    <w:uiPriority w:val="9"/>
    <w:rPr>
      <w:rFonts w:asciiTheme="majorHAnsi" w:hAnsiTheme="majorHAnsi" w:eastAsiaTheme="majorEastAsia" w:cstheme="majorBidi"/>
      <w:kern w:val="2"/>
      <w:sz w:val="24"/>
      <w:szCs w:val="24"/>
    </w:rPr>
  </w:style>
  <w:style w:type="character" w:customStyle="1" w:styleId="65">
    <w:name w:val="标题 9 Char"/>
    <w:basedOn w:val="19"/>
    <w:link w:val="10"/>
    <w:semiHidden/>
    <w:qFormat/>
    <w:uiPriority w:val="9"/>
    <w:rPr>
      <w:rFonts w:asciiTheme="majorHAnsi" w:hAnsiTheme="majorHAnsi" w:eastAsiaTheme="majorEastAsia" w:cstheme="majorBidi"/>
      <w:kern w:val="2"/>
      <w:sz w:val="21"/>
      <w:szCs w:val="21"/>
    </w:rPr>
  </w:style>
  <w:style w:type="character" w:customStyle="1" w:styleId="66">
    <w:name w:val="页眉 Char"/>
    <w:basedOn w:val="19"/>
    <w:link w:val="15"/>
    <w:qFormat/>
    <w:uiPriority w:val="99"/>
    <w:rPr>
      <w:rFonts w:asciiTheme="minorHAnsi" w:hAnsiTheme="minorHAnsi" w:eastAsiaTheme="minorEastAsia"/>
      <w:kern w:val="2"/>
      <w:sz w:val="18"/>
      <w:szCs w:val="18"/>
    </w:rPr>
  </w:style>
  <w:style w:type="character" w:customStyle="1" w:styleId="67">
    <w:name w:val="页脚 Char"/>
    <w:basedOn w:val="19"/>
    <w:link w:val="14"/>
    <w:qFormat/>
    <w:uiPriority w:val="99"/>
    <w:rPr>
      <w:rFonts w:asciiTheme="minorHAnsi" w:hAnsiTheme="minorHAnsi" w:eastAsiaTheme="minorEastAsia"/>
      <w:kern w:val="2"/>
      <w:sz w:val="18"/>
      <w:szCs w:val="18"/>
    </w:rPr>
  </w:style>
  <w:style w:type="character" w:customStyle="1" w:styleId="68">
    <w:name w:val="批注文字 Char"/>
    <w:basedOn w:val="19"/>
    <w:link w:val="12"/>
    <w:semiHidden/>
    <w:qFormat/>
    <w:uiPriority w:val="99"/>
    <w:rPr>
      <w:rFonts w:asciiTheme="minorHAnsi" w:hAnsiTheme="minorHAnsi" w:eastAsiaTheme="minorEastAsia"/>
      <w:kern w:val="2"/>
      <w:sz w:val="21"/>
      <w:szCs w:val="22"/>
    </w:rPr>
  </w:style>
  <w:style w:type="character" w:customStyle="1" w:styleId="69">
    <w:name w:val="批注主题 Char"/>
    <w:basedOn w:val="68"/>
    <w:link w:val="17"/>
    <w:semiHidden/>
    <w:qFormat/>
    <w:uiPriority w:val="99"/>
    <w:rPr>
      <w:rFonts w:asciiTheme="minorHAnsi" w:hAnsiTheme="minorHAnsi" w:eastAsiaTheme="minorEastAsia"/>
      <w:b/>
      <w:bCs/>
      <w:kern w:val="2"/>
      <w:sz w:val="21"/>
      <w:szCs w:val="22"/>
    </w:rPr>
  </w:style>
  <w:style w:type="character" w:customStyle="1" w:styleId="70">
    <w:name w:val="批注框文本 Char"/>
    <w:basedOn w:val="19"/>
    <w:link w:val="13"/>
    <w:semiHidden/>
    <w:qFormat/>
    <w:uiPriority w:val="99"/>
    <w:rPr>
      <w:rFonts w:asciiTheme="minorHAnsi" w:hAnsiTheme="minorHAnsi" w:eastAsiaTheme="minorEastAsia"/>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EC000-EECB-4647-9479-F9BF12E6FD60}">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7058</Words>
  <Characters>7730</Characters>
  <Lines>9</Lines>
  <Paragraphs>15</Paragraphs>
  <TotalTime>18</TotalTime>
  <ScaleCrop>false</ScaleCrop>
  <LinksUpToDate>false</LinksUpToDate>
  <CharactersWithSpaces>7943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2022-11-19T08:47:00Z</dcterms:created>
  <dc:creator>Xueyang</dc:creator>
  <cp:lastModifiedBy>Administrator</cp:lastModifiedBy>
  <dcterms:modified xsi:type="dcterms:W3CDTF">2025-12-15T10:23:36Z</dcterms:modified>
  <dc:title>C:\Users\Xueyang\Desktop\170号自评报告\57.艾力西湖镇巴扎（10）村花卉生产基地配套建设项目绩效自评报告.xlsx</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210C152DE3C14F43A55C5F0025BEDDD4_13</vt:lpwstr>
  </property>
  <property fmtid="{D5CDD505-2E9C-101B-9397-08002B2CF9AE}" pid="4" name="KSOTemplateDocerSaveRecord">
    <vt:lpwstr>eyJoZGlkIjoiY2RlOGExMTJjOWFmYjNiZTJjMWUwNDM2NWFmZTM5NmEiLCJ1c2VySWQiOiIxMTAwNDE5NzU4In0=</vt:lpwstr>
  </property>
</Properties>
</file>