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27FC75F">
      <w:pPr>
        <w:spacing w:before="120" w:after="120" w:line="480" w:lineRule="auto"/>
        <w:ind w:firstLine="883" w:firstLineChars="200"/>
        <w:jc w:val="center"/>
        <w:outlineLvl w:val="0"/>
        <w:rPr>
          <w:rFonts w:ascii="仿宋_GB2312" w:hAnsi="Arial"/>
          <w:b/>
          <w:color w:val="auto"/>
          <w:sz w:val="44"/>
          <w:szCs w:val="44"/>
          <w:highlight w:val="none"/>
        </w:rPr>
      </w:pPr>
      <w:bookmarkStart w:id="8" w:name="_GoBack"/>
      <w:bookmarkEnd w:id="8"/>
    </w:p>
    <w:p w14:paraId="6E636C2A">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092F932D">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0F9C64D3">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72BE7684">
      <w:pPr>
        <w:spacing w:line="540" w:lineRule="exact"/>
        <w:ind w:firstLine="600" w:firstLineChars="200"/>
        <w:jc w:val="center"/>
        <w:rPr>
          <w:rFonts w:hAnsi="宋体" w:cs="宋体"/>
          <w:color w:val="auto"/>
          <w:kern w:val="0"/>
          <w:sz w:val="30"/>
          <w:szCs w:val="30"/>
          <w:highlight w:val="none"/>
        </w:rPr>
      </w:pPr>
    </w:p>
    <w:p w14:paraId="613E73B0">
      <w:pPr>
        <w:spacing w:line="540" w:lineRule="exact"/>
        <w:ind w:firstLine="600" w:firstLineChars="200"/>
        <w:jc w:val="center"/>
        <w:rPr>
          <w:rFonts w:hAnsi="宋体" w:cs="宋体"/>
          <w:color w:val="auto"/>
          <w:kern w:val="0"/>
          <w:sz w:val="30"/>
          <w:szCs w:val="30"/>
          <w:highlight w:val="none"/>
        </w:rPr>
      </w:pPr>
    </w:p>
    <w:p w14:paraId="22E46DAE">
      <w:pPr>
        <w:spacing w:line="540" w:lineRule="exact"/>
        <w:ind w:firstLine="600" w:firstLineChars="200"/>
        <w:jc w:val="center"/>
        <w:rPr>
          <w:rFonts w:hAnsi="宋体" w:cs="宋体"/>
          <w:color w:val="auto"/>
          <w:kern w:val="0"/>
          <w:sz w:val="30"/>
          <w:szCs w:val="30"/>
          <w:highlight w:val="none"/>
        </w:rPr>
      </w:pPr>
    </w:p>
    <w:p w14:paraId="2583CF92">
      <w:pPr>
        <w:spacing w:line="540" w:lineRule="exact"/>
        <w:ind w:firstLine="600" w:firstLineChars="200"/>
        <w:jc w:val="center"/>
        <w:rPr>
          <w:rFonts w:hAnsi="宋体" w:cs="宋体"/>
          <w:color w:val="auto"/>
          <w:kern w:val="0"/>
          <w:sz w:val="30"/>
          <w:szCs w:val="30"/>
          <w:highlight w:val="none"/>
        </w:rPr>
      </w:pPr>
    </w:p>
    <w:p w14:paraId="18CC6F75">
      <w:pPr>
        <w:spacing w:line="540" w:lineRule="exact"/>
        <w:ind w:firstLine="600" w:firstLineChars="200"/>
        <w:rPr>
          <w:rFonts w:hAnsi="宋体" w:cs="宋体"/>
          <w:color w:val="auto"/>
          <w:kern w:val="0"/>
          <w:sz w:val="30"/>
          <w:szCs w:val="30"/>
          <w:highlight w:val="none"/>
        </w:rPr>
      </w:pPr>
    </w:p>
    <w:p w14:paraId="0A1DF914">
      <w:pPr>
        <w:spacing w:line="540" w:lineRule="exact"/>
        <w:ind w:firstLine="600" w:firstLineChars="200"/>
        <w:rPr>
          <w:rFonts w:hAnsi="宋体" w:cs="宋体"/>
          <w:color w:val="auto"/>
          <w:kern w:val="0"/>
          <w:sz w:val="30"/>
          <w:szCs w:val="30"/>
          <w:highlight w:val="none"/>
        </w:rPr>
      </w:pPr>
    </w:p>
    <w:p w14:paraId="7FF21D55">
      <w:pPr>
        <w:spacing w:line="360" w:lineRule="auto"/>
        <w:ind w:left="640" w:leftChars="200" w:firstLine="640" w:firstLineChars="200"/>
        <w:rPr>
          <w:rFonts w:ascii="仿宋" w:hAnsi="仿宋" w:eastAsia="仿宋" w:cs="仿宋"/>
          <w:color w:val="auto"/>
          <w:szCs w:val="32"/>
          <w:highlight w:val="none"/>
        </w:rPr>
      </w:pPr>
    </w:p>
    <w:p w14:paraId="514680BB">
      <w:pPr>
        <w:spacing w:line="360" w:lineRule="auto"/>
        <w:ind w:left="640" w:leftChars="200" w:firstLine="640" w:firstLineChars="200"/>
        <w:rPr>
          <w:rFonts w:ascii="仿宋" w:hAnsi="仿宋" w:eastAsia="仿宋" w:cs="仿宋"/>
          <w:color w:val="auto"/>
          <w:szCs w:val="32"/>
          <w:highlight w:val="none"/>
        </w:rPr>
      </w:pPr>
    </w:p>
    <w:p w14:paraId="2114217A">
      <w:pPr>
        <w:spacing w:line="560" w:lineRule="exact"/>
        <w:ind w:left="640" w:leftChars="200" w:firstLine="640" w:firstLineChars="200"/>
        <w:rPr>
          <w:rFonts w:ascii="仿宋" w:hAnsi="仿宋" w:eastAsia="仿宋" w:cs="仿宋"/>
          <w:color w:val="auto"/>
          <w:szCs w:val="32"/>
          <w:highlight w:val="none"/>
        </w:rPr>
      </w:pPr>
    </w:p>
    <w:p w14:paraId="064DC22D">
      <w:pPr>
        <w:spacing w:line="560" w:lineRule="exact"/>
        <w:ind w:left="2880" w:leftChars="200" w:hanging="2240" w:hangingChars="700"/>
        <w:rPr>
          <w:rFonts w:ascii="仿宋" w:hAnsi="仿宋" w:eastAsia="仿宋" w:cs="仿宋"/>
          <w:color w:val="auto"/>
          <w:szCs w:val="32"/>
          <w:highlight w:val="none"/>
        </w:rPr>
      </w:pPr>
      <w:r>
        <w:rPr>
          <w:rFonts w:hint="eastAsia" w:ascii="仿宋" w:hAnsi="仿宋" w:eastAsia="仿宋" w:cs="仿宋"/>
          <w:color w:val="auto"/>
          <w:szCs w:val="32"/>
          <w:highlight w:val="none"/>
        </w:rPr>
        <w:t>项  目  名  称:</w:t>
      </w:r>
      <w:r>
        <w:rPr>
          <w:rFonts w:hint="eastAsia" w:ascii="仿宋" w:hAnsi="仿宋" w:eastAsia="仿宋" w:cs="仿宋"/>
          <w:color w:val="auto"/>
          <w:spacing w:val="24"/>
          <w:sz w:val="30"/>
          <w:szCs w:val="30"/>
          <w:highlight w:val="none"/>
        </w:rPr>
        <w:t>于田县2024年用于“十三五”易地搬迁地方政府债券贴息补助项目</w:t>
      </w:r>
    </w:p>
    <w:p w14:paraId="518693E0">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实施单位(公章):</w:t>
      </w:r>
      <w:r>
        <w:rPr>
          <w:rFonts w:hint="eastAsia" w:ascii="仿宋" w:hAnsi="仿宋" w:eastAsia="仿宋" w:cs="仿宋"/>
          <w:color w:val="auto"/>
          <w:spacing w:val="11"/>
          <w:sz w:val="30"/>
          <w:szCs w:val="30"/>
          <w:highlight w:val="none"/>
          <w:lang w:eastAsia="zh-CN"/>
        </w:rPr>
        <w:t>于田县财政局</w:t>
      </w:r>
    </w:p>
    <w:p w14:paraId="0C532A96">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主管部门(公章):</w:t>
      </w:r>
      <w:r>
        <w:rPr>
          <w:rFonts w:hint="eastAsia" w:ascii="仿宋" w:hAnsi="仿宋" w:eastAsia="仿宋" w:cs="仿宋"/>
          <w:color w:val="auto"/>
          <w:spacing w:val="11"/>
          <w:sz w:val="30"/>
          <w:szCs w:val="30"/>
          <w:highlight w:val="none"/>
          <w:lang w:eastAsia="zh-CN"/>
        </w:rPr>
        <w:t>于田县财政局</w:t>
      </w:r>
    </w:p>
    <w:p w14:paraId="2C22A815">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项目负责人(签章):</w:t>
      </w:r>
      <w:r>
        <w:rPr>
          <w:rFonts w:hint="eastAsia" w:ascii="仿宋" w:hAnsi="仿宋" w:eastAsia="仿宋" w:cs="仿宋"/>
          <w:color w:val="auto"/>
          <w:spacing w:val="11"/>
          <w:sz w:val="30"/>
          <w:szCs w:val="30"/>
          <w:highlight w:val="none"/>
        </w:rPr>
        <w:t>张秀伟</w:t>
      </w:r>
    </w:p>
    <w:p w14:paraId="3BF62D21">
      <w:pPr>
        <w:spacing w:line="560" w:lineRule="exact"/>
        <w:ind w:firstLine="640" w:firstLineChars="200"/>
        <w:rPr>
          <w:color w:val="auto"/>
          <w:highlight w:val="none"/>
        </w:rPr>
      </w:pPr>
      <w:r>
        <w:rPr>
          <w:rFonts w:hint="eastAsia" w:ascii="仿宋" w:hAnsi="仿宋" w:eastAsia="仿宋" w:cs="仿宋"/>
          <w:color w:val="auto"/>
          <w:szCs w:val="32"/>
          <w:highlight w:val="none"/>
        </w:rPr>
        <w:t>填  报  时  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5</w:t>
      </w:r>
      <w:r>
        <w:rPr>
          <w:rFonts w:ascii="仿宋" w:hAnsi="仿宋" w:eastAsia="仿宋" w:cs="仿宋"/>
          <w:color w:val="auto"/>
          <w:szCs w:val="32"/>
          <w:highlight w:val="none"/>
        </w:rPr>
        <w:t>年</w:t>
      </w:r>
      <w:r>
        <w:rPr>
          <w:rFonts w:hint="eastAsia" w:ascii="仿宋" w:hAnsi="仿宋" w:eastAsia="仿宋" w:cs="仿宋"/>
          <w:color w:val="auto"/>
          <w:szCs w:val="32"/>
          <w:highlight w:val="none"/>
          <w:lang w:val="en-US" w:eastAsia="zh-CN"/>
        </w:rPr>
        <w:t>2</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27</w:t>
      </w:r>
      <w:r>
        <w:rPr>
          <w:rFonts w:ascii="仿宋" w:hAnsi="仿宋" w:eastAsia="仿宋" w:cs="仿宋"/>
          <w:color w:val="auto"/>
          <w:szCs w:val="32"/>
          <w:highlight w:val="none"/>
        </w:rPr>
        <w:t>日</w:t>
      </w:r>
    </w:p>
    <w:p w14:paraId="65A97874">
      <w:pPr>
        <w:spacing w:line="560" w:lineRule="exact"/>
        <w:ind w:firstLine="640" w:firstLineChars="200"/>
        <w:rPr>
          <w:rFonts w:ascii="仿宋_GB2312" w:hAnsi="仿宋_GB2312" w:cs="仿宋_GB2312"/>
          <w:color w:val="auto"/>
          <w:kern w:val="0"/>
          <w:szCs w:val="32"/>
          <w:highlight w:val="none"/>
          <w:lang w:bidi="en-US"/>
        </w:rPr>
      </w:pPr>
    </w:p>
    <w:p w14:paraId="6D908481">
      <w:pPr>
        <w:spacing w:line="560" w:lineRule="exact"/>
        <w:ind w:firstLine="640" w:firstLineChars="200"/>
        <w:rPr>
          <w:rFonts w:ascii="仿宋_GB2312" w:hAnsi="仿宋_GB2312" w:cs="仿宋_GB2312"/>
          <w:color w:val="auto"/>
          <w:kern w:val="0"/>
          <w:szCs w:val="32"/>
          <w:highlight w:val="none"/>
          <w:lang w:bidi="en-US"/>
        </w:rPr>
      </w:pPr>
    </w:p>
    <w:p w14:paraId="13E971F1">
      <w:pPr>
        <w:spacing w:line="360" w:lineRule="auto"/>
        <w:ind w:firstLine="627" w:firstLineChars="200"/>
        <w:rPr>
          <w:rStyle w:val="19"/>
          <w:rFonts w:ascii="黑体" w:hAnsi="黑体" w:eastAsia="黑体" w:cs="Times New Roman"/>
          <w:color w:val="auto"/>
          <w:spacing w:val="-4"/>
          <w:szCs w:val="32"/>
          <w:highlight w:val="none"/>
        </w:rPr>
      </w:pPr>
    </w:p>
    <w:p w14:paraId="50EF7026">
      <w:pPr>
        <w:spacing w:line="360" w:lineRule="auto"/>
        <w:ind w:firstLine="627" w:firstLineChars="200"/>
        <w:rPr>
          <w:rStyle w:val="19"/>
          <w:rFonts w:ascii="黑体" w:hAnsi="黑体" w:eastAsia="黑体" w:cs="Times New Roman"/>
          <w:color w:val="auto"/>
          <w:spacing w:val="-4"/>
          <w:szCs w:val="32"/>
          <w:highlight w:val="none"/>
        </w:rPr>
      </w:pPr>
      <w:bookmarkStart w:id="0" w:name="OLE_LINK2"/>
      <w:r>
        <w:rPr>
          <w:rStyle w:val="19"/>
          <w:rFonts w:hint="eastAsia" w:ascii="黑体" w:hAnsi="黑体" w:eastAsia="黑体" w:cs="Times New Roman"/>
          <w:color w:val="auto"/>
          <w:spacing w:val="-4"/>
          <w:szCs w:val="32"/>
          <w:highlight w:val="none"/>
        </w:rPr>
        <w:t>一、绩效目标分解下达情况</w:t>
      </w:r>
    </w:p>
    <w:p w14:paraId="2FF3374A">
      <w:pPr>
        <w:spacing w:line="360" w:lineRule="auto"/>
        <w:ind w:firstLine="546" w:firstLineChars="200"/>
        <w:rPr>
          <w:color w:val="auto"/>
          <w:highlight w:val="none"/>
        </w:rPr>
      </w:pPr>
      <w:bookmarkStart w:id="1" w:name="OLE_LINK1"/>
      <w:r>
        <w:rPr>
          <w:rFonts w:hint="eastAsia" w:ascii="楷体_GB2312" w:hAnsi="楷体" w:cs="Times New Roman"/>
          <w:b/>
          <w:color w:val="auto"/>
          <w:spacing w:val="-4"/>
          <w:sz w:val="28"/>
          <w:szCs w:val="32"/>
          <w:highlight w:val="none"/>
        </w:rPr>
        <w:t>（一）财政专项乡村振兴衔接资金下达预算及项目情况</w:t>
      </w:r>
    </w:p>
    <w:p w14:paraId="0C8AF89A">
      <w:pPr>
        <w:pStyle w:val="52"/>
        <w:ind w:left="3" w:right="3" w:firstLine="562"/>
        <w:rPr>
          <w:rFonts w:ascii="仿宋_GB2312"/>
          <w:b/>
          <w:color w:val="auto"/>
          <w:szCs w:val="32"/>
          <w:highlight w:val="none"/>
        </w:rPr>
      </w:pPr>
      <w:r>
        <w:rPr>
          <w:rFonts w:hint="eastAsia" w:ascii="仿宋_GB2312"/>
          <w:b/>
          <w:color w:val="auto"/>
          <w:szCs w:val="32"/>
          <w:highlight w:val="none"/>
        </w:rPr>
        <w:t>1.下达预算情况</w:t>
      </w:r>
    </w:p>
    <w:bookmarkEnd w:id="0"/>
    <w:bookmarkEnd w:id="1"/>
    <w:p w14:paraId="0BE764F7">
      <w:pPr>
        <w:pStyle w:val="52"/>
        <w:ind w:left="3" w:right="3" w:firstLine="560"/>
        <w:rPr>
          <w:rFonts w:ascii="仿宋_GB2312"/>
          <w:color w:val="auto"/>
          <w:szCs w:val="32"/>
          <w:highlight w:val="none"/>
        </w:rPr>
      </w:pPr>
      <w:r>
        <w:rPr>
          <w:rFonts w:hint="eastAsia" w:ascii="仿宋_GB2312"/>
          <w:color w:val="auto"/>
          <w:szCs w:val="32"/>
          <w:highlight w:val="none"/>
        </w:rPr>
        <w:t>本</w:t>
      </w:r>
      <w:r>
        <w:rPr>
          <w:rFonts w:ascii="仿宋" w:hAnsi="仿宋" w:eastAsia="仿宋" w:cs="仿宋"/>
          <w:color w:val="auto"/>
          <w:spacing w:val="5"/>
          <w:sz w:val="28"/>
          <w:szCs w:val="28"/>
          <w:highlight w:val="none"/>
        </w:rPr>
        <w:t>项目</w:t>
      </w:r>
      <w:bookmarkStart w:id="2" w:name="OLE_LINK3"/>
      <w:r>
        <w:rPr>
          <w:rFonts w:ascii="仿宋" w:hAnsi="仿宋" w:eastAsia="仿宋" w:cs="仿宋"/>
          <w:color w:val="auto"/>
          <w:spacing w:val="5"/>
          <w:sz w:val="28"/>
          <w:szCs w:val="28"/>
          <w:highlight w:val="none"/>
        </w:rPr>
        <w:t>根据</w:t>
      </w:r>
      <w:r>
        <w:rPr>
          <w:rFonts w:hint="eastAsia" w:ascii="仿宋" w:hAnsi="仿宋" w:eastAsia="仿宋" w:cs="仿宋"/>
          <w:color w:val="auto"/>
          <w:spacing w:val="5"/>
          <w:sz w:val="28"/>
          <w:szCs w:val="28"/>
          <w:highlight w:val="none"/>
          <w:lang w:val="en-US" w:eastAsia="zh-CN"/>
        </w:rPr>
        <w:t>于田县农村工作领导小组会议纪要</w:t>
      </w:r>
      <w:r>
        <w:rPr>
          <w:rFonts w:ascii="仿宋" w:hAnsi="仿宋" w:eastAsia="仿宋" w:cs="仿宋"/>
          <w:color w:val="auto"/>
          <w:spacing w:val="5"/>
          <w:sz w:val="28"/>
          <w:szCs w:val="28"/>
          <w:highlight w:val="none"/>
        </w:rPr>
        <w:t>下发的《关于对</w:t>
      </w:r>
      <w:r>
        <w:rPr>
          <w:rFonts w:hint="eastAsia" w:ascii="仿宋" w:hAnsi="仿宋" w:eastAsia="仿宋" w:cs="仿宋"/>
          <w:color w:val="auto"/>
          <w:spacing w:val="10"/>
          <w:sz w:val="28"/>
          <w:szCs w:val="28"/>
          <w:highlight w:val="none"/>
          <w:lang w:eastAsia="zh-CN"/>
        </w:rPr>
        <w:t>于田县2024年用于“十三五”易地搬迁地方政府债券贴息补助项目</w:t>
      </w:r>
      <w:r>
        <w:rPr>
          <w:rFonts w:hint="eastAsia" w:ascii="仿宋" w:hAnsi="仿宋" w:eastAsia="仿宋" w:cs="仿宋"/>
          <w:color w:val="auto"/>
          <w:spacing w:val="10"/>
          <w:sz w:val="28"/>
          <w:szCs w:val="28"/>
          <w:highlight w:val="none"/>
          <w:lang w:val="en-US" w:eastAsia="zh-CN"/>
        </w:rPr>
        <w:t>实施要求</w:t>
      </w:r>
      <w:r>
        <w:rPr>
          <w:rFonts w:ascii="仿宋" w:hAnsi="仿宋" w:eastAsia="仿宋" w:cs="仿宋"/>
          <w:color w:val="auto"/>
          <w:spacing w:val="10"/>
          <w:sz w:val="28"/>
          <w:szCs w:val="28"/>
          <w:highlight w:val="none"/>
        </w:rPr>
        <w:t>》(</w:t>
      </w:r>
      <w:r>
        <w:rPr>
          <w:rFonts w:hint="eastAsia" w:ascii="仿宋" w:hAnsi="仿宋" w:eastAsia="仿宋" w:cs="仿宋"/>
          <w:color w:val="auto"/>
          <w:spacing w:val="10"/>
          <w:sz w:val="28"/>
          <w:szCs w:val="28"/>
          <w:highlight w:val="none"/>
          <w:lang w:val="en-US" w:eastAsia="zh-CN"/>
        </w:rPr>
        <w:t>第六期会议纪要</w:t>
      </w:r>
      <w:r>
        <w:rPr>
          <w:rFonts w:ascii="仿宋" w:hAnsi="仿宋" w:eastAsia="仿宋" w:cs="仿宋"/>
          <w:color w:val="auto"/>
          <w:spacing w:val="6"/>
          <w:sz w:val="28"/>
          <w:szCs w:val="28"/>
          <w:highlight w:val="none"/>
        </w:rPr>
        <w:t>)</w:t>
      </w:r>
      <w:r>
        <w:rPr>
          <w:rFonts w:hint="eastAsia" w:ascii="仿宋" w:hAnsi="仿宋" w:eastAsia="仿宋" w:cs="仿宋"/>
          <w:color w:val="auto"/>
          <w:spacing w:val="6"/>
          <w:sz w:val="28"/>
          <w:szCs w:val="28"/>
          <w:highlight w:val="none"/>
          <w:lang w:val="en-US" w:eastAsia="zh-CN"/>
        </w:rPr>
        <w:t>要求</w:t>
      </w:r>
      <w:bookmarkEnd w:id="2"/>
      <w:r>
        <w:rPr>
          <w:rFonts w:ascii="仿宋" w:hAnsi="仿宋" w:eastAsia="仿宋" w:cs="仿宋"/>
          <w:color w:val="auto"/>
          <w:spacing w:val="6"/>
          <w:sz w:val="28"/>
          <w:szCs w:val="28"/>
          <w:highlight w:val="none"/>
        </w:rPr>
        <w:t>立项实施，</w:t>
      </w:r>
      <w:r>
        <w:rPr>
          <w:rFonts w:hint="eastAsia" w:ascii="仿宋" w:hAnsi="仿宋" w:eastAsia="仿宋" w:cs="仿宋"/>
          <w:color w:val="auto"/>
          <w:spacing w:val="6"/>
          <w:sz w:val="28"/>
          <w:szCs w:val="28"/>
          <w:highlight w:val="none"/>
          <w:lang w:eastAsia="zh-CN"/>
        </w:rPr>
        <w:t>于田县2024年用于“十三五”易地搬迁地方政府债券贴息补助项目</w:t>
      </w:r>
      <w:r>
        <w:rPr>
          <w:rFonts w:ascii="仿宋" w:hAnsi="仿宋" w:eastAsia="仿宋" w:cs="仿宋"/>
          <w:color w:val="auto"/>
          <w:spacing w:val="6"/>
          <w:sz w:val="28"/>
          <w:szCs w:val="28"/>
          <w:highlight w:val="none"/>
        </w:rPr>
        <w:t>预算安排总额为</w:t>
      </w:r>
      <w:r>
        <w:rPr>
          <w:rFonts w:ascii="仿宋" w:hAnsi="仿宋" w:eastAsia="仿宋" w:cs="仿宋"/>
          <w:color w:val="auto"/>
          <w:spacing w:val="2"/>
          <w:sz w:val="28"/>
          <w:szCs w:val="28"/>
          <w:highlight w:val="none"/>
        </w:rPr>
        <w:t xml:space="preserve"> </w:t>
      </w:r>
      <w:r>
        <w:rPr>
          <w:rFonts w:hint="eastAsia" w:ascii="仿宋" w:hAnsi="仿宋" w:eastAsia="仿宋" w:cs="仿宋"/>
          <w:color w:val="auto"/>
          <w:spacing w:val="10"/>
          <w:sz w:val="28"/>
          <w:szCs w:val="28"/>
          <w:highlight w:val="none"/>
        </w:rPr>
        <w:t>528.5</w:t>
      </w:r>
      <w:r>
        <w:rPr>
          <w:rFonts w:ascii="仿宋" w:hAnsi="仿宋" w:eastAsia="仿宋" w:cs="仿宋"/>
          <w:color w:val="auto"/>
          <w:spacing w:val="10"/>
          <w:sz w:val="28"/>
          <w:szCs w:val="28"/>
          <w:highlight w:val="none"/>
        </w:rPr>
        <w:t>万元，其中：乡村振兴衔接补助资金</w:t>
      </w:r>
      <w:r>
        <w:rPr>
          <w:rFonts w:hint="eastAsia" w:ascii="仿宋" w:hAnsi="仿宋" w:eastAsia="仿宋" w:cs="仿宋"/>
          <w:color w:val="auto"/>
          <w:spacing w:val="10"/>
          <w:sz w:val="28"/>
          <w:szCs w:val="28"/>
          <w:highlight w:val="none"/>
        </w:rPr>
        <w:t>528.5</w:t>
      </w:r>
      <w:r>
        <w:rPr>
          <w:rFonts w:ascii="仿宋" w:hAnsi="仿宋" w:eastAsia="仿宋" w:cs="仿宋"/>
          <w:color w:val="auto"/>
          <w:spacing w:val="10"/>
          <w:sz w:val="28"/>
          <w:szCs w:val="28"/>
          <w:highlight w:val="none"/>
        </w:rPr>
        <w:t>万</w:t>
      </w:r>
      <w:r>
        <w:rPr>
          <w:rFonts w:ascii="仿宋" w:hAnsi="仿宋" w:eastAsia="仿宋" w:cs="仿宋"/>
          <w:color w:val="auto"/>
          <w:spacing w:val="9"/>
          <w:sz w:val="28"/>
          <w:szCs w:val="28"/>
          <w:highlight w:val="none"/>
        </w:rPr>
        <w:t>元。预算资金到位率为100.00%</w:t>
      </w:r>
      <w:r>
        <w:rPr>
          <w:rFonts w:hint="eastAsia" w:ascii="仿宋_GB2312"/>
          <w:color w:val="auto"/>
          <w:szCs w:val="32"/>
          <w:highlight w:val="none"/>
        </w:rPr>
        <w:t>。</w:t>
      </w:r>
    </w:p>
    <w:p w14:paraId="170CEDEA">
      <w:pPr>
        <w:pStyle w:val="52"/>
        <w:ind w:left="3" w:right="3" w:firstLine="562"/>
        <w:rPr>
          <w:rFonts w:ascii="仿宋_GB2312"/>
          <w:b/>
          <w:color w:val="auto"/>
          <w:szCs w:val="32"/>
          <w:highlight w:val="none"/>
        </w:rPr>
      </w:pPr>
      <w:r>
        <w:rPr>
          <w:rFonts w:hint="eastAsia" w:ascii="仿宋_GB2312"/>
          <w:b/>
          <w:color w:val="auto"/>
          <w:szCs w:val="32"/>
          <w:highlight w:val="none"/>
        </w:rPr>
        <w:t>2.项目实施背景</w:t>
      </w:r>
    </w:p>
    <w:p w14:paraId="5A99C481">
      <w:pPr>
        <w:spacing w:line="560" w:lineRule="exact"/>
        <w:ind w:firstLine="564" w:firstLineChars="200"/>
        <w:rPr>
          <w:rFonts w:ascii="仿宋_GB2312" w:hAnsi="Times New Roman" w:eastAsia="仿宋_GB2312" w:cs="Times New Roman"/>
          <w:color w:val="auto"/>
          <w:sz w:val="28"/>
          <w:szCs w:val="32"/>
          <w:highlight w:val="none"/>
        </w:rPr>
      </w:pPr>
      <w:r>
        <w:rPr>
          <w:rFonts w:hint="eastAsia" w:ascii="仿宋" w:hAnsi="仿宋" w:eastAsia="仿宋" w:cs="仿宋"/>
          <w:color w:val="auto"/>
          <w:spacing w:val="1"/>
          <w:sz w:val="28"/>
          <w:szCs w:val="28"/>
          <w:highlight w:val="none"/>
          <w:lang w:val="en-US" w:eastAsia="zh-CN"/>
        </w:rPr>
        <w:t>按照《中华人民共和国预算法》《自治区地方政府一般债务预算管理办法》《自治区地方政府专项债务预算管理办法》，为更好偿还我县2024年到期的于田县易地扶贫搬迁项目的地方政府债券贴息，全年预计付息528.5万元。</w:t>
      </w:r>
      <w:r>
        <w:rPr>
          <w:rFonts w:ascii="仿宋" w:hAnsi="仿宋" w:eastAsia="仿宋" w:cs="仿宋"/>
          <w:color w:val="auto"/>
          <w:spacing w:val="1"/>
          <w:sz w:val="28"/>
          <w:szCs w:val="28"/>
          <w:highlight w:val="none"/>
        </w:rPr>
        <w:t>项目实施年限 2024年1月-</w:t>
      </w:r>
      <w:r>
        <w:rPr>
          <w:rFonts w:ascii="仿宋" w:hAnsi="仿宋" w:eastAsia="仿宋" w:cs="仿宋"/>
          <w:color w:val="auto"/>
          <w:spacing w:val="21"/>
          <w:sz w:val="28"/>
          <w:szCs w:val="28"/>
          <w:highlight w:val="none"/>
        </w:rPr>
        <w:t>2024年12月</w:t>
      </w:r>
      <w:r>
        <w:rPr>
          <w:rFonts w:hint="eastAsia" w:ascii="仿宋_GB2312" w:hAnsi="Times New Roman" w:eastAsia="仿宋_GB2312" w:cs="Times New Roman"/>
          <w:color w:val="auto"/>
          <w:sz w:val="28"/>
          <w:szCs w:val="32"/>
          <w:highlight w:val="none"/>
        </w:rPr>
        <w:t>。</w:t>
      </w:r>
    </w:p>
    <w:p w14:paraId="4F3301F3">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3</w:t>
      </w:r>
      <w:r>
        <w:rPr>
          <w:rFonts w:hint="eastAsia" w:ascii="仿宋_GB2312" w:hAnsi="Times New Roman" w:eastAsia="仿宋_GB2312" w:cs="Times New Roman"/>
          <w:b/>
          <w:bCs/>
          <w:color w:val="auto"/>
          <w:sz w:val="28"/>
          <w:szCs w:val="32"/>
          <w:highlight w:val="none"/>
        </w:rPr>
        <w:t>、项目实施依据及范围</w:t>
      </w:r>
    </w:p>
    <w:p w14:paraId="057ABDAD">
      <w:pPr>
        <w:spacing w:line="560" w:lineRule="exact"/>
        <w:ind w:firstLine="556" w:firstLineChars="200"/>
        <w:rPr>
          <w:rFonts w:ascii="仿宋_GB2312" w:hAnsi="Times New Roman" w:eastAsia="仿宋_GB2312" w:cs="Times New Roman"/>
          <w:color w:val="auto"/>
          <w:sz w:val="28"/>
          <w:szCs w:val="32"/>
          <w:highlight w:val="none"/>
        </w:rPr>
      </w:pPr>
      <w:r>
        <w:rPr>
          <w:rFonts w:hint="eastAsia" w:ascii="仿宋" w:hAnsi="仿宋" w:eastAsia="仿宋" w:cs="仿宋"/>
          <w:color w:val="auto"/>
          <w:spacing w:val="-1"/>
          <w:sz w:val="28"/>
          <w:szCs w:val="28"/>
          <w:highlight w:val="none"/>
          <w:lang w:eastAsia="zh-CN"/>
        </w:rPr>
        <w:t>于田县2024年用于“十三五”易地搬迁地方政府债券贴息补助项目</w:t>
      </w:r>
      <w:r>
        <w:rPr>
          <w:rFonts w:ascii="仿宋" w:hAnsi="仿宋" w:eastAsia="仿宋" w:cs="仿宋"/>
          <w:color w:val="auto"/>
          <w:spacing w:val="5"/>
          <w:sz w:val="28"/>
          <w:szCs w:val="28"/>
          <w:highlight w:val="none"/>
        </w:rPr>
        <w:t>根据</w:t>
      </w:r>
      <w:r>
        <w:rPr>
          <w:rFonts w:hint="eastAsia" w:ascii="仿宋" w:hAnsi="仿宋" w:eastAsia="仿宋" w:cs="仿宋"/>
          <w:color w:val="auto"/>
          <w:spacing w:val="5"/>
          <w:sz w:val="28"/>
          <w:szCs w:val="28"/>
          <w:highlight w:val="none"/>
          <w:lang w:val="en-US" w:eastAsia="zh-CN"/>
        </w:rPr>
        <w:t>于田县农村工作领导小组会议纪要</w:t>
      </w:r>
      <w:r>
        <w:rPr>
          <w:rFonts w:ascii="仿宋" w:hAnsi="仿宋" w:eastAsia="仿宋" w:cs="仿宋"/>
          <w:color w:val="auto"/>
          <w:spacing w:val="5"/>
          <w:sz w:val="28"/>
          <w:szCs w:val="28"/>
          <w:highlight w:val="none"/>
        </w:rPr>
        <w:t>下发的《关于对</w:t>
      </w:r>
      <w:r>
        <w:rPr>
          <w:rFonts w:hint="eastAsia" w:ascii="仿宋" w:hAnsi="仿宋" w:eastAsia="仿宋" w:cs="仿宋"/>
          <w:color w:val="auto"/>
          <w:spacing w:val="10"/>
          <w:sz w:val="28"/>
          <w:szCs w:val="28"/>
          <w:highlight w:val="none"/>
          <w:lang w:eastAsia="zh-CN"/>
        </w:rPr>
        <w:t>于田县2024年用于“十三五”易地搬迁地方政府</w:t>
      </w:r>
      <w:bookmarkStart w:id="3" w:name="OLE_LINK4"/>
      <w:r>
        <w:rPr>
          <w:rFonts w:hint="eastAsia" w:ascii="仿宋" w:hAnsi="仿宋" w:eastAsia="仿宋" w:cs="仿宋"/>
          <w:color w:val="auto"/>
          <w:spacing w:val="10"/>
          <w:sz w:val="28"/>
          <w:szCs w:val="28"/>
          <w:highlight w:val="none"/>
          <w:lang w:eastAsia="zh-CN"/>
        </w:rPr>
        <w:t>债券贴息</w:t>
      </w:r>
      <w:bookmarkEnd w:id="3"/>
      <w:r>
        <w:rPr>
          <w:rFonts w:hint="eastAsia" w:ascii="仿宋" w:hAnsi="仿宋" w:eastAsia="仿宋" w:cs="仿宋"/>
          <w:color w:val="auto"/>
          <w:spacing w:val="10"/>
          <w:sz w:val="28"/>
          <w:szCs w:val="28"/>
          <w:highlight w:val="none"/>
          <w:lang w:eastAsia="zh-CN"/>
        </w:rPr>
        <w:t>补助项目</w:t>
      </w:r>
      <w:r>
        <w:rPr>
          <w:rFonts w:hint="eastAsia" w:ascii="仿宋" w:hAnsi="仿宋" w:eastAsia="仿宋" w:cs="仿宋"/>
          <w:color w:val="auto"/>
          <w:spacing w:val="10"/>
          <w:sz w:val="28"/>
          <w:szCs w:val="28"/>
          <w:highlight w:val="none"/>
          <w:lang w:val="en-US" w:eastAsia="zh-CN"/>
        </w:rPr>
        <w:t>实施要求</w:t>
      </w:r>
      <w:r>
        <w:rPr>
          <w:rFonts w:ascii="仿宋" w:hAnsi="仿宋" w:eastAsia="仿宋" w:cs="仿宋"/>
          <w:color w:val="auto"/>
          <w:spacing w:val="10"/>
          <w:sz w:val="28"/>
          <w:szCs w:val="28"/>
          <w:highlight w:val="none"/>
        </w:rPr>
        <w:t>》(</w:t>
      </w:r>
      <w:r>
        <w:rPr>
          <w:rFonts w:hint="eastAsia" w:ascii="仿宋" w:hAnsi="仿宋" w:eastAsia="仿宋" w:cs="仿宋"/>
          <w:color w:val="auto"/>
          <w:spacing w:val="10"/>
          <w:sz w:val="28"/>
          <w:szCs w:val="28"/>
          <w:highlight w:val="none"/>
          <w:lang w:val="en-US" w:eastAsia="zh-CN"/>
        </w:rPr>
        <w:t>第六期会议纪要</w:t>
      </w:r>
      <w:r>
        <w:rPr>
          <w:rFonts w:ascii="仿宋" w:hAnsi="仿宋" w:eastAsia="仿宋" w:cs="仿宋"/>
          <w:color w:val="auto"/>
          <w:spacing w:val="6"/>
          <w:sz w:val="28"/>
          <w:szCs w:val="28"/>
          <w:highlight w:val="none"/>
        </w:rPr>
        <w:t>)</w:t>
      </w:r>
      <w:r>
        <w:rPr>
          <w:rFonts w:hint="eastAsia" w:ascii="仿宋" w:hAnsi="仿宋" w:eastAsia="仿宋" w:cs="仿宋"/>
          <w:color w:val="auto"/>
          <w:spacing w:val="6"/>
          <w:sz w:val="28"/>
          <w:szCs w:val="28"/>
          <w:highlight w:val="none"/>
          <w:lang w:val="en-US" w:eastAsia="zh-CN"/>
        </w:rPr>
        <w:t>要求及实施方案实施</w:t>
      </w:r>
      <w:r>
        <w:rPr>
          <w:rFonts w:ascii="仿宋" w:hAnsi="仿宋" w:eastAsia="仿宋" w:cs="仿宋"/>
          <w:color w:val="auto"/>
          <w:spacing w:val="10"/>
          <w:sz w:val="28"/>
          <w:szCs w:val="28"/>
          <w:highlight w:val="none"/>
        </w:rPr>
        <w:t>，</w:t>
      </w:r>
      <w:r>
        <w:rPr>
          <w:rFonts w:hint="eastAsia" w:ascii="仿宋" w:hAnsi="仿宋" w:eastAsia="仿宋" w:cs="仿宋"/>
          <w:color w:val="auto"/>
          <w:spacing w:val="10"/>
          <w:sz w:val="28"/>
          <w:szCs w:val="28"/>
          <w:highlight w:val="none"/>
          <w:lang w:val="en-US" w:eastAsia="zh-CN"/>
        </w:rPr>
        <w:t>实施范围</w:t>
      </w:r>
      <w:r>
        <w:rPr>
          <w:rFonts w:ascii="仿宋" w:hAnsi="仿宋" w:eastAsia="仿宋" w:cs="仿宋"/>
          <w:color w:val="auto"/>
          <w:spacing w:val="10"/>
          <w:sz w:val="28"/>
          <w:szCs w:val="28"/>
          <w:highlight w:val="none"/>
        </w:rPr>
        <w:t>：于田</w:t>
      </w:r>
      <w:r>
        <w:rPr>
          <w:rFonts w:hint="eastAsia" w:ascii="仿宋" w:hAnsi="仿宋" w:eastAsia="仿宋" w:cs="仿宋"/>
          <w:color w:val="auto"/>
          <w:spacing w:val="10"/>
          <w:sz w:val="28"/>
          <w:szCs w:val="28"/>
          <w:highlight w:val="none"/>
          <w:lang w:val="en-US" w:eastAsia="zh-CN"/>
        </w:rPr>
        <w:t>县</w:t>
      </w:r>
      <w:r>
        <w:rPr>
          <w:rFonts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实施内容：本项目用于田县易地搬迁建设资金一般性地方政府债券资金进行贴息。有效缓解财政压力，上级财政部门对债券付息资金效益的满意度达到95%以上。项目的实施，有效防范化解政府债务风险；适度拉长到期地方政府债券还本期限，有效缓解财政压力，维护政府还款信用</w:t>
      </w:r>
      <w:r>
        <w:rPr>
          <w:rFonts w:hint="eastAsia" w:ascii="仿宋_GB2312" w:hAnsi="Times New Roman" w:eastAsia="仿宋_GB2312" w:cs="Times New Roman"/>
          <w:color w:val="auto"/>
          <w:sz w:val="28"/>
          <w:szCs w:val="32"/>
          <w:highlight w:val="none"/>
        </w:rPr>
        <w:t>。</w:t>
      </w:r>
    </w:p>
    <w:p w14:paraId="62977E46">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4</w:t>
      </w:r>
      <w:r>
        <w:rPr>
          <w:rFonts w:hint="eastAsia" w:ascii="仿宋_GB2312" w:hAnsi="Times New Roman" w:eastAsia="仿宋_GB2312" w:cs="Times New Roman"/>
          <w:b/>
          <w:bCs/>
          <w:color w:val="auto"/>
          <w:sz w:val="28"/>
          <w:szCs w:val="32"/>
          <w:highlight w:val="none"/>
        </w:rPr>
        <w:t>、项目基本性质及类别</w:t>
      </w:r>
    </w:p>
    <w:p w14:paraId="4CE2D57A">
      <w:pPr>
        <w:spacing w:line="560" w:lineRule="exact"/>
        <w:ind w:firstLine="564" w:firstLineChars="200"/>
        <w:rPr>
          <w:rFonts w:ascii="仿宋_GB2312" w:hAnsi="Times New Roman" w:eastAsia="仿宋_GB2312" w:cs="Times New Roman"/>
          <w:color w:val="auto"/>
          <w:sz w:val="28"/>
          <w:szCs w:val="32"/>
          <w:highlight w:val="none"/>
        </w:rPr>
      </w:pPr>
      <w:r>
        <w:rPr>
          <w:rFonts w:hint="eastAsia" w:ascii="仿宋" w:hAnsi="仿宋" w:eastAsia="仿宋" w:cs="仿宋"/>
          <w:color w:val="auto"/>
          <w:spacing w:val="1"/>
          <w:sz w:val="28"/>
          <w:szCs w:val="28"/>
          <w:highlight w:val="none"/>
          <w:lang w:eastAsia="zh-CN"/>
        </w:rPr>
        <w:t>于田县2024年用于“十三五”易地搬迁地方政府债券贴息补助项目</w:t>
      </w:r>
      <w:r>
        <w:rPr>
          <w:rFonts w:ascii="仿宋" w:hAnsi="仿宋" w:eastAsia="仿宋" w:cs="仿宋"/>
          <w:color w:val="auto"/>
          <w:spacing w:val="1"/>
          <w:sz w:val="28"/>
          <w:szCs w:val="28"/>
          <w:highlight w:val="none"/>
        </w:rPr>
        <w:t>性质为</w:t>
      </w:r>
      <w:r>
        <w:rPr>
          <w:rFonts w:hint="eastAsia" w:ascii="仿宋" w:hAnsi="仿宋" w:eastAsia="仿宋" w:cs="仿宋"/>
          <w:color w:val="auto"/>
          <w:spacing w:val="10"/>
          <w:sz w:val="28"/>
          <w:szCs w:val="28"/>
          <w:highlight w:val="none"/>
          <w:lang w:eastAsia="zh-CN"/>
        </w:rPr>
        <w:t>贴息</w:t>
      </w:r>
      <w:r>
        <w:rPr>
          <w:rFonts w:ascii="仿宋" w:hAnsi="仿宋" w:eastAsia="仿宋" w:cs="仿宋"/>
          <w:color w:val="auto"/>
          <w:spacing w:val="1"/>
          <w:sz w:val="28"/>
          <w:szCs w:val="28"/>
          <w:highlight w:val="none"/>
        </w:rPr>
        <w:t>补助类项目，属于乡村振</w:t>
      </w:r>
      <w:r>
        <w:rPr>
          <w:rFonts w:ascii="仿宋" w:hAnsi="仿宋" w:eastAsia="仿宋" w:cs="仿宋"/>
          <w:color w:val="auto"/>
          <w:spacing w:val="-7"/>
          <w:sz w:val="28"/>
          <w:szCs w:val="28"/>
          <w:highlight w:val="none"/>
        </w:rPr>
        <w:t>兴衔接资金项目</w:t>
      </w:r>
      <w:r>
        <w:rPr>
          <w:rFonts w:hint="eastAsia" w:ascii="仿宋_GB2312" w:hAnsi="Times New Roman" w:eastAsia="仿宋_GB2312" w:cs="Times New Roman"/>
          <w:color w:val="auto"/>
          <w:sz w:val="28"/>
          <w:szCs w:val="32"/>
          <w:highlight w:val="none"/>
        </w:rPr>
        <w:t>。</w:t>
      </w:r>
    </w:p>
    <w:p w14:paraId="450E4EED">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（二）财政专项乡村振兴衔接资金项目绩效目标设定情况</w:t>
      </w:r>
    </w:p>
    <w:p w14:paraId="67589F2B">
      <w:pPr>
        <w:spacing w:line="560" w:lineRule="exact"/>
        <w:ind w:firstLine="562" w:firstLineChars="200"/>
        <w:rPr>
          <w:rFonts w:ascii="仿宋_GB2312" w:hAnsi="Times New Roman" w:eastAsia="仿宋_GB2312" w:cs="Times New Roman"/>
          <w:b/>
          <w:bCs/>
          <w:color w:val="auto"/>
          <w:sz w:val="28"/>
          <w:szCs w:val="32"/>
          <w:highlight w:val="none"/>
        </w:rPr>
      </w:pPr>
      <w:r>
        <w:rPr>
          <w:rFonts w:hint="eastAsia" w:ascii="仿宋_GB2312" w:hAnsi="Times New Roman" w:eastAsia="仿宋_GB2312" w:cs="Times New Roman"/>
          <w:b/>
          <w:bCs/>
          <w:color w:val="auto"/>
          <w:sz w:val="28"/>
          <w:szCs w:val="32"/>
          <w:highlight w:val="none"/>
        </w:rPr>
        <w:t>1.项目绩效总体目标</w:t>
      </w:r>
    </w:p>
    <w:p w14:paraId="11560867">
      <w:pPr>
        <w:spacing w:before="221" w:line="353" w:lineRule="auto"/>
        <w:ind w:right="200" w:firstLine="549"/>
        <w:jc w:val="both"/>
        <w:rPr>
          <w:rFonts w:ascii="仿宋" w:hAnsi="仿宋" w:eastAsia="仿宋" w:cs="仿宋"/>
          <w:color w:val="auto"/>
          <w:sz w:val="28"/>
          <w:szCs w:val="28"/>
          <w:highlight w:val="none"/>
        </w:rPr>
      </w:pPr>
      <w:r>
        <w:rPr>
          <w:rFonts w:hint="eastAsia" w:ascii="仿宋" w:hAnsi="仿宋" w:eastAsia="仿宋" w:cs="仿宋"/>
          <w:color w:val="auto"/>
          <w:spacing w:val="10"/>
          <w:sz w:val="28"/>
          <w:szCs w:val="28"/>
          <w:highlight w:val="none"/>
          <w:lang w:eastAsia="zh-CN"/>
        </w:rPr>
        <w:t>于田县2024年用于“十三五”易地搬迁地方政府债券贴息补助项目</w:t>
      </w:r>
      <w:r>
        <w:rPr>
          <w:rFonts w:ascii="仿宋" w:hAnsi="仿宋" w:eastAsia="仿宋" w:cs="仿宋"/>
          <w:color w:val="auto"/>
          <w:spacing w:val="10"/>
          <w:sz w:val="28"/>
          <w:szCs w:val="28"/>
          <w:highlight w:val="none"/>
        </w:rPr>
        <w:t>总投资</w:t>
      </w:r>
      <w:r>
        <w:rPr>
          <w:rFonts w:hint="eastAsia" w:ascii="仿宋" w:hAnsi="仿宋" w:eastAsia="仿宋" w:cs="仿宋"/>
          <w:color w:val="auto"/>
          <w:spacing w:val="10"/>
          <w:sz w:val="28"/>
          <w:szCs w:val="28"/>
          <w:highlight w:val="none"/>
        </w:rPr>
        <w:t>528.5</w:t>
      </w:r>
      <w:r>
        <w:rPr>
          <w:rFonts w:ascii="仿宋" w:hAnsi="仿宋" w:eastAsia="仿宋" w:cs="仿宋"/>
          <w:color w:val="auto"/>
          <w:spacing w:val="10"/>
          <w:sz w:val="28"/>
          <w:szCs w:val="28"/>
          <w:highlight w:val="none"/>
        </w:rPr>
        <w:t>万元，全部申请乡</w:t>
      </w:r>
      <w:r>
        <w:rPr>
          <w:rFonts w:ascii="仿宋" w:hAnsi="仿宋" w:eastAsia="仿宋" w:cs="仿宋"/>
          <w:color w:val="auto"/>
          <w:spacing w:val="9"/>
          <w:sz w:val="28"/>
          <w:szCs w:val="28"/>
          <w:highlight w:val="none"/>
        </w:rPr>
        <w:t>村振</w:t>
      </w:r>
      <w:r>
        <w:rPr>
          <w:rFonts w:ascii="仿宋" w:hAnsi="仿宋" w:eastAsia="仿宋" w:cs="仿宋"/>
          <w:color w:val="auto"/>
          <w:spacing w:val="8"/>
          <w:sz w:val="28"/>
          <w:szCs w:val="28"/>
          <w:highlight w:val="none"/>
        </w:rPr>
        <w:t>兴衔接资金。主要内容为：</w:t>
      </w:r>
      <w:r>
        <w:rPr>
          <w:rFonts w:hint="eastAsia" w:ascii="仿宋" w:hAnsi="仿宋" w:eastAsia="仿宋" w:cs="仿宋"/>
          <w:color w:val="auto"/>
          <w:spacing w:val="8"/>
          <w:sz w:val="28"/>
          <w:szCs w:val="28"/>
          <w:highlight w:val="none"/>
        </w:rPr>
        <w:t>项目用于田县易地搬迁建设资金一般性地方政府债券资金进行贴息</w:t>
      </w:r>
      <w:r>
        <w:rPr>
          <w:rFonts w:ascii="仿宋" w:hAnsi="仿宋" w:eastAsia="仿宋" w:cs="仿宋"/>
          <w:color w:val="auto"/>
          <w:spacing w:val="-3"/>
          <w:sz w:val="28"/>
          <w:szCs w:val="28"/>
          <w:highlight w:val="none"/>
        </w:rPr>
        <w:t>。</w:t>
      </w:r>
    </w:p>
    <w:p w14:paraId="5A7C3F0D">
      <w:pPr>
        <w:pStyle w:val="52"/>
        <w:spacing w:line="560" w:lineRule="exact"/>
        <w:ind w:left="3" w:right="3" w:firstLine="560"/>
        <w:rPr>
          <w:rFonts w:ascii="仿宋_GB2312"/>
          <w:color w:val="auto"/>
          <w:szCs w:val="32"/>
          <w:highlight w:val="none"/>
        </w:rPr>
      </w:pPr>
      <w:r>
        <w:rPr>
          <w:rFonts w:ascii="仿宋" w:hAnsi="仿宋" w:eastAsia="仿宋" w:cs="仿宋"/>
          <w:color w:val="auto"/>
          <w:spacing w:val="11"/>
          <w:sz w:val="28"/>
          <w:szCs w:val="28"/>
          <w:highlight w:val="none"/>
        </w:rPr>
        <w:t>通过</w:t>
      </w:r>
      <w:r>
        <w:rPr>
          <w:rFonts w:hint="eastAsia" w:ascii="仿宋" w:hAnsi="仿宋" w:eastAsia="仿宋" w:cs="仿宋"/>
          <w:color w:val="auto"/>
          <w:spacing w:val="11"/>
          <w:sz w:val="28"/>
          <w:szCs w:val="28"/>
          <w:highlight w:val="none"/>
          <w:lang w:eastAsia="zh-CN"/>
        </w:rPr>
        <w:t>于田县2024年用于“十三五”易地搬迁地方政府债券贴息补助项目</w:t>
      </w:r>
      <w:r>
        <w:rPr>
          <w:rFonts w:ascii="仿宋" w:hAnsi="仿宋" w:eastAsia="仿宋" w:cs="仿宋"/>
          <w:color w:val="auto"/>
          <w:spacing w:val="11"/>
          <w:sz w:val="28"/>
          <w:szCs w:val="28"/>
          <w:highlight w:val="none"/>
        </w:rPr>
        <w:t>实施</w:t>
      </w:r>
      <w:r>
        <w:rPr>
          <w:rFonts w:hint="eastAsia" w:ascii="仿宋" w:hAnsi="仿宋" w:eastAsia="仿宋" w:cs="仿宋"/>
          <w:color w:val="auto"/>
          <w:spacing w:val="11"/>
          <w:sz w:val="28"/>
          <w:szCs w:val="28"/>
          <w:highlight w:val="none"/>
        </w:rPr>
        <w:t>有效缓解财政压力，上级财政部门对债券付息资金效益的满意度达到95%以上。项目的实施，有效防范化解政府债务风险；适度拉长到期地方政府债券还本期限，有效缓解财政压力，维护政府还款信用</w:t>
      </w:r>
      <w:r>
        <w:rPr>
          <w:rFonts w:hint="eastAsia" w:ascii="仿宋_GB2312"/>
          <w:color w:val="auto"/>
          <w:szCs w:val="32"/>
          <w:highlight w:val="none"/>
        </w:rPr>
        <w:t>。</w:t>
      </w:r>
    </w:p>
    <w:p w14:paraId="0B4FED9F">
      <w:pPr>
        <w:pStyle w:val="52"/>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14:paraId="539EDC06">
      <w:pPr>
        <w:pStyle w:val="52"/>
        <w:spacing w:line="560" w:lineRule="exact"/>
        <w:ind w:left="3" w:right="3" w:firstLine="560"/>
        <w:rPr>
          <w:rFonts w:ascii="仿宋_GB2312"/>
          <w:color w:val="auto"/>
          <w:szCs w:val="32"/>
          <w:highlight w:val="none"/>
        </w:rPr>
      </w:pPr>
      <w:r>
        <w:rPr>
          <w:rFonts w:ascii="仿宋_GB2312"/>
          <w:color w:val="auto"/>
          <w:szCs w:val="32"/>
          <w:highlight w:val="none"/>
        </w:rPr>
        <w:t>根据《自治区财政专项扶贫资金绩效管理操作指南》（新财预〔2019〕170号）的规定，结合项目具体情况，</w:t>
      </w:r>
      <w:r>
        <w:rPr>
          <w:rFonts w:hint="eastAsia" w:ascii="仿宋_GB2312"/>
          <w:color w:val="auto"/>
          <w:szCs w:val="32"/>
          <w:highlight w:val="none"/>
        </w:rPr>
        <w:t>本</w:t>
      </w:r>
      <w:r>
        <w:rPr>
          <w:rFonts w:ascii="仿宋" w:hAnsi="仿宋" w:eastAsia="仿宋" w:cs="仿宋"/>
          <w:color w:val="auto"/>
          <w:spacing w:val="13"/>
          <w:sz w:val="28"/>
          <w:szCs w:val="28"/>
          <w:highlight w:val="none"/>
        </w:rPr>
        <w:t>项目共设置一级指标3个，二级</w:t>
      </w:r>
      <w:r>
        <w:rPr>
          <w:rFonts w:ascii="仿宋" w:hAnsi="仿宋" w:eastAsia="仿宋" w:cs="仿宋"/>
          <w:color w:val="auto"/>
          <w:spacing w:val="5"/>
          <w:sz w:val="28"/>
          <w:szCs w:val="28"/>
          <w:highlight w:val="none"/>
        </w:rPr>
        <w:t xml:space="preserve">  </w:t>
      </w:r>
      <w:r>
        <w:rPr>
          <w:rFonts w:ascii="仿宋" w:hAnsi="仿宋" w:eastAsia="仿宋" w:cs="仿宋"/>
          <w:color w:val="auto"/>
          <w:spacing w:val="13"/>
          <w:sz w:val="28"/>
          <w:szCs w:val="28"/>
          <w:highlight w:val="none"/>
        </w:rPr>
        <w:t>指标</w:t>
      </w:r>
      <w:r>
        <w:rPr>
          <w:rFonts w:hint="eastAsia" w:ascii="仿宋" w:hAnsi="仿宋" w:eastAsia="仿宋" w:cs="仿宋"/>
          <w:color w:val="auto"/>
          <w:spacing w:val="13"/>
          <w:sz w:val="28"/>
          <w:szCs w:val="28"/>
          <w:highlight w:val="none"/>
          <w:lang w:val="en-US" w:eastAsia="zh-CN"/>
        </w:rPr>
        <w:t>6</w:t>
      </w:r>
      <w:r>
        <w:rPr>
          <w:rFonts w:ascii="仿宋" w:hAnsi="仿宋" w:eastAsia="仿宋" w:cs="仿宋"/>
          <w:color w:val="auto"/>
          <w:spacing w:val="13"/>
          <w:sz w:val="28"/>
          <w:szCs w:val="28"/>
          <w:highlight w:val="none"/>
        </w:rPr>
        <w:t>个，三级指标</w:t>
      </w:r>
      <w:r>
        <w:rPr>
          <w:rFonts w:hint="eastAsia" w:ascii="仿宋" w:hAnsi="仿宋" w:eastAsia="仿宋" w:cs="仿宋"/>
          <w:color w:val="auto"/>
          <w:spacing w:val="13"/>
          <w:sz w:val="28"/>
          <w:szCs w:val="28"/>
          <w:highlight w:val="none"/>
          <w:lang w:val="en-US" w:eastAsia="zh-CN"/>
        </w:rPr>
        <w:t>8</w:t>
      </w:r>
      <w:r>
        <w:rPr>
          <w:rFonts w:ascii="仿宋" w:hAnsi="仿宋" w:eastAsia="仿宋" w:cs="仿宋"/>
          <w:color w:val="auto"/>
          <w:spacing w:val="13"/>
          <w:sz w:val="28"/>
          <w:szCs w:val="28"/>
          <w:highlight w:val="none"/>
        </w:rPr>
        <w:t>个</w:t>
      </w:r>
      <w:r>
        <w:rPr>
          <w:rFonts w:hint="eastAsia" w:ascii="仿宋_GB2312"/>
          <w:color w:val="auto"/>
          <w:szCs w:val="32"/>
          <w:highlight w:val="none"/>
        </w:rPr>
        <w:t>。</w:t>
      </w:r>
    </w:p>
    <w:p w14:paraId="644D739B">
      <w:pPr>
        <w:pStyle w:val="29"/>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14:paraId="19F55EDE">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（一）绩效自评工作开展范围</w:t>
      </w:r>
    </w:p>
    <w:p w14:paraId="55482447">
      <w:pPr>
        <w:pStyle w:val="52"/>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14:paraId="5F1FFF6E">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（二）绩效自评工作对象</w:t>
      </w:r>
    </w:p>
    <w:p w14:paraId="11491151">
      <w:pPr>
        <w:pStyle w:val="52"/>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ascii="仿宋" w:hAnsi="仿宋" w:eastAsia="仿宋" w:cs="仿宋"/>
          <w:color w:val="auto"/>
          <w:sz w:val="28"/>
          <w:szCs w:val="28"/>
          <w:highlight w:val="none"/>
          <w:lang w:eastAsia="zh-CN"/>
        </w:rPr>
        <w:t>于田县2024年用于“十三五”易地搬迁地方政府债券贴息补助项目</w:t>
      </w:r>
      <w:r>
        <w:rPr>
          <w:color w:val="auto"/>
          <w:highlight w:val="none"/>
        </w:rPr>
        <w:t>资金的使用管理、项目产出、综合效益等进行评价。</w:t>
      </w:r>
    </w:p>
    <w:p w14:paraId="68C52BF5">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（三）绩效自评工作方式</w:t>
      </w:r>
    </w:p>
    <w:p w14:paraId="5EAF1CCB">
      <w:pPr>
        <w:pStyle w:val="33"/>
        <w:rPr>
          <w:color w:val="auto"/>
          <w:highlight w:val="none"/>
        </w:rPr>
      </w:pPr>
      <w:r>
        <w:rPr>
          <w:rFonts w:hint="eastAsia"/>
          <w:color w:val="auto"/>
          <w:highlight w:val="none"/>
        </w:rPr>
        <w:t>1.前期准备</w:t>
      </w:r>
    </w:p>
    <w:p w14:paraId="687D4272">
      <w:pPr>
        <w:pStyle w:val="52"/>
        <w:spacing w:line="560" w:lineRule="exact"/>
        <w:ind w:left="3" w:right="0" w:rightChars="0" w:firstLine="560"/>
        <w:rPr>
          <w:color w:val="auto"/>
          <w:highlight w:val="none"/>
        </w:rPr>
      </w:pPr>
      <w:r>
        <w:rPr>
          <w:color w:val="auto"/>
          <w:highlight w:val="none"/>
        </w:rPr>
        <w:t>202</w:t>
      </w:r>
      <w:r>
        <w:rPr>
          <w:rFonts w:hint="eastAsia"/>
          <w:color w:val="auto"/>
          <w:highlight w:val="none"/>
          <w:lang w:val="en-US" w:eastAsia="zh-CN"/>
        </w:rPr>
        <w:t>4</w:t>
      </w:r>
      <w:r>
        <w:rPr>
          <w:color w:val="auto"/>
          <w:highlight w:val="none"/>
        </w:rPr>
        <w:t>年，认真学习相关要求与规定，成立绩效自评工作组，作为绩效自评工作具体实施机构。成员构成如下：</w:t>
      </w:r>
    </w:p>
    <w:p w14:paraId="54F6B5BD">
      <w:pPr>
        <w:pStyle w:val="52"/>
        <w:spacing w:line="560" w:lineRule="exact"/>
        <w:ind w:left="3" w:right="3" w:firstLine="560"/>
        <w:rPr>
          <w:color w:val="auto"/>
          <w:highlight w:val="none"/>
        </w:rPr>
      </w:pPr>
      <w:r>
        <w:rPr>
          <w:rFonts w:hint="eastAsia"/>
          <w:color w:val="auto"/>
          <w:highlight w:val="none"/>
        </w:rPr>
        <w:t>组     长：</w:t>
      </w:r>
      <w:r>
        <w:rPr>
          <w:rFonts w:hint="eastAsia" w:ascii="仿宋" w:hAnsi="仿宋" w:eastAsia="仿宋" w:cs="仿宋"/>
          <w:color w:val="auto"/>
          <w:spacing w:val="1"/>
          <w:sz w:val="27"/>
          <w:szCs w:val="27"/>
          <w:highlight w:val="none"/>
          <w:lang w:val="en-US" w:eastAsia="zh-CN"/>
        </w:rPr>
        <w:t>周新</w:t>
      </w:r>
      <w:r>
        <w:rPr>
          <w:rFonts w:hint="eastAsia"/>
          <w:color w:val="auto"/>
          <w:highlight w:val="none"/>
        </w:rPr>
        <w:t xml:space="preserve">                 </w:t>
      </w:r>
      <w:r>
        <w:rPr>
          <w:color w:val="auto"/>
          <w:highlight w:val="none"/>
        </w:rPr>
        <w:t xml:space="preserve">                  </w:t>
      </w:r>
      <w:r>
        <w:rPr>
          <w:rFonts w:hint="eastAsia"/>
          <w:color w:val="auto"/>
          <w:highlight w:val="none"/>
        </w:rPr>
        <w:t xml:space="preserve">                 </w:t>
      </w:r>
      <w:r>
        <w:rPr>
          <w:rFonts w:hint="eastAsia"/>
          <w:color w:val="auto"/>
          <w:highlight w:val="none"/>
          <w:lang w:val="en-US" w:eastAsia="zh-CN"/>
        </w:rPr>
        <w:t>财政</w:t>
      </w:r>
      <w:r>
        <w:rPr>
          <w:rFonts w:hint="eastAsia"/>
          <w:color w:val="auto"/>
          <w:highlight w:val="none"/>
        </w:rPr>
        <w:t>局局党委书记、局长</w:t>
      </w:r>
    </w:p>
    <w:p w14:paraId="00235866">
      <w:pPr>
        <w:pStyle w:val="52"/>
        <w:spacing w:line="560" w:lineRule="exact"/>
        <w:ind w:left="3" w:right="3" w:firstLine="560"/>
        <w:rPr>
          <w:rFonts w:hint="default" w:eastAsia="仿宋_GB2312"/>
          <w:color w:val="auto"/>
          <w:highlight w:val="none"/>
          <w:lang w:val="en-US" w:eastAsia="zh-CN"/>
        </w:rPr>
      </w:pPr>
      <w:r>
        <w:rPr>
          <w:rFonts w:hint="eastAsia"/>
          <w:color w:val="auto"/>
          <w:highlight w:val="none"/>
        </w:rPr>
        <w:t>副组长：</w:t>
      </w:r>
      <w:bookmarkStart w:id="4" w:name="OLE_LINK5"/>
      <w:r>
        <w:rPr>
          <w:rFonts w:hint="eastAsia" w:ascii="仿宋" w:hAnsi="仿宋" w:eastAsia="仿宋" w:cs="仿宋"/>
          <w:color w:val="auto"/>
          <w:spacing w:val="1"/>
          <w:sz w:val="27"/>
          <w:szCs w:val="27"/>
          <w:highlight w:val="none"/>
          <w:lang w:val="en-US" w:eastAsia="zh-CN"/>
        </w:rPr>
        <w:t>张秀伟</w:t>
      </w:r>
      <w:bookmarkEnd w:id="4"/>
      <w:r>
        <w:rPr>
          <w:rFonts w:hint="eastAsia"/>
          <w:color w:val="auto"/>
          <w:highlight w:val="none"/>
        </w:rPr>
        <w:t xml:space="preserve">                                     </w:t>
      </w:r>
      <w:r>
        <w:rPr>
          <w:rFonts w:hint="eastAsia"/>
          <w:color w:val="auto"/>
          <w:highlight w:val="none"/>
          <w:lang w:val="en-US" w:eastAsia="zh-CN"/>
        </w:rPr>
        <w:t xml:space="preserve">            财政</w:t>
      </w:r>
      <w:r>
        <w:rPr>
          <w:rFonts w:hint="eastAsia"/>
          <w:color w:val="auto"/>
          <w:highlight w:val="none"/>
        </w:rPr>
        <w:t>局</w:t>
      </w:r>
      <w:bookmarkStart w:id="5" w:name="OLE_LINK6"/>
      <w:r>
        <w:rPr>
          <w:rFonts w:hint="eastAsia"/>
          <w:color w:val="auto"/>
          <w:highlight w:val="none"/>
          <w:lang w:val="en-US" w:eastAsia="zh-CN"/>
        </w:rPr>
        <w:t>农财股股</w:t>
      </w:r>
      <w:bookmarkEnd w:id="5"/>
      <w:r>
        <w:rPr>
          <w:rFonts w:hint="eastAsia"/>
          <w:color w:val="auto"/>
          <w:highlight w:val="none"/>
          <w:lang w:val="en-US" w:eastAsia="zh-CN"/>
        </w:rPr>
        <w:t>长</w:t>
      </w:r>
    </w:p>
    <w:p w14:paraId="6ACC8DA9">
      <w:pPr>
        <w:pStyle w:val="52"/>
        <w:spacing w:line="560" w:lineRule="exact"/>
        <w:ind w:left="3" w:right="3" w:firstLine="560"/>
        <w:rPr>
          <w:color w:val="auto"/>
          <w:highlight w:val="none"/>
        </w:rPr>
      </w:pPr>
      <w:r>
        <w:rPr>
          <w:rFonts w:hint="eastAsia"/>
          <w:color w:val="auto"/>
          <w:highlight w:val="none"/>
        </w:rPr>
        <w:t>成    员：</w:t>
      </w:r>
      <w:r>
        <w:rPr>
          <w:rFonts w:hint="eastAsia"/>
          <w:color w:val="auto"/>
          <w:highlight w:val="none"/>
          <w:lang w:eastAsia="zh-CN"/>
        </w:rPr>
        <w:t>阿</w:t>
      </w:r>
      <w:r>
        <w:rPr>
          <w:rFonts w:hint="eastAsia"/>
          <w:color w:val="auto"/>
          <w:highlight w:val="none"/>
          <w:lang w:val="en-US" w:eastAsia="zh-CN"/>
        </w:rPr>
        <w:t>不杜外力·吉力力</w:t>
      </w:r>
      <w:r>
        <w:rPr>
          <w:rFonts w:hint="eastAsia"/>
          <w:color w:val="auto"/>
          <w:highlight w:val="none"/>
        </w:rPr>
        <w:t xml:space="preserve">                 </w:t>
      </w:r>
      <w:r>
        <w:rPr>
          <w:rFonts w:hint="eastAsia"/>
          <w:color w:val="auto"/>
          <w:highlight w:val="none"/>
          <w:lang w:val="en-US" w:eastAsia="zh-CN"/>
        </w:rPr>
        <w:t xml:space="preserve">       财政局农财股科员</w:t>
      </w:r>
    </w:p>
    <w:p w14:paraId="4867896C">
      <w:pPr>
        <w:pStyle w:val="52"/>
        <w:spacing w:line="560" w:lineRule="exact"/>
        <w:ind w:left="3" w:right="3" w:firstLine="560"/>
        <w:rPr>
          <w:color w:val="auto"/>
          <w:highlight w:val="none"/>
        </w:rPr>
      </w:pPr>
      <w:r>
        <w:rPr>
          <w:rFonts w:hint="eastAsia"/>
          <w:color w:val="auto"/>
          <w:highlight w:val="none"/>
        </w:rPr>
        <w:t>办公室负责项目的计划制定、实施，督查、指导相关单位共同做好项目管理工作。切实把该项目作为重要举措来抓，加强领导，明确分工，落实责任，密切配合，形成合力，推动该项目顺利实施。由</w:t>
      </w:r>
      <w:r>
        <w:rPr>
          <w:rFonts w:hint="eastAsia"/>
          <w:color w:val="auto"/>
          <w:highlight w:val="none"/>
          <w:lang w:val="en-US" w:eastAsia="zh-CN"/>
        </w:rPr>
        <w:t>于田县财政局</w:t>
      </w:r>
      <w:r>
        <w:rPr>
          <w:rFonts w:hint="eastAsia"/>
          <w:color w:val="auto"/>
          <w:highlight w:val="none"/>
        </w:rPr>
        <w:t>牵头，负责整个项目的统筹安排和经费使用管理工作，实现分级管理制度。</w:t>
      </w:r>
    </w:p>
    <w:p w14:paraId="2A079B5D">
      <w:pPr>
        <w:pStyle w:val="33"/>
        <w:rPr>
          <w:color w:val="auto"/>
          <w:highlight w:val="none"/>
        </w:rPr>
      </w:pPr>
      <w:r>
        <w:rPr>
          <w:rFonts w:hint="eastAsia"/>
          <w:color w:val="auto"/>
          <w:highlight w:val="none"/>
        </w:rPr>
        <w:t>2.组织实施</w:t>
      </w:r>
    </w:p>
    <w:p w14:paraId="4D4B7B6D">
      <w:pPr>
        <w:pStyle w:val="52"/>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14:paraId="1209F582">
      <w:pPr>
        <w:pStyle w:val="33"/>
        <w:rPr>
          <w:color w:val="auto"/>
          <w:highlight w:val="none"/>
        </w:rPr>
      </w:pPr>
      <w:r>
        <w:rPr>
          <w:rFonts w:hint="eastAsia"/>
          <w:color w:val="auto"/>
          <w:highlight w:val="none"/>
        </w:rPr>
        <w:t>3.分析评价。</w:t>
      </w:r>
    </w:p>
    <w:p w14:paraId="263036B9">
      <w:pPr>
        <w:pStyle w:val="52"/>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14:paraId="67F4B455">
      <w:pPr>
        <w:pStyle w:val="52"/>
        <w:spacing w:line="560" w:lineRule="exact"/>
        <w:ind w:left="3" w:right="3" w:firstLine="560"/>
        <w:rPr>
          <w:color w:val="auto"/>
          <w:highlight w:val="none"/>
        </w:rPr>
      </w:pPr>
      <w:r>
        <w:rPr>
          <w:color w:val="auto"/>
          <w:highlight w:val="none"/>
        </w:rPr>
        <w:t>（1）绩效自评指标体系</w:t>
      </w:r>
    </w:p>
    <w:p w14:paraId="081C8D67">
      <w:pPr>
        <w:pStyle w:val="52"/>
        <w:spacing w:line="560" w:lineRule="exact"/>
        <w:ind w:left="3" w:right="3" w:firstLine="560"/>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w:t>
      </w:r>
      <w:r>
        <w:rPr>
          <w:rFonts w:ascii="仿宋" w:hAnsi="仿宋" w:eastAsia="仿宋" w:cs="仿宋"/>
          <w:color w:val="auto"/>
          <w:spacing w:val="17"/>
          <w:sz w:val="27"/>
          <w:szCs w:val="27"/>
          <w:highlight w:val="none"/>
        </w:rPr>
        <w:t>数量指标9分、质量指标</w:t>
      </w:r>
      <w:r>
        <w:rPr>
          <w:rFonts w:hint="eastAsia" w:ascii="仿宋" w:hAnsi="仿宋" w:eastAsia="仿宋" w:cs="仿宋"/>
          <w:color w:val="auto"/>
          <w:spacing w:val="17"/>
          <w:sz w:val="27"/>
          <w:szCs w:val="27"/>
          <w:highlight w:val="none"/>
          <w:lang w:val="en-US" w:eastAsia="zh-CN"/>
        </w:rPr>
        <w:t>16</w:t>
      </w:r>
      <w:r>
        <w:rPr>
          <w:rFonts w:ascii="仿宋" w:hAnsi="仿宋" w:eastAsia="仿宋" w:cs="仿宋"/>
          <w:color w:val="auto"/>
          <w:spacing w:val="17"/>
          <w:sz w:val="27"/>
          <w:szCs w:val="27"/>
          <w:highlight w:val="none"/>
        </w:rPr>
        <w:t>分，时  效指标</w:t>
      </w:r>
      <w:r>
        <w:rPr>
          <w:rFonts w:hint="eastAsia" w:ascii="仿宋" w:hAnsi="仿宋" w:eastAsia="仿宋" w:cs="仿宋"/>
          <w:color w:val="auto"/>
          <w:spacing w:val="17"/>
          <w:sz w:val="27"/>
          <w:szCs w:val="27"/>
          <w:highlight w:val="none"/>
          <w:lang w:val="en-US" w:eastAsia="zh-CN"/>
        </w:rPr>
        <w:t>16</w:t>
      </w:r>
      <w:r>
        <w:rPr>
          <w:rFonts w:ascii="仿宋" w:hAnsi="仿宋" w:eastAsia="仿宋" w:cs="仿宋"/>
          <w:color w:val="auto"/>
          <w:spacing w:val="17"/>
          <w:sz w:val="27"/>
          <w:szCs w:val="27"/>
          <w:highlight w:val="none"/>
        </w:rPr>
        <w:t>分、成本指标</w:t>
      </w:r>
      <w:r>
        <w:rPr>
          <w:rFonts w:hint="eastAsia" w:ascii="仿宋" w:hAnsi="仿宋" w:eastAsia="仿宋" w:cs="仿宋"/>
          <w:color w:val="auto"/>
          <w:spacing w:val="17"/>
          <w:sz w:val="27"/>
          <w:szCs w:val="27"/>
          <w:highlight w:val="none"/>
          <w:lang w:val="en-US" w:eastAsia="zh-CN"/>
        </w:rPr>
        <w:t>9</w:t>
      </w:r>
      <w:r>
        <w:rPr>
          <w:rFonts w:ascii="仿宋" w:hAnsi="仿宋" w:eastAsia="仿宋" w:cs="仿宋"/>
          <w:color w:val="auto"/>
          <w:spacing w:val="17"/>
          <w:sz w:val="27"/>
          <w:szCs w:val="27"/>
          <w:highlight w:val="none"/>
        </w:rPr>
        <w:t>分、效益指标</w:t>
      </w:r>
      <w:r>
        <w:rPr>
          <w:rFonts w:hint="eastAsia" w:ascii="仿宋" w:hAnsi="仿宋" w:eastAsia="仿宋" w:cs="仿宋"/>
          <w:color w:val="auto"/>
          <w:spacing w:val="17"/>
          <w:sz w:val="27"/>
          <w:szCs w:val="27"/>
          <w:highlight w:val="none"/>
          <w:lang w:val="en-US" w:eastAsia="zh-CN"/>
        </w:rPr>
        <w:t>30</w:t>
      </w:r>
      <w:r>
        <w:rPr>
          <w:rFonts w:ascii="仿宋" w:hAnsi="仿宋" w:eastAsia="仿宋" w:cs="仿宋"/>
          <w:color w:val="auto"/>
          <w:spacing w:val="17"/>
          <w:sz w:val="27"/>
          <w:szCs w:val="27"/>
          <w:highlight w:val="none"/>
        </w:rPr>
        <w:t>分、满意度指标10分、预算资金执行率10分，满</w:t>
      </w:r>
      <w:r>
        <w:rPr>
          <w:rFonts w:hint="eastAsia" w:ascii="仿宋" w:hAnsi="仿宋" w:eastAsia="仿宋" w:cs="仿宋"/>
          <w:color w:val="auto"/>
          <w:spacing w:val="17"/>
          <w:sz w:val="27"/>
          <w:szCs w:val="27"/>
          <w:highlight w:val="none"/>
          <w:lang w:val="en-US" w:eastAsia="zh-CN"/>
        </w:rPr>
        <w:t>分100分</w:t>
      </w:r>
      <w:r>
        <w:rPr>
          <w:color w:val="auto"/>
          <w:highlight w:val="none"/>
        </w:rPr>
        <w:t>。</w:t>
      </w:r>
    </w:p>
    <w:p w14:paraId="7B18F367">
      <w:pPr>
        <w:pStyle w:val="52"/>
        <w:spacing w:line="560" w:lineRule="exact"/>
        <w:ind w:left="3" w:right="3" w:firstLine="560"/>
        <w:rPr>
          <w:color w:val="auto"/>
          <w:highlight w:val="none"/>
        </w:rPr>
      </w:pPr>
      <w:r>
        <w:rPr>
          <w:color w:val="auto"/>
          <w:highlight w:val="none"/>
        </w:rPr>
        <w:t>（2）绩效自评方法</w:t>
      </w:r>
    </w:p>
    <w:p w14:paraId="6A435546">
      <w:pPr>
        <w:pStyle w:val="52"/>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14:paraId="5A9FC08E">
      <w:pPr>
        <w:pStyle w:val="52"/>
        <w:spacing w:line="560" w:lineRule="exact"/>
        <w:ind w:left="3" w:right="3" w:firstLine="560"/>
        <w:rPr>
          <w:color w:val="auto"/>
          <w:highlight w:val="none"/>
        </w:rPr>
      </w:pPr>
      <w:r>
        <w:rPr>
          <w:color w:val="auto"/>
          <w:highlight w:val="none"/>
        </w:rPr>
        <w:t>（3）绩效自评标准</w:t>
      </w:r>
    </w:p>
    <w:p w14:paraId="1255CB5D">
      <w:pPr>
        <w:pStyle w:val="52"/>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0ED0F42D">
      <w:pPr>
        <w:pStyle w:val="52"/>
        <w:spacing w:line="560" w:lineRule="exact"/>
        <w:ind w:left="3" w:right="3" w:firstLine="560"/>
        <w:rPr>
          <w:color w:val="auto"/>
          <w:highlight w:val="none"/>
        </w:rPr>
      </w:pPr>
      <w:r>
        <w:rPr>
          <w:color w:val="auto"/>
          <w:highlight w:val="none"/>
        </w:rPr>
        <w:t>（4）绩效自评等级</w:t>
      </w:r>
    </w:p>
    <w:p w14:paraId="67493BCB">
      <w:pPr>
        <w:pStyle w:val="52"/>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14:paraId="39D7F8DD">
      <w:pPr>
        <w:pStyle w:val="29"/>
        <w:spacing w:before="120"/>
        <w:ind w:leftChars="0" w:right="3" w:firstLine="562" w:firstLineChars="200"/>
        <w:rPr>
          <w:color w:val="auto"/>
          <w:highlight w:val="none"/>
        </w:rPr>
      </w:pPr>
      <w:r>
        <w:rPr>
          <w:rFonts w:hint="eastAsia"/>
          <w:color w:val="auto"/>
          <w:highlight w:val="none"/>
        </w:rPr>
        <w:t>三、绩效目标自评完成情况分析</w:t>
      </w:r>
    </w:p>
    <w:p w14:paraId="348DF3C7">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（一）资金投入情况分析</w:t>
      </w:r>
    </w:p>
    <w:p w14:paraId="18342903">
      <w:pPr>
        <w:pStyle w:val="33"/>
        <w:rPr>
          <w:rFonts w:hint="eastAsia" w:ascii="Times New Roman" w:hAnsi="Times New Roman" w:eastAsia="仿宋_GB2312" w:cs="Times New Roman"/>
          <w:b/>
          <w:color w:val="auto"/>
          <w:kern w:val="2"/>
          <w:sz w:val="28"/>
          <w:szCs w:val="22"/>
          <w:highlight w:val="none"/>
          <w:lang w:val="en-US" w:eastAsia="zh-CN" w:bidi="ar-SA"/>
        </w:rPr>
      </w:pPr>
      <w:r>
        <w:rPr>
          <w:rFonts w:hint="eastAsia" w:ascii="Times New Roman" w:hAnsi="Times New Roman" w:eastAsia="仿宋_GB2312" w:cs="Times New Roman"/>
          <w:b/>
          <w:color w:val="auto"/>
          <w:kern w:val="2"/>
          <w:sz w:val="28"/>
          <w:szCs w:val="22"/>
          <w:highlight w:val="none"/>
          <w:lang w:val="en-US" w:eastAsia="zh-CN" w:bidi="ar-SA"/>
        </w:rPr>
        <w:t>1.项目资金到位情况分析</w:t>
      </w:r>
    </w:p>
    <w:p w14:paraId="6D5B8297">
      <w:pPr>
        <w:pStyle w:val="52"/>
        <w:spacing w:line="560" w:lineRule="exact"/>
        <w:ind w:left="0" w:leftChars="0" w:right="3" w:firstLine="560"/>
        <w:rPr>
          <w:color w:val="auto"/>
          <w:highlight w:val="none"/>
        </w:rPr>
      </w:pPr>
      <w:r>
        <w:rPr>
          <w:rFonts w:hint="eastAsia" w:ascii="仿宋" w:hAnsi="仿宋" w:eastAsia="仿宋" w:cs="仿宋"/>
          <w:color w:val="auto"/>
          <w:spacing w:val="16"/>
          <w:sz w:val="27"/>
          <w:szCs w:val="27"/>
          <w:highlight w:val="none"/>
          <w:lang w:eastAsia="zh-CN"/>
        </w:rPr>
        <w:t>于田县2024年用于“十三五”易地搬迁地方政府债券贴息补助项目</w:t>
      </w:r>
      <w:r>
        <w:rPr>
          <w:rFonts w:ascii="仿宋" w:hAnsi="仿宋" w:eastAsia="仿宋" w:cs="仿宋"/>
          <w:color w:val="auto"/>
          <w:spacing w:val="16"/>
          <w:sz w:val="27"/>
          <w:szCs w:val="27"/>
          <w:highlight w:val="none"/>
        </w:rPr>
        <w:t>预算安排总额为</w:t>
      </w:r>
      <w:r>
        <w:rPr>
          <w:rFonts w:hint="eastAsia" w:ascii="仿宋" w:hAnsi="仿宋" w:eastAsia="仿宋" w:cs="仿宋"/>
          <w:color w:val="auto"/>
          <w:spacing w:val="16"/>
          <w:sz w:val="27"/>
          <w:szCs w:val="27"/>
          <w:highlight w:val="none"/>
        </w:rPr>
        <w:t>528.5</w:t>
      </w:r>
      <w:r>
        <w:rPr>
          <w:rFonts w:ascii="仿宋" w:hAnsi="仿宋" w:eastAsia="仿宋" w:cs="仿宋"/>
          <w:color w:val="auto"/>
          <w:spacing w:val="16"/>
          <w:sz w:val="27"/>
          <w:szCs w:val="27"/>
          <w:highlight w:val="none"/>
        </w:rPr>
        <w:t>万元，其中：</w:t>
      </w:r>
      <w:r>
        <w:rPr>
          <w:rFonts w:ascii="仿宋" w:hAnsi="仿宋" w:eastAsia="仿宋" w:cs="仿宋"/>
          <w:color w:val="auto"/>
          <w:spacing w:val="17"/>
          <w:sz w:val="27"/>
          <w:szCs w:val="27"/>
          <w:highlight w:val="none"/>
        </w:rPr>
        <w:t xml:space="preserve"> </w:t>
      </w:r>
      <w:r>
        <w:rPr>
          <w:rFonts w:ascii="仿宋" w:hAnsi="仿宋" w:eastAsia="仿宋" w:cs="仿宋"/>
          <w:color w:val="auto"/>
          <w:spacing w:val="11"/>
          <w:sz w:val="27"/>
          <w:szCs w:val="27"/>
          <w:highlight w:val="none"/>
        </w:rPr>
        <w:t>乡村振兴衔接补助资金</w:t>
      </w:r>
      <w:r>
        <w:rPr>
          <w:rFonts w:hint="eastAsia" w:ascii="仿宋" w:hAnsi="仿宋" w:eastAsia="仿宋" w:cs="仿宋"/>
          <w:color w:val="auto"/>
          <w:spacing w:val="11"/>
          <w:sz w:val="27"/>
          <w:szCs w:val="27"/>
          <w:highlight w:val="none"/>
        </w:rPr>
        <w:t>528.5</w:t>
      </w:r>
      <w:r>
        <w:rPr>
          <w:rFonts w:ascii="仿宋" w:hAnsi="仿宋" w:eastAsia="仿宋" w:cs="仿宋"/>
          <w:color w:val="auto"/>
          <w:spacing w:val="11"/>
          <w:sz w:val="27"/>
          <w:szCs w:val="27"/>
          <w:highlight w:val="none"/>
        </w:rPr>
        <w:t>万元。预算资金到位率为100.00%</w:t>
      </w:r>
      <w:r>
        <w:rPr>
          <w:rFonts w:hint="eastAsia"/>
          <w:color w:val="auto"/>
          <w:highlight w:val="none"/>
        </w:rPr>
        <w:t>。</w:t>
      </w:r>
    </w:p>
    <w:p w14:paraId="0A3D2515">
      <w:pPr>
        <w:pStyle w:val="52"/>
        <w:spacing w:line="560" w:lineRule="exact"/>
        <w:ind w:left="0" w:leftChars="0" w:right="3" w:firstLine="562"/>
        <w:rPr>
          <w:b/>
          <w:color w:val="auto"/>
          <w:highlight w:val="none"/>
        </w:rPr>
      </w:pPr>
      <w:r>
        <w:rPr>
          <w:rFonts w:hint="eastAsia"/>
          <w:b/>
          <w:color w:val="auto"/>
          <w:highlight w:val="none"/>
        </w:rPr>
        <w:t>2.项目资金执行情况分析</w:t>
      </w:r>
    </w:p>
    <w:p w14:paraId="093AE814">
      <w:pPr>
        <w:spacing w:before="232" w:line="375" w:lineRule="auto"/>
        <w:ind w:firstLine="550"/>
        <w:jc w:val="both"/>
        <w:rPr>
          <w:color w:val="auto"/>
          <w:highlight w:val="none"/>
        </w:rPr>
      </w:pPr>
      <w:r>
        <w:rPr>
          <w:rFonts w:hint="eastAsia" w:ascii="仿宋" w:hAnsi="仿宋" w:eastAsia="仿宋" w:cs="仿宋"/>
          <w:color w:val="auto"/>
          <w:spacing w:val="20"/>
          <w:sz w:val="27"/>
          <w:szCs w:val="27"/>
          <w:highlight w:val="none"/>
          <w:lang w:eastAsia="zh-CN"/>
        </w:rPr>
        <w:t>于田县2024年用于“十三五”易地搬迁地方政府债券贴息补助项目</w:t>
      </w:r>
      <w:r>
        <w:rPr>
          <w:rFonts w:ascii="仿宋" w:hAnsi="仿宋" w:eastAsia="仿宋" w:cs="仿宋"/>
          <w:color w:val="auto"/>
          <w:spacing w:val="20"/>
          <w:sz w:val="27"/>
          <w:szCs w:val="27"/>
          <w:highlight w:val="none"/>
        </w:rPr>
        <w:t>预算投入资金</w:t>
      </w:r>
      <w:r>
        <w:rPr>
          <w:rFonts w:hint="eastAsia" w:ascii="仿宋" w:hAnsi="仿宋" w:eastAsia="仿宋" w:cs="仿宋"/>
          <w:color w:val="auto"/>
          <w:spacing w:val="20"/>
          <w:sz w:val="27"/>
          <w:szCs w:val="27"/>
          <w:highlight w:val="none"/>
        </w:rPr>
        <w:t>528.5</w:t>
      </w:r>
      <w:r>
        <w:rPr>
          <w:rFonts w:ascii="仿宋" w:hAnsi="仿宋" w:eastAsia="仿宋" w:cs="仿宋"/>
          <w:color w:val="auto"/>
          <w:spacing w:val="20"/>
          <w:sz w:val="27"/>
          <w:szCs w:val="27"/>
          <w:highlight w:val="none"/>
        </w:rPr>
        <w:t>万元，</w:t>
      </w:r>
      <w:r>
        <w:rPr>
          <w:rFonts w:ascii="仿宋" w:hAnsi="仿宋" w:eastAsia="仿宋" w:cs="仿宋"/>
          <w:color w:val="auto"/>
          <w:spacing w:val="19"/>
          <w:sz w:val="27"/>
          <w:szCs w:val="27"/>
          <w:highlight w:val="none"/>
        </w:rPr>
        <w:t>实际完成</w:t>
      </w:r>
      <w:r>
        <w:rPr>
          <w:rFonts w:hint="eastAsia" w:ascii="仿宋" w:hAnsi="仿宋" w:eastAsia="仿宋" w:cs="仿宋"/>
          <w:color w:val="auto"/>
          <w:spacing w:val="19"/>
          <w:sz w:val="27"/>
          <w:szCs w:val="27"/>
          <w:highlight w:val="none"/>
        </w:rPr>
        <w:t>贴息</w:t>
      </w:r>
      <w:r>
        <w:rPr>
          <w:rFonts w:ascii="仿宋" w:hAnsi="仿宋" w:eastAsia="仿宋" w:cs="仿宋"/>
          <w:color w:val="auto"/>
          <w:spacing w:val="18"/>
          <w:sz w:val="27"/>
          <w:szCs w:val="27"/>
          <w:highlight w:val="none"/>
        </w:rPr>
        <w:t>投资</w:t>
      </w:r>
      <w:r>
        <w:rPr>
          <w:rFonts w:hint="eastAsia" w:ascii="仿宋" w:hAnsi="仿宋" w:eastAsia="仿宋" w:cs="仿宋"/>
          <w:color w:val="auto"/>
          <w:spacing w:val="18"/>
          <w:sz w:val="27"/>
          <w:szCs w:val="27"/>
          <w:highlight w:val="none"/>
        </w:rPr>
        <w:t>528.5</w:t>
      </w:r>
      <w:r>
        <w:rPr>
          <w:rFonts w:ascii="仿宋" w:hAnsi="仿宋" w:eastAsia="仿宋" w:cs="仿宋"/>
          <w:color w:val="auto"/>
          <w:spacing w:val="18"/>
          <w:sz w:val="27"/>
          <w:szCs w:val="27"/>
          <w:highlight w:val="none"/>
        </w:rPr>
        <w:t>万元</w:t>
      </w:r>
      <w:r>
        <w:rPr>
          <w:rFonts w:ascii="仿宋" w:hAnsi="仿宋" w:eastAsia="仿宋" w:cs="仿宋"/>
          <w:color w:val="auto"/>
          <w:spacing w:val="24"/>
          <w:sz w:val="27"/>
          <w:szCs w:val="27"/>
          <w:highlight w:val="none"/>
        </w:rPr>
        <w:t>，截至2024年12月30日，实际支出</w:t>
      </w:r>
      <w:r>
        <w:rPr>
          <w:rFonts w:hint="eastAsia" w:ascii="仿宋" w:hAnsi="仿宋" w:eastAsia="仿宋" w:cs="仿宋"/>
          <w:color w:val="auto"/>
          <w:spacing w:val="24"/>
          <w:sz w:val="27"/>
          <w:szCs w:val="27"/>
          <w:highlight w:val="none"/>
        </w:rPr>
        <w:t>528.5</w:t>
      </w:r>
      <w:r>
        <w:rPr>
          <w:rFonts w:ascii="仿宋" w:hAnsi="仿宋" w:eastAsia="仿宋" w:cs="仿宋"/>
          <w:color w:val="auto"/>
          <w:spacing w:val="24"/>
          <w:sz w:val="27"/>
          <w:szCs w:val="27"/>
          <w:highlight w:val="none"/>
        </w:rPr>
        <w:t>万元，预算资</w:t>
      </w:r>
      <w:r>
        <w:rPr>
          <w:rFonts w:ascii="仿宋" w:hAnsi="仿宋" w:eastAsia="仿宋" w:cs="仿宋"/>
          <w:color w:val="auto"/>
          <w:spacing w:val="39"/>
          <w:sz w:val="27"/>
          <w:szCs w:val="27"/>
          <w:highlight w:val="none"/>
        </w:rPr>
        <w:t>金执行率100%</w:t>
      </w:r>
      <w:r>
        <w:rPr>
          <w:rFonts w:hint="eastAsia"/>
          <w:color w:val="auto"/>
          <w:highlight w:val="none"/>
        </w:rPr>
        <w:t>。</w:t>
      </w:r>
    </w:p>
    <w:p w14:paraId="32D9B34B">
      <w:pPr>
        <w:pStyle w:val="33"/>
        <w:rPr>
          <w:rFonts w:hint="eastAsia" w:ascii="Times New Roman" w:hAnsi="Times New Roman" w:eastAsia="仿宋_GB2312" w:cs="Times New Roman"/>
          <w:b/>
          <w:color w:val="auto"/>
          <w:kern w:val="2"/>
          <w:sz w:val="28"/>
          <w:szCs w:val="22"/>
          <w:highlight w:val="none"/>
          <w:lang w:val="en-US" w:eastAsia="zh-CN" w:bidi="ar-SA"/>
        </w:rPr>
      </w:pPr>
      <w:r>
        <w:rPr>
          <w:rFonts w:hint="eastAsia" w:ascii="Times New Roman" w:hAnsi="Times New Roman" w:eastAsia="仿宋_GB2312" w:cs="Times New Roman"/>
          <w:b/>
          <w:color w:val="auto"/>
          <w:kern w:val="2"/>
          <w:sz w:val="28"/>
          <w:szCs w:val="22"/>
          <w:highlight w:val="none"/>
          <w:lang w:val="en-US" w:eastAsia="zh-CN" w:bidi="ar-SA"/>
        </w:rPr>
        <w:t>3.项目资金管理情况分析</w:t>
      </w:r>
    </w:p>
    <w:p w14:paraId="56ABDC22">
      <w:pPr>
        <w:pStyle w:val="52"/>
        <w:spacing w:line="560" w:lineRule="exact"/>
        <w:ind w:left="0" w:leftChars="0" w:right="3" w:firstLine="560"/>
        <w:rPr>
          <w:color w:val="auto"/>
          <w:highlight w:val="none"/>
        </w:rPr>
      </w:pP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6A695CC2">
      <w:pPr>
        <w:pStyle w:val="52"/>
        <w:spacing w:line="560" w:lineRule="exact"/>
        <w:ind w:leftChars="0" w:right="3" w:firstLine="562"/>
        <w:rPr>
          <w:b/>
          <w:color w:val="auto"/>
          <w:highlight w:val="none"/>
        </w:rPr>
      </w:pPr>
      <w:r>
        <w:rPr>
          <w:rFonts w:hint="eastAsia"/>
          <w:b/>
          <w:color w:val="auto"/>
          <w:highlight w:val="none"/>
        </w:rPr>
        <w:t>4.项目管理情况分析</w:t>
      </w:r>
    </w:p>
    <w:p w14:paraId="6D2F785A">
      <w:pPr>
        <w:pStyle w:val="52"/>
        <w:spacing w:line="580" w:lineRule="exact"/>
        <w:ind w:left="0" w:leftChars="0" w:right="3" w:firstLine="560"/>
        <w:rPr>
          <w:color w:val="auto"/>
          <w:highlight w:val="none"/>
        </w:rPr>
      </w:pPr>
      <w:r>
        <w:rPr>
          <w:rFonts w:hint="eastAsia"/>
          <w:color w:val="auto"/>
          <w:highlight w:val="none"/>
        </w:rPr>
        <w:t>在项目实施中，</w:t>
      </w:r>
      <w:r>
        <w:rPr>
          <w:rFonts w:hint="eastAsia"/>
          <w:color w:val="auto"/>
          <w:highlight w:val="none"/>
          <w:lang w:val="en-US" w:eastAsia="zh-CN"/>
        </w:rPr>
        <w:t>于田县财政局</w:t>
      </w:r>
      <w:r>
        <w:rPr>
          <w:rFonts w:hint="eastAsia"/>
          <w:color w:val="auto"/>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290B2A86">
      <w:pPr>
        <w:spacing w:line="58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（二）绩效目标完成情况分析</w:t>
      </w:r>
    </w:p>
    <w:p w14:paraId="530CC027">
      <w:pPr>
        <w:pStyle w:val="52"/>
        <w:spacing w:line="580" w:lineRule="exact"/>
        <w:ind w:left="3" w:right="3" w:firstLine="560"/>
        <w:rPr>
          <w:color w:val="auto"/>
          <w:highlight w:val="none"/>
        </w:rPr>
      </w:pPr>
      <w:r>
        <w:rPr>
          <w:color w:val="auto"/>
          <w:highlight w:val="none"/>
        </w:rPr>
        <w:t>本项目在202</w:t>
      </w:r>
      <w:r>
        <w:rPr>
          <w:rFonts w:hint="eastAsia"/>
          <w:color w:val="auto"/>
          <w:highlight w:val="none"/>
          <w:lang w:val="en-US" w:eastAsia="zh-CN"/>
        </w:rPr>
        <w:t>4</w:t>
      </w:r>
      <w:r>
        <w:rPr>
          <w:color w:val="auto"/>
          <w:highlight w:val="none"/>
        </w:rPr>
        <w:t>年</w:t>
      </w:r>
      <w:r>
        <w:rPr>
          <w:rFonts w:hint="eastAsia"/>
          <w:color w:val="auto"/>
          <w:highlight w:val="none"/>
        </w:rPr>
        <w:t>截止1</w:t>
      </w:r>
      <w:r>
        <w:rPr>
          <w:rFonts w:hint="eastAsia"/>
          <w:color w:val="auto"/>
          <w:highlight w:val="none"/>
          <w:lang w:val="en-US" w:eastAsia="zh-CN"/>
        </w:rPr>
        <w:t>2</w:t>
      </w:r>
      <w:r>
        <w:rPr>
          <w:rFonts w:hint="eastAsia"/>
          <w:color w:val="auto"/>
          <w:highlight w:val="none"/>
        </w:rPr>
        <w:t>月底，</w:t>
      </w:r>
      <w:r>
        <w:rPr>
          <w:rFonts w:hint="eastAsia" w:ascii="仿宋" w:hAnsi="仿宋" w:eastAsia="仿宋" w:cs="仿宋"/>
          <w:color w:val="auto"/>
          <w:spacing w:val="8"/>
          <w:sz w:val="28"/>
          <w:szCs w:val="28"/>
          <w:highlight w:val="none"/>
          <w:lang w:val="en-US" w:eastAsia="zh-CN"/>
        </w:rPr>
        <w:t>项目已</w:t>
      </w:r>
      <w:r>
        <w:rPr>
          <w:rFonts w:ascii="仿宋" w:hAnsi="仿宋" w:eastAsia="仿宋" w:cs="仿宋"/>
          <w:color w:val="auto"/>
          <w:spacing w:val="8"/>
          <w:sz w:val="28"/>
          <w:szCs w:val="28"/>
          <w:highlight w:val="none"/>
        </w:rPr>
        <w:t>完成</w:t>
      </w:r>
      <w:r>
        <w:rPr>
          <w:rFonts w:hint="eastAsia" w:ascii="仿宋" w:hAnsi="仿宋" w:eastAsia="仿宋" w:cs="仿宋"/>
          <w:color w:val="auto"/>
          <w:spacing w:val="8"/>
          <w:sz w:val="28"/>
          <w:szCs w:val="28"/>
          <w:highlight w:val="none"/>
        </w:rPr>
        <w:t>于田县易地搬迁建设资金一般性地方政府债券资金进行贴息</w:t>
      </w:r>
      <w:r>
        <w:rPr>
          <w:rFonts w:hint="eastAsia" w:ascii="仿宋" w:hAnsi="仿宋" w:eastAsia="仿宋" w:cs="仿宋"/>
          <w:color w:val="auto"/>
          <w:spacing w:val="8"/>
          <w:sz w:val="28"/>
          <w:szCs w:val="28"/>
          <w:highlight w:val="none"/>
          <w:lang w:val="en-US" w:eastAsia="zh-CN"/>
        </w:rPr>
        <w:t>补助</w:t>
      </w:r>
      <w:r>
        <w:rPr>
          <w:rFonts w:hint="eastAsia" w:ascii="仿宋" w:hAnsi="仿宋" w:eastAsia="仿宋" w:cs="仿宋"/>
          <w:color w:val="auto"/>
          <w:spacing w:val="8"/>
          <w:sz w:val="28"/>
          <w:szCs w:val="28"/>
          <w:highlight w:val="none"/>
        </w:rPr>
        <w:t>。有效缓解财政压力，上级财政部门对债券付息资金效益的满意度达到95%以上。项目的实施，有效防范化解政府债务风险；适度拉长到期地方政府债券还本期限，有效缓解财政压力，维护政府还款信用</w:t>
      </w:r>
      <w:r>
        <w:rPr>
          <w:rFonts w:hint="eastAsia"/>
          <w:color w:val="auto"/>
          <w:highlight w:val="none"/>
        </w:rPr>
        <w:t>。</w:t>
      </w:r>
    </w:p>
    <w:p w14:paraId="147EEDAA">
      <w:pPr>
        <w:pStyle w:val="52"/>
        <w:ind w:left="0" w:leftChars="0" w:right="0" w:rightChars="0" w:firstLine="560"/>
        <w:rPr>
          <w:color w:val="auto"/>
          <w:highlight w:val="none"/>
        </w:rPr>
      </w:pPr>
      <w:r>
        <w:rPr>
          <w:color w:val="auto"/>
          <w:highlight w:val="none"/>
        </w:rPr>
        <w:t>本</w:t>
      </w:r>
      <w:r>
        <w:rPr>
          <w:rFonts w:hint="eastAsia"/>
          <w:color w:val="auto"/>
          <w:highlight w:val="none"/>
        </w:rPr>
        <w:t>项目共设置</w:t>
      </w:r>
      <w:r>
        <w:rPr>
          <w:rFonts w:ascii="仿宋" w:hAnsi="仿宋" w:eastAsia="仿宋" w:cs="仿宋"/>
          <w:color w:val="auto"/>
          <w:spacing w:val="10"/>
          <w:sz w:val="28"/>
          <w:szCs w:val="28"/>
          <w:highlight w:val="none"/>
        </w:rPr>
        <w:t>一级指标3个，二级指标</w:t>
      </w:r>
      <w:r>
        <w:rPr>
          <w:rFonts w:hint="eastAsia" w:ascii="仿宋" w:hAnsi="仿宋" w:eastAsia="仿宋" w:cs="仿宋"/>
          <w:color w:val="auto"/>
          <w:spacing w:val="10"/>
          <w:sz w:val="28"/>
          <w:szCs w:val="28"/>
          <w:highlight w:val="none"/>
          <w:lang w:val="en-US" w:eastAsia="zh-CN"/>
        </w:rPr>
        <w:t>6</w:t>
      </w:r>
      <w:r>
        <w:rPr>
          <w:rFonts w:ascii="仿宋" w:hAnsi="仿宋" w:eastAsia="仿宋" w:cs="仿宋"/>
          <w:color w:val="auto"/>
          <w:spacing w:val="10"/>
          <w:sz w:val="28"/>
          <w:szCs w:val="28"/>
          <w:highlight w:val="none"/>
        </w:rPr>
        <w:t>个，三级指标</w:t>
      </w:r>
      <w:r>
        <w:rPr>
          <w:rFonts w:hint="eastAsia" w:ascii="仿宋" w:hAnsi="仿宋" w:eastAsia="仿宋" w:cs="仿宋"/>
          <w:color w:val="auto"/>
          <w:spacing w:val="10"/>
          <w:sz w:val="28"/>
          <w:szCs w:val="28"/>
          <w:highlight w:val="none"/>
          <w:lang w:val="en-US" w:eastAsia="zh-CN"/>
        </w:rPr>
        <w:t>8</w:t>
      </w:r>
      <w:r>
        <w:rPr>
          <w:rFonts w:ascii="仿宋" w:hAnsi="仿宋" w:eastAsia="仿宋" w:cs="仿宋"/>
          <w:color w:val="auto"/>
          <w:spacing w:val="10"/>
          <w:sz w:val="28"/>
          <w:szCs w:val="28"/>
          <w:highlight w:val="none"/>
        </w:rPr>
        <w:t>个，</w:t>
      </w:r>
      <w:r>
        <w:rPr>
          <w:rFonts w:ascii="仿宋" w:hAnsi="仿宋" w:eastAsia="仿宋" w:cs="仿宋"/>
          <w:color w:val="auto"/>
          <w:spacing w:val="9"/>
          <w:sz w:val="28"/>
          <w:szCs w:val="28"/>
          <w:highlight w:val="none"/>
        </w:rPr>
        <w:t>其中已</w:t>
      </w:r>
      <w:r>
        <w:rPr>
          <w:rFonts w:ascii="仿宋" w:hAnsi="仿宋" w:eastAsia="仿宋" w:cs="仿宋"/>
          <w:color w:val="auto"/>
          <w:sz w:val="28"/>
          <w:szCs w:val="28"/>
          <w:highlight w:val="none"/>
        </w:rPr>
        <w:t xml:space="preserve"> </w:t>
      </w:r>
      <w:r>
        <w:rPr>
          <w:rFonts w:ascii="仿宋" w:hAnsi="仿宋" w:eastAsia="仿宋" w:cs="仿宋"/>
          <w:color w:val="auto"/>
          <w:spacing w:val="9"/>
          <w:sz w:val="28"/>
          <w:szCs w:val="28"/>
          <w:highlight w:val="none"/>
        </w:rPr>
        <w:t>完成三级指标</w:t>
      </w:r>
      <w:r>
        <w:rPr>
          <w:rFonts w:hint="eastAsia" w:ascii="仿宋" w:hAnsi="仿宋" w:eastAsia="仿宋" w:cs="仿宋"/>
          <w:color w:val="auto"/>
          <w:spacing w:val="9"/>
          <w:sz w:val="28"/>
          <w:szCs w:val="28"/>
          <w:highlight w:val="none"/>
          <w:lang w:val="en-US" w:eastAsia="zh-CN"/>
        </w:rPr>
        <w:t>8</w:t>
      </w:r>
      <w:r>
        <w:rPr>
          <w:rFonts w:ascii="仿宋" w:hAnsi="仿宋" w:eastAsia="仿宋" w:cs="仿宋"/>
          <w:color w:val="auto"/>
          <w:spacing w:val="9"/>
          <w:sz w:val="28"/>
          <w:szCs w:val="28"/>
          <w:highlight w:val="none"/>
        </w:rPr>
        <w:t>个，指标完成率为100</w:t>
      </w:r>
      <w:r>
        <w:rPr>
          <w:rFonts w:hint="eastAsia" w:ascii="仿宋" w:hAnsi="仿宋" w:eastAsia="仿宋" w:cs="仿宋"/>
          <w:color w:val="auto"/>
          <w:spacing w:val="9"/>
          <w:sz w:val="28"/>
          <w:szCs w:val="28"/>
          <w:highlight w:val="none"/>
          <w:lang w:val="en-US" w:eastAsia="zh-CN"/>
        </w:rPr>
        <w:t>%</w:t>
      </w:r>
      <w:r>
        <w:rPr>
          <w:rFonts w:hint="eastAsia"/>
          <w:color w:val="auto"/>
          <w:highlight w:val="none"/>
        </w:rPr>
        <w:t>，指标完成情况分析如下：</w:t>
      </w:r>
    </w:p>
    <w:p w14:paraId="20BD3F6C">
      <w:pPr>
        <w:pStyle w:val="52"/>
        <w:spacing w:line="580" w:lineRule="exact"/>
        <w:ind w:left="0" w:leftChars="0" w:right="0" w:rightChars="0" w:firstLine="562"/>
        <w:rPr>
          <w:b/>
          <w:color w:val="auto"/>
          <w:highlight w:val="none"/>
        </w:rPr>
      </w:pPr>
      <w:r>
        <w:rPr>
          <w:rFonts w:hint="eastAsia"/>
          <w:b/>
          <w:color w:val="auto"/>
          <w:highlight w:val="none"/>
        </w:rPr>
        <w:t>1.产出指标完成情况分析</w:t>
      </w:r>
    </w:p>
    <w:p w14:paraId="3D336046">
      <w:pPr>
        <w:pStyle w:val="52"/>
        <w:spacing w:line="580" w:lineRule="exact"/>
        <w:ind w:left="0" w:leftChars="0" w:right="0" w:rightChars="0" w:firstLine="560"/>
        <w:rPr>
          <w:rFonts w:ascii="仿宋_GB2312"/>
          <w:color w:val="auto"/>
          <w:highlight w:val="none"/>
        </w:rPr>
      </w:pPr>
      <w:r>
        <w:rPr>
          <w:rFonts w:hint="eastAsia" w:ascii="仿宋_GB2312"/>
          <w:color w:val="auto"/>
          <w:highlight w:val="none"/>
        </w:rPr>
        <w:t>1.1项目完成数量</w:t>
      </w:r>
    </w:p>
    <w:p w14:paraId="246DE73E">
      <w:pPr>
        <w:pStyle w:val="52"/>
        <w:spacing w:line="560" w:lineRule="exact"/>
        <w:ind w:left="0" w:leftChars="0" w:right="0" w:rightChars="0" w:firstLine="560"/>
        <w:rPr>
          <w:color w:val="auto"/>
          <w:highlight w:val="none"/>
        </w:rPr>
      </w:pPr>
      <w:r>
        <w:rPr>
          <w:rFonts w:hint="eastAsia"/>
          <w:color w:val="auto"/>
          <w:highlight w:val="none"/>
        </w:rPr>
        <w:t>“</w:t>
      </w:r>
      <w:r>
        <w:rPr>
          <w:rFonts w:hint="eastAsia" w:ascii="仿宋" w:hAnsi="仿宋" w:eastAsia="仿宋" w:cs="仿宋"/>
          <w:color w:val="auto"/>
          <w:spacing w:val="5"/>
          <w:sz w:val="28"/>
          <w:szCs w:val="28"/>
          <w:highlight w:val="none"/>
        </w:rPr>
        <w:t>申请金额</w:t>
      </w:r>
      <w:r>
        <w:rPr>
          <w:rFonts w:ascii="仿宋" w:hAnsi="仿宋" w:eastAsia="仿宋" w:cs="仿宋"/>
          <w:color w:val="auto"/>
          <w:spacing w:val="5"/>
          <w:sz w:val="28"/>
          <w:szCs w:val="28"/>
          <w:highlight w:val="none"/>
        </w:rPr>
        <w:t>”指标，预期指标值为大于等于</w:t>
      </w:r>
      <w:r>
        <w:rPr>
          <w:rFonts w:hint="eastAsia" w:ascii="仿宋" w:hAnsi="仿宋" w:eastAsia="仿宋" w:cs="仿宋"/>
          <w:color w:val="auto"/>
          <w:spacing w:val="5"/>
          <w:sz w:val="28"/>
          <w:szCs w:val="28"/>
          <w:highlight w:val="none"/>
        </w:rPr>
        <w:t>11970万元</w:t>
      </w:r>
      <w:r>
        <w:rPr>
          <w:rFonts w:ascii="仿宋" w:hAnsi="仿宋" w:eastAsia="仿宋" w:cs="仿宋"/>
          <w:color w:val="auto"/>
          <w:spacing w:val="5"/>
          <w:sz w:val="28"/>
          <w:szCs w:val="28"/>
          <w:highlight w:val="none"/>
        </w:rPr>
        <w:t>，</w:t>
      </w:r>
      <w:r>
        <w:rPr>
          <w:rFonts w:ascii="仿宋" w:hAnsi="仿宋" w:eastAsia="仿宋" w:cs="仿宋"/>
          <w:color w:val="auto"/>
          <w:spacing w:val="18"/>
          <w:sz w:val="28"/>
          <w:szCs w:val="28"/>
          <w:highlight w:val="none"/>
        </w:rPr>
        <w:t xml:space="preserve"> </w:t>
      </w:r>
      <w:r>
        <w:rPr>
          <w:rFonts w:ascii="仿宋" w:hAnsi="仿宋" w:eastAsia="仿宋" w:cs="仿宋"/>
          <w:color w:val="auto"/>
          <w:spacing w:val="9"/>
          <w:sz w:val="28"/>
          <w:szCs w:val="28"/>
          <w:highlight w:val="none"/>
        </w:rPr>
        <w:t>全年实际值为</w:t>
      </w:r>
      <w:r>
        <w:rPr>
          <w:rFonts w:hint="eastAsia" w:ascii="仿宋" w:hAnsi="仿宋" w:eastAsia="仿宋" w:cs="仿宋"/>
          <w:color w:val="auto"/>
          <w:spacing w:val="9"/>
          <w:sz w:val="28"/>
          <w:szCs w:val="28"/>
          <w:highlight w:val="none"/>
        </w:rPr>
        <w:t>11970万元</w:t>
      </w:r>
      <w:r>
        <w:rPr>
          <w:rFonts w:ascii="仿宋" w:hAnsi="仿宋" w:eastAsia="仿宋" w:cs="仿宋"/>
          <w:color w:val="auto"/>
          <w:spacing w:val="9"/>
          <w:sz w:val="28"/>
          <w:szCs w:val="28"/>
          <w:highlight w:val="none"/>
        </w:rPr>
        <w:t>，指标完成率为100.00%。所设分值9分，实际得分</w:t>
      </w:r>
      <w:r>
        <w:rPr>
          <w:rFonts w:ascii="宋体" w:hAnsi="宋体" w:eastAsia="宋体" w:cs="宋体"/>
          <w:color w:val="auto"/>
          <w:spacing w:val="13"/>
          <w:sz w:val="27"/>
          <w:szCs w:val="27"/>
          <w:highlight w:val="none"/>
        </w:rPr>
        <w:t>9分</w:t>
      </w:r>
      <w:r>
        <w:rPr>
          <w:rFonts w:hint="eastAsia"/>
          <w:color w:val="auto"/>
          <w:highlight w:val="none"/>
        </w:rPr>
        <w:t xml:space="preserve">。 </w:t>
      </w:r>
      <w:r>
        <w:rPr>
          <w:color w:val="auto"/>
          <w:highlight w:val="none"/>
        </w:rPr>
        <w:t xml:space="preserve">             </w:t>
      </w:r>
    </w:p>
    <w:p w14:paraId="340F9BE5">
      <w:pPr>
        <w:pStyle w:val="52"/>
        <w:spacing w:line="560" w:lineRule="exact"/>
        <w:ind w:left="0" w:leftChars="0" w:right="0" w:rightChars="0" w:firstLine="560"/>
        <w:rPr>
          <w:color w:val="auto"/>
          <w:highlight w:val="none"/>
        </w:rPr>
      </w:pPr>
      <w:r>
        <w:rPr>
          <w:rFonts w:ascii="仿宋_GB2312"/>
          <w:color w:val="auto"/>
          <w:highlight w:val="none"/>
        </w:rPr>
        <w:t>1.2项目完成质量</w:t>
      </w:r>
    </w:p>
    <w:p w14:paraId="08C5509E">
      <w:pPr>
        <w:pStyle w:val="52"/>
        <w:spacing w:line="560" w:lineRule="exact"/>
        <w:ind w:left="0" w:leftChars="0" w:right="0" w:rightChars="0" w:firstLine="560"/>
        <w:rPr>
          <w:color w:val="auto"/>
          <w:highlight w:val="none"/>
        </w:rPr>
      </w:pPr>
      <w:r>
        <w:rPr>
          <w:rFonts w:hint="eastAsia"/>
          <w:color w:val="auto"/>
          <w:highlight w:val="none"/>
        </w:rPr>
        <w:t>“</w:t>
      </w:r>
      <w:r>
        <w:rPr>
          <w:rFonts w:hint="eastAsia" w:ascii="仿宋" w:hAnsi="仿宋" w:eastAsia="仿宋" w:cs="仿宋"/>
          <w:color w:val="auto"/>
          <w:spacing w:val="9"/>
          <w:sz w:val="27"/>
          <w:szCs w:val="27"/>
          <w:highlight w:val="none"/>
        </w:rPr>
        <w:t>利率</w:t>
      </w:r>
      <w:r>
        <w:rPr>
          <w:rFonts w:ascii="仿宋" w:hAnsi="仿宋" w:eastAsia="仿宋" w:cs="仿宋"/>
          <w:color w:val="auto"/>
          <w:spacing w:val="9"/>
          <w:sz w:val="27"/>
          <w:szCs w:val="27"/>
          <w:highlight w:val="none"/>
        </w:rPr>
        <w:t>”指标，预期指标值为等于</w:t>
      </w:r>
      <w:r>
        <w:rPr>
          <w:rFonts w:hint="eastAsia" w:ascii="仿宋" w:hAnsi="仿宋" w:eastAsia="仿宋" w:cs="仿宋"/>
          <w:color w:val="auto"/>
          <w:spacing w:val="9"/>
          <w:sz w:val="27"/>
          <w:szCs w:val="27"/>
          <w:highlight w:val="none"/>
        </w:rPr>
        <w:t>3.8%</w:t>
      </w:r>
      <w:r>
        <w:rPr>
          <w:rFonts w:ascii="仿宋" w:hAnsi="仿宋" w:eastAsia="仿宋" w:cs="仿宋"/>
          <w:color w:val="auto"/>
          <w:spacing w:val="9"/>
          <w:sz w:val="27"/>
          <w:szCs w:val="27"/>
          <w:highlight w:val="none"/>
        </w:rPr>
        <w:t>,全</w:t>
      </w:r>
      <w:r>
        <w:rPr>
          <w:rFonts w:hint="eastAsia" w:ascii="仿宋" w:hAnsi="仿宋" w:eastAsia="仿宋" w:cs="仿宋"/>
          <w:color w:val="auto"/>
          <w:spacing w:val="9"/>
          <w:sz w:val="27"/>
          <w:szCs w:val="27"/>
          <w:highlight w:val="none"/>
          <w:lang w:val="en-US" w:eastAsia="zh-CN"/>
        </w:rPr>
        <w:t>年</w:t>
      </w:r>
      <w:r>
        <w:rPr>
          <w:rFonts w:ascii="仿宋" w:hAnsi="仿宋" w:eastAsia="仿宋" w:cs="仿宋"/>
          <w:color w:val="auto"/>
          <w:spacing w:val="27"/>
          <w:sz w:val="27"/>
          <w:szCs w:val="27"/>
          <w:highlight w:val="none"/>
        </w:rPr>
        <w:t>实际值为</w:t>
      </w:r>
      <w:r>
        <w:rPr>
          <w:rFonts w:hint="eastAsia" w:ascii="仿宋" w:hAnsi="仿宋" w:eastAsia="仿宋" w:cs="仿宋"/>
          <w:color w:val="auto"/>
          <w:spacing w:val="27"/>
          <w:sz w:val="27"/>
          <w:szCs w:val="27"/>
          <w:highlight w:val="none"/>
        </w:rPr>
        <w:t>3.8%</w:t>
      </w:r>
      <w:r>
        <w:rPr>
          <w:rFonts w:ascii="仿宋" w:hAnsi="仿宋" w:eastAsia="仿宋" w:cs="仿宋"/>
          <w:color w:val="auto"/>
          <w:spacing w:val="27"/>
          <w:sz w:val="27"/>
          <w:szCs w:val="27"/>
          <w:highlight w:val="none"/>
        </w:rPr>
        <w:t>,指标完成率为100.00%。所设分值</w:t>
      </w:r>
      <w:r>
        <w:rPr>
          <w:rFonts w:hint="eastAsia" w:ascii="仿宋" w:hAnsi="仿宋" w:eastAsia="仿宋" w:cs="仿宋"/>
          <w:color w:val="auto"/>
          <w:spacing w:val="27"/>
          <w:sz w:val="27"/>
          <w:szCs w:val="27"/>
          <w:highlight w:val="none"/>
          <w:lang w:val="en-US" w:eastAsia="zh-CN"/>
        </w:rPr>
        <w:t>8</w:t>
      </w:r>
      <w:r>
        <w:rPr>
          <w:rFonts w:ascii="仿宋" w:hAnsi="仿宋" w:eastAsia="仿宋" w:cs="仿宋"/>
          <w:color w:val="auto"/>
          <w:spacing w:val="27"/>
          <w:sz w:val="27"/>
          <w:szCs w:val="27"/>
          <w:highlight w:val="none"/>
        </w:rPr>
        <w:t>分，实际得分</w:t>
      </w:r>
      <w:r>
        <w:rPr>
          <w:rFonts w:hint="eastAsia" w:ascii="仿宋" w:hAnsi="仿宋" w:eastAsia="仿宋" w:cs="仿宋"/>
          <w:color w:val="auto"/>
          <w:spacing w:val="27"/>
          <w:sz w:val="27"/>
          <w:szCs w:val="27"/>
          <w:highlight w:val="none"/>
          <w:lang w:val="en-US" w:eastAsia="zh-CN"/>
        </w:rPr>
        <w:t>8</w:t>
      </w:r>
      <w:r>
        <w:rPr>
          <w:rFonts w:ascii="仿宋" w:hAnsi="仿宋" w:eastAsia="仿宋" w:cs="仿宋"/>
          <w:color w:val="auto"/>
          <w:spacing w:val="-15"/>
          <w:sz w:val="27"/>
          <w:szCs w:val="27"/>
          <w:highlight w:val="none"/>
        </w:rPr>
        <w:t>分</w:t>
      </w:r>
      <w:r>
        <w:rPr>
          <w:rFonts w:hint="eastAsia"/>
          <w:color w:val="auto"/>
          <w:highlight w:val="none"/>
        </w:rPr>
        <w:t>。</w:t>
      </w:r>
    </w:p>
    <w:p w14:paraId="3406DC19">
      <w:pPr>
        <w:pStyle w:val="52"/>
        <w:spacing w:line="560" w:lineRule="exact"/>
        <w:ind w:left="0" w:leftChars="0" w:right="0" w:rightChars="0" w:firstLine="560"/>
        <w:rPr>
          <w:color w:val="auto"/>
          <w:highlight w:val="none"/>
        </w:rPr>
      </w:pPr>
      <w:r>
        <w:rPr>
          <w:rFonts w:hint="eastAsia"/>
          <w:color w:val="auto"/>
          <w:highlight w:val="none"/>
        </w:rPr>
        <w:t>“</w:t>
      </w:r>
      <w:r>
        <w:rPr>
          <w:rFonts w:hint="eastAsia" w:ascii="仿宋" w:hAnsi="仿宋" w:eastAsia="仿宋" w:cs="仿宋"/>
          <w:color w:val="auto"/>
          <w:spacing w:val="9"/>
          <w:sz w:val="27"/>
          <w:szCs w:val="27"/>
          <w:highlight w:val="none"/>
        </w:rPr>
        <w:t>资金支付合规率</w:t>
      </w:r>
      <w:r>
        <w:rPr>
          <w:rFonts w:ascii="仿宋" w:hAnsi="仿宋" w:eastAsia="仿宋" w:cs="仿宋"/>
          <w:color w:val="auto"/>
          <w:spacing w:val="9"/>
          <w:sz w:val="27"/>
          <w:szCs w:val="27"/>
          <w:highlight w:val="none"/>
        </w:rPr>
        <w:t>”指标，预期指标值为等于</w:t>
      </w:r>
      <w:r>
        <w:rPr>
          <w:rFonts w:hint="eastAsia" w:ascii="仿宋" w:hAnsi="仿宋" w:eastAsia="仿宋" w:cs="仿宋"/>
          <w:color w:val="auto"/>
          <w:spacing w:val="9"/>
          <w:sz w:val="27"/>
          <w:szCs w:val="27"/>
          <w:highlight w:val="none"/>
          <w:lang w:val="en-US" w:eastAsia="zh-CN"/>
        </w:rPr>
        <w:t>100</w:t>
      </w:r>
      <w:r>
        <w:rPr>
          <w:rFonts w:hint="eastAsia" w:ascii="仿宋" w:hAnsi="仿宋" w:eastAsia="仿宋" w:cs="仿宋"/>
          <w:color w:val="auto"/>
          <w:spacing w:val="9"/>
          <w:sz w:val="27"/>
          <w:szCs w:val="27"/>
          <w:highlight w:val="none"/>
        </w:rPr>
        <w:t>%</w:t>
      </w:r>
      <w:r>
        <w:rPr>
          <w:rFonts w:ascii="仿宋" w:hAnsi="仿宋" w:eastAsia="仿宋" w:cs="仿宋"/>
          <w:color w:val="auto"/>
          <w:spacing w:val="9"/>
          <w:sz w:val="27"/>
          <w:szCs w:val="27"/>
          <w:highlight w:val="none"/>
        </w:rPr>
        <w:t>,全年</w:t>
      </w:r>
      <w:r>
        <w:rPr>
          <w:rFonts w:ascii="仿宋" w:hAnsi="仿宋" w:eastAsia="仿宋" w:cs="仿宋"/>
          <w:color w:val="auto"/>
          <w:spacing w:val="15"/>
          <w:sz w:val="27"/>
          <w:szCs w:val="27"/>
          <w:highlight w:val="none"/>
        </w:rPr>
        <w:t xml:space="preserve"> </w:t>
      </w:r>
      <w:r>
        <w:rPr>
          <w:rFonts w:ascii="仿宋" w:hAnsi="仿宋" w:eastAsia="仿宋" w:cs="仿宋"/>
          <w:color w:val="auto"/>
          <w:spacing w:val="27"/>
          <w:sz w:val="27"/>
          <w:szCs w:val="27"/>
          <w:highlight w:val="none"/>
        </w:rPr>
        <w:t>实际值为</w:t>
      </w:r>
      <w:r>
        <w:rPr>
          <w:rFonts w:hint="eastAsia" w:ascii="仿宋" w:hAnsi="仿宋" w:eastAsia="仿宋" w:cs="仿宋"/>
          <w:color w:val="auto"/>
          <w:spacing w:val="27"/>
          <w:sz w:val="27"/>
          <w:szCs w:val="27"/>
          <w:highlight w:val="none"/>
          <w:lang w:val="en-US" w:eastAsia="zh-CN"/>
        </w:rPr>
        <w:t>100</w:t>
      </w:r>
      <w:r>
        <w:rPr>
          <w:rFonts w:hint="eastAsia" w:ascii="仿宋" w:hAnsi="仿宋" w:eastAsia="仿宋" w:cs="仿宋"/>
          <w:color w:val="auto"/>
          <w:spacing w:val="27"/>
          <w:sz w:val="27"/>
          <w:szCs w:val="27"/>
          <w:highlight w:val="none"/>
        </w:rPr>
        <w:t>%</w:t>
      </w:r>
      <w:r>
        <w:rPr>
          <w:rFonts w:ascii="仿宋" w:hAnsi="仿宋" w:eastAsia="仿宋" w:cs="仿宋"/>
          <w:color w:val="auto"/>
          <w:spacing w:val="27"/>
          <w:sz w:val="27"/>
          <w:szCs w:val="27"/>
          <w:highlight w:val="none"/>
        </w:rPr>
        <w:t>,指标完成率为100.00%。所设分值</w:t>
      </w:r>
      <w:r>
        <w:rPr>
          <w:rFonts w:hint="eastAsia" w:ascii="仿宋" w:hAnsi="仿宋" w:eastAsia="仿宋" w:cs="仿宋"/>
          <w:color w:val="auto"/>
          <w:spacing w:val="27"/>
          <w:sz w:val="27"/>
          <w:szCs w:val="27"/>
          <w:highlight w:val="none"/>
          <w:lang w:val="en-US" w:eastAsia="zh-CN"/>
        </w:rPr>
        <w:t>8</w:t>
      </w:r>
      <w:r>
        <w:rPr>
          <w:rFonts w:ascii="仿宋" w:hAnsi="仿宋" w:eastAsia="仿宋" w:cs="仿宋"/>
          <w:color w:val="auto"/>
          <w:spacing w:val="27"/>
          <w:sz w:val="27"/>
          <w:szCs w:val="27"/>
          <w:highlight w:val="none"/>
        </w:rPr>
        <w:t>分，实际得分</w:t>
      </w:r>
      <w:r>
        <w:rPr>
          <w:rFonts w:hint="eastAsia" w:ascii="仿宋" w:hAnsi="仿宋" w:eastAsia="仿宋" w:cs="仿宋"/>
          <w:color w:val="auto"/>
          <w:spacing w:val="27"/>
          <w:sz w:val="27"/>
          <w:szCs w:val="27"/>
          <w:highlight w:val="none"/>
          <w:lang w:val="en-US" w:eastAsia="zh-CN"/>
        </w:rPr>
        <w:t>8</w:t>
      </w:r>
      <w:r>
        <w:rPr>
          <w:rFonts w:ascii="仿宋" w:hAnsi="仿宋" w:eastAsia="仿宋" w:cs="仿宋"/>
          <w:color w:val="auto"/>
          <w:spacing w:val="-15"/>
          <w:sz w:val="27"/>
          <w:szCs w:val="27"/>
          <w:highlight w:val="none"/>
        </w:rPr>
        <w:t>分</w:t>
      </w:r>
      <w:r>
        <w:rPr>
          <w:rFonts w:hint="eastAsia"/>
          <w:color w:val="auto"/>
          <w:highlight w:val="none"/>
        </w:rPr>
        <w:t>。</w:t>
      </w:r>
    </w:p>
    <w:p w14:paraId="5D64A2DC">
      <w:pPr>
        <w:pStyle w:val="52"/>
        <w:spacing w:line="560" w:lineRule="exact"/>
        <w:ind w:left="0" w:leftChars="0" w:right="0" w:rightChars="0" w:firstLine="560"/>
        <w:rPr>
          <w:color w:val="auto"/>
          <w:highlight w:val="none"/>
        </w:rPr>
      </w:pPr>
      <w:r>
        <w:rPr>
          <w:color w:val="auto"/>
          <w:highlight w:val="none"/>
        </w:rPr>
        <w:t>1.3项目完成时效</w:t>
      </w:r>
    </w:p>
    <w:p w14:paraId="1BD9B7A7">
      <w:pPr>
        <w:pStyle w:val="52"/>
        <w:spacing w:line="560" w:lineRule="exact"/>
        <w:ind w:left="0" w:leftChars="0" w:right="0" w:rightChars="0" w:firstLine="560"/>
        <w:rPr>
          <w:rFonts w:hint="eastAsia" w:ascii="仿宋" w:hAnsi="仿宋" w:eastAsia="仿宋" w:cs="仿宋"/>
          <w:color w:val="auto"/>
          <w:spacing w:val="9"/>
          <w:sz w:val="27"/>
          <w:szCs w:val="27"/>
          <w:highlight w:val="none"/>
        </w:rPr>
      </w:pPr>
      <w:r>
        <w:rPr>
          <w:rFonts w:hint="eastAsia" w:ascii="仿宋" w:hAnsi="仿宋" w:eastAsia="仿宋" w:cs="仿宋"/>
          <w:color w:val="auto"/>
          <w:spacing w:val="9"/>
          <w:sz w:val="27"/>
          <w:szCs w:val="27"/>
          <w:highlight w:val="none"/>
        </w:rPr>
        <w:t>“资金支付及时率”指标，预期指标值为等于100.00%,全年实际值为 100.00%,指标完成率为100.00%。所设分值8分，实际得分8分。</w:t>
      </w:r>
    </w:p>
    <w:p w14:paraId="483BC5CA">
      <w:pPr>
        <w:pStyle w:val="52"/>
        <w:spacing w:line="560" w:lineRule="exact"/>
        <w:ind w:left="0" w:leftChars="0" w:right="0" w:rightChars="0" w:firstLine="560"/>
        <w:rPr>
          <w:rFonts w:hint="eastAsia"/>
          <w:color w:val="auto"/>
          <w:highlight w:val="none"/>
        </w:rPr>
      </w:pPr>
      <w:r>
        <w:rPr>
          <w:rFonts w:hint="eastAsia" w:ascii="仿宋" w:hAnsi="仿宋" w:eastAsia="仿宋" w:cs="仿宋"/>
          <w:color w:val="auto"/>
          <w:spacing w:val="9"/>
          <w:sz w:val="27"/>
          <w:szCs w:val="27"/>
          <w:highlight w:val="none"/>
        </w:rPr>
        <w:t>“项目完工时间”指标，预期指标值为202</w:t>
      </w:r>
      <w:r>
        <w:rPr>
          <w:rFonts w:hint="eastAsia" w:ascii="仿宋" w:hAnsi="仿宋" w:eastAsia="仿宋" w:cs="仿宋"/>
          <w:color w:val="auto"/>
          <w:spacing w:val="9"/>
          <w:sz w:val="27"/>
          <w:szCs w:val="27"/>
          <w:highlight w:val="none"/>
          <w:lang w:val="en-US" w:eastAsia="zh-CN"/>
        </w:rPr>
        <w:t>4</w:t>
      </w:r>
      <w:r>
        <w:rPr>
          <w:rFonts w:hint="eastAsia" w:ascii="仿宋" w:hAnsi="仿宋" w:eastAsia="仿宋" w:cs="仿宋"/>
          <w:color w:val="auto"/>
          <w:spacing w:val="9"/>
          <w:sz w:val="27"/>
          <w:szCs w:val="27"/>
          <w:highlight w:val="none"/>
        </w:rPr>
        <w:t>年12月，全年实际值为 202</w:t>
      </w:r>
      <w:r>
        <w:rPr>
          <w:rFonts w:hint="eastAsia" w:ascii="仿宋" w:hAnsi="仿宋" w:eastAsia="仿宋" w:cs="仿宋"/>
          <w:color w:val="auto"/>
          <w:spacing w:val="9"/>
          <w:sz w:val="27"/>
          <w:szCs w:val="27"/>
          <w:highlight w:val="none"/>
          <w:lang w:val="en-US" w:eastAsia="zh-CN"/>
        </w:rPr>
        <w:t>4</w:t>
      </w:r>
      <w:r>
        <w:rPr>
          <w:rFonts w:hint="eastAsia" w:ascii="仿宋" w:hAnsi="仿宋" w:eastAsia="仿宋" w:cs="仿宋"/>
          <w:color w:val="auto"/>
          <w:spacing w:val="9"/>
          <w:sz w:val="27"/>
          <w:szCs w:val="27"/>
          <w:highlight w:val="none"/>
        </w:rPr>
        <w:t xml:space="preserve">年12月，指标完成率为100.00%。所设分值8分，实际得分8分。     </w:t>
      </w:r>
      <w:r>
        <w:rPr>
          <w:rFonts w:hint="eastAsia"/>
          <w:color w:val="auto"/>
          <w:highlight w:val="none"/>
        </w:rPr>
        <w:t xml:space="preserve">   </w:t>
      </w:r>
    </w:p>
    <w:p w14:paraId="217FCC9C">
      <w:pPr>
        <w:pStyle w:val="52"/>
        <w:spacing w:line="560" w:lineRule="exact"/>
        <w:ind w:left="0" w:leftChars="0" w:right="0" w:rightChars="0" w:firstLine="560"/>
        <w:rPr>
          <w:color w:val="auto"/>
          <w:highlight w:val="none"/>
        </w:rPr>
      </w:pPr>
      <w:r>
        <w:rPr>
          <w:color w:val="auto"/>
          <w:highlight w:val="none"/>
        </w:rPr>
        <w:t>1.4项目成本节约情况</w:t>
      </w:r>
    </w:p>
    <w:p w14:paraId="67F169A9">
      <w:pPr>
        <w:pStyle w:val="52"/>
        <w:spacing w:line="560" w:lineRule="exact"/>
        <w:ind w:left="0" w:leftChars="0" w:right="0" w:rightChars="0" w:firstLine="560"/>
        <w:rPr>
          <w:color w:val="auto"/>
          <w:highlight w:val="none"/>
        </w:rPr>
      </w:pPr>
      <w:r>
        <w:rPr>
          <w:rFonts w:hint="eastAsia"/>
          <w:color w:val="auto"/>
          <w:highlight w:val="none"/>
        </w:rPr>
        <w:t>为有效控制项目实施成本，我单位在实施项目前就该项目设定了成本控制指标，实施过程中我单位有效降低了项目执行成本，具体指标设置及完成情况如下：</w:t>
      </w:r>
    </w:p>
    <w:p w14:paraId="4BD4C1F5">
      <w:pPr>
        <w:pStyle w:val="33"/>
        <w:rPr>
          <w:b/>
          <w:color w:val="auto"/>
          <w:highlight w:val="none"/>
        </w:rPr>
      </w:pPr>
      <w:r>
        <w:rPr>
          <w:rFonts w:hint="eastAsia"/>
          <w:color w:val="auto"/>
          <w:highlight w:val="none"/>
        </w:rPr>
        <w:t>“</w:t>
      </w:r>
      <w:r>
        <w:rPr>
          <w:rFonts w:hint="eastAsia" w:ascii="仿宋" w:hAnsi="仿宋" w:eastAsia="仿宋" w:cs="仿宋"/>
          <w:color w:val="auto"/>
          <w:spacing w:val="18"/>
          <w:sz w:val="27"/>
          <w:szCs w:val="27"/>
          <w:highlight w:val="none"/>
        </w:rPr>
        <w:t>贴息金额</w:t>
      </w:r>
      <w:r>
        <w:rPr>
          <w:rFonts w:ascii="仿宋" w:hAnsi="仿宋" w:eastAsia="仿宋" w:cs="仿宋"/>
          <w:color w:val="auto"/>
          <w:spacing w:val="18"/>
          <w:sz w:val="27"/>
          <w:szCs w:val="27"/>
          <w:highlight w:val="none"/>
        </w:rPr>
        <w:t>”指标，预期指标值为小于等于</w:t>
      </w:r>
      <w:r>
        <w:rPr>
          <w:rFonts w:hint="eastAsia" w:ascii="仿宋" w:hAnsi="仿宋" w:eastAsia="仿宋" w:cs="仿宋"/>
          <w:color w:val="auto"/>
          <w:spacing w:val="18"/>
          <w:sz w:val="27"/>
          <w:szCs w:val="27"/>
          <w:highlight w:val="none"/>
        </w:rPr>
        <w:t>528.5万元</w:t>
      </w:r>
      <w:r>
        <w:rPr>
          <w:rFonts w:ascii="仿宋" w:hAnsi="仿宋" w:eastAsia="仿宋" w:cs="仿宋"/>
          <w:color w:val="auto"/>
          <w:spacing w:val="18"/>
          <w:sz w:val="27"/>
          <w:szCs w:val="27"/>
          <w:highlight w:val="none"/>
        </w:rPr>
        <w:t>。</w:t>
      </w:r>
      <w:r>
        <w:rPr>
          <w:rFonts w:ascii="仿宋" w:hAnsi="仿宋" w:eastAsia="仿宋" w:cs="仿宋"/>
          <w:color w:val="auto"/>
          <w:spacing w:val="1"/>
          <w:sz w:val="27"/>
          <w:szCs w:val="27"/>
          <w:highlight w:val="none"/>
        </w:rPr>
        <w:t xml:space="preserve"> </w:t>
      </w:r>
      <w:r>
        <w:rPr>
          <w:rFonts w:ascii="仿宋" w:hAnsi="仿宋" w:eastAsia="仿宋" w:cs="仿宋"/>
          <w:color w:val="auto"/>
          <w:spacing w:val="21"/>
          <w:sz w:val="27"/>
          <w:szCs w:val="27"/>
          <w:highlight w:val="none"/>
        </w:rPr>
        <w:t>全年实际值为</w:t>
      </w:r>
      <w:r>
        <w:rPr>
          <w:rFonts w:hint="eastAsia" w:ascii="仿宋" w:hAnsi="仿宋" w:eastAsia="仿宋" w:cs="仿宋"/>
          <w:color w:val="auto"/>
          <w:spacing w:val="21"/>
          <w:sz w:val="27"/>
          <w:szCs w:val="27"/>
          <w:highlight w:val="none"/>
        </w:rPr>
        <w:t>528.5万元</w:t>
      </w:r>
      <w:r>
        <w:rPr>
          <w:rFonts w:ascii="仿宋" w:hAnsi="仿宋" w:eastAsia="仿宋" w:cs="仿宋"/>
          <w:color w:val="auto"/>
          <w:spacing w:val="21"/>
          <w:sz w:val="27"/>
          <w:szCs w:val="27"/>
          <w:highlight w:val="none"/>
        </w:rPr>
        <w:t>，指标完成率为100.00%,所设分值</w:t>
      </w:r>
      <w:r>
        <w:rPr>
          <w:rFonts w:hint="eastAsia" w:ascii="仿宋" w:hAnsi="仿宋" w:eastAsia="仿宋" w:cs="仿宋"/>
          <w:color w:val="auto"/>
          <w:spacing w:val="21"/>
          <w:sz w:val="27"/>
          <w:szCs w:val="27"/>
          <w:highlight w:val="none"/>
          <w:lang w:val="en-US" w:eastAsia="zh-CN"/>
        </w:rPr>
        <w:t>9</w:t>
      </w:r>
      <w:r>
        <w:rPr>
          <w:rFonts w:ascii="仿宋" w:hAnsi="仿宋" w:eastAsia="仿宋" w:cs="仿宋"/>
          <w:color w:val="auto"/>
          <w:spacing w:val="20"/>
          <w:sz w:val="27"/>
          <w:szCs w:val="27"/>
          <w:highlight w:val="none"/>
        </w:rPr>
        <w:t>分，实际得</w:t>
      </w:r>
      <w:r>
        <w:rPr>
          <w:rFonts w:hint="eastAsia" w:ascii="仿宋" w:hAnsi="仿宋" w:eastAsia="仿宋" w:cs="仿宋"/>
          <w:color w:val="auto"/>
          <w:spacing w:val="13"/>
          <w:sz w:val="27"/>
          <w:szCs w:val="27"/>
          <w:highlight w:val="none"/>
          <w:lang w:val="en-US" w:eastAsia="zh-CN"/>
        </w:rPr>
        <w:t>9</w:t>
      </w:r>
      <w:r>
        <w:rPr>
          <w:rFonts w:ascii="仿宋" w:hAnsi="仿宋" w:eastAsia="仿宋" w:cs="仿宋"/>
          <w:color w:val="auto"/>
          <w:spacing w:val="13"/>
          <w:sz w:val="27"/>
          <w:szCs w:val="27"/>
          <w:highlight w:val="none"/>
        </w:rPr>
        <w:t>分</w:t>
      </w:r>
      <w:r>
        <w:rPr>
          <w:rFonts w:hint="eastAsia"/>
          <w:color w:val="auto"/>
          <w:highlight w:val="none"/>
        </w:rPr>
        <w:t>。</w:t>
      </w:r>
    </w:p>
    <w:p w14:paraId="2FD00D0F">
      <w:pPr>
        <w:pStyle w:val="33"/>
        <w:rPr>
          <w:color w:val="auto"/>
          <w:highlight w:val="none"/>
        </w:rPr>
      </w:pPr>
      <w:r>
        <w:rPr>
          <w:rFonts w:hint="eastAsia"/>
          <w:color w:val="auto"/>
          <w:highlight w:val="none"/>
        </w:rPr>
        <w:t>2.效益指标完成情况分析</w:t>
      </w:r>
    </w:p>
    <w:p w14:paraId="6135A6E1">
      <w:pPr>
        <w:pStyle w:val="52"/>
        <w:spacing w:line="560" w:lineRule="exact"/>
        <w:ind w:left="0" w:leftChars="0" w:right="0" w:rightChars="0" w:firstLine="560"/>
        <w:rPr>
          <w:color w:val="auto"/>
          <w:highlight w:val="none"/>
        </w:rPr>
      </w:pPr>
      <w:r>
        <w:rPr>
          <w:color w:val="auto"/>
          <w:highlight w:val="none"/>
        </w:rPr>
        <w:t>2.</w:t>
      </w:r>
      <w:r>
        <w:rPr>
          <w:rFonts w:hint="eastAsia"/>
          <w:color w:val="auto"/>
          <w:highlight w:val="none"/>
          <w:lang w:val="en-US" w:eastAsia="zh-CN"/>
        </w:rPr>
        <w:t>1</w:t>
      </w:r>
      <w:r>
        <w:rPr>
          <w:color w:val="auto"/>
          <w:highlight w:val="none"/>
        </w:rPr>
        <w:t>项目实施的社会效益分析</w:t>
      </w:r>
    </w:p>
    <w:p w14:paraId="7BC07E70">
      <w:pPr>
        <w:pStyle w:val="52"/>
        <w:spacing w:line="560" w:lineRule="exact"/>
        <w:ind w:left="0" w:leftChars="0" w:right="0" w:rightChars="0" w:firstLine="560"/>
        <w:rPr>
          <w:color w:val="auto"/>
          <w:highlight w:val="none"/>
        </w:rPr>
      </w:pPr>
      <w:r>
        <w:rPr>
          <w:rFonts w:hint="eastAsia"/>
          <w:color w:val="auto"/>
          <w:highlight w:val="none"/>
        </w:rPr>
        <w:t>“</w:t>
      </w:r>
      <w:r>
        <w:rPr>
          <w:rFonts w:hint="eastAsia" w:ascii="仿宋" w:hAnsi="仿宋" w:eastAsia="仿宋" w:cs="仿宋"/>
          <w:color w:val="auto"/>
          <w:spacing w:val="18"/>
          <w:sz w:val="27"/>
          <w:szCs w:val="27"/>
          <w:highlight w:val="none"/>
        </w:rPr>
        <w:t>有效缓解财政压力</w:t>
      </w:r>
      <w:r>
        <w:rPr>
          <w:rFonts w:ascii="仿宋" w:hAnsi="仿宋" w:eastAsia="仿宋" w:cs="仿宋"/>
          <w:color w:val="auto"/>
          <w:spacing w:val="18"/>
          <w:sz w:val="27"/>
          <w:szCs w:val="27"/>
          <w:highlight w:val="none"/>
        </w:rPr>
        <w:t>”指标，预期指标值为</w:t>
      </w:r>
      <w:r>
        <w:rPr>
          <w:rFonts w:hint="eastAsia" w:ascii="仿宋" w:hAnsi="仿宋" w:eastAsia="仿宋" w:cs="仿宋"/>
          <w:color w:val="auto"/>
          <w:spacing w:val="18"/>
          <w:sz w:val="27"/>
          <w:szCs w:val="27"/>
          <w:highlight w:val="none"/>
        </w:rPr>
        <w:t>效果显著</w:t>
      </w:r>
      <w:r>
        <w:rPr>
          <w:rFonts w:ascii="仿宋" w:hAnsi="仿宋" w:eastAsia="仿宋" w:cs="仿宋"/>
          <w:color w:val="auto"/>
          <w:spacing w:val="18"/>
          <w:sz w:val="27"/>
          <w:szCs w:val="27"/>
          <w:highlight w:val="none"/>
        </w:rPr>
        <w:t>；</w:t>
      </w:r>
      <w:r>
        <w:rPr>
          <w:rFonts w:ascii="仿宋" w:hAnsi="仿宋" w:eastAsia="仿宋" w:cs="仿宋"/>
          <w:color w:val="auto"/>
          <w:sz w:val="27"/>
          <w:szCs w:val="27"/>
          <w:highlight w:val="none"/>
        </w:rPr>
        <w:t xml:space="preserve"> </w:t>
      </w:r>
      <w:r>
        <w:rPr>
          <w:rFonts w:ascii="仿宋" w:hAnsi="仿宋" w:eastAsia="仿宋" w:cs="仿宋"/>
          <w:color w:val="auto"/>
          <w:spacing w:val="20"/>
          <w:sz w:val="27"/>
          <w:szCs w:val="27"/>
          <w:highlight w:val="none"/>
        </w:rPr>
        <w:t>全年实际值为</w:t>
      </w:r>
      <w:r>
        <w:rPr>
          <w:rFonts w:hint="eastAsia" w:ascii="仿宋" w:hAnsi="仿宋" w:eastAsia="仿宋" w:cs="仿宋"/>
          <w:color w:val="auto"/>
          <w:spacing w:val="20"/>
          <w:sz w:val="27"/>
          <w:szCs w:val="27"/>
          <w:highlight w:val="none"/>
        </w:rPr>
        <w:t>效果显著</w:t>
      </w:r>
      <w:r>
        <w:rPr>
          <w:rFonts w:ascii="仿宋" w:hAnsi="仿宋" w:eastAsia="仿宋" w:cs="仿宋"/>
          <w:color w:val="auto"/>
          <w:spacing w:val="20"/>
          <w:sz w:val="27"/>
          <w:szCs w:val="27"/>
          <w:highlight w:val="none"/>
        </w:rPr>
        <w:t>，指标完成率为100.00%,所设分值</w:t>
      </w:r>
      <w:r>
        <w:rPr>
          <w:rFonts w:hint="eastAsia" w:ascii="仿宋" w:hAnsi="仿宋" w:eastAsia="仿宋" w:cs="仿宋"/>
          <w:color w:val="auto"/>
          <w:spacing w:val="20"/>
          <w:sz w:val="27"/>
          <w:szCs w:val="27"/>
          <w:highlight w:val="none"/>
          <w:lang w:val="en-US" w:eastAsia="zh-CN"/>
        </w:rPr>
        <w:t>30</w:t>
      </w:r>
      <w:r>
        <w:rPr>
          <w:rFonts w:ascii="仿宋" w:hAnsi="仿宋" w:eastAsia="仿宋" w:cs="仿宋"/>
          <w:color w:val="auto"/>
          <w:spacing w:val="20"/>
          <w:sz w:val="27"/>
          <w:szCs w:val="27"/>
          <w:highlight w:val="none"/>
        </w:rPr>
        <w:t>分，实际得分</w:t>
      </w:r>
      <w:r>
        <w:rPr>
          <w:rFonts w:hint="eastAsia" w:ascii="仿宋" w:hAnsi="仿宋" w:eastAsia="仿宋" w:cs="仿宋"/>
          <w:color w:val="auto"/>
          <w:spacing w:val="20"/>
          <w:sz w:val="27"/>
          <w:szCs w:val="27"/>
          <w:highlight w:val="none"/>
          <w:lang w:val="en-US" w:eastAsia="zh-CN"/>
        </w:rPr>
        <w:t>30</w:t>
      </w:r>
      <w:r>
        <w:rPr>
          <w:rFonts w:ascii="仿宋" w:hAnsi="仿宋" w:eastAsia="仿宋" w:cs="仿宋"/>
          <w:color w:val="auto"/>
          <w:spacing w:val="20"/>
          <w:sz w:val="27"/>
          <w:szCs w:val="27"/>
          <w:highlight w:val="none"/>
        </w:rPr>
        <w:t>分</w:t>
      </w:r>
      <w:r>
        <w:rPr>
          <w:rFonts w:hint="eastAsia"/>
          <w:color w:val="auto"/>
          <w:highlight w:val="none"/>
        </w:rPr>
        <w:t xml:space="preserve">。 </w:t>
      </w:r>
      <w:r>
        <w:rPr>
          <w:color w:val="auto"/>
          <w:highlight w:val="none"/>
        </w:rPr>
        <w:t xml:space="preserve">   </w:t>
      </w:r>
    </w:p>
    <w:p w14:paraId="7BAD16F4">
      <w:pPr>
        <w:pStyle w:val="33"/>
        <w:rPr>
          <w:color w:val="auto"/>
          <w:highlight w:val="none"/>
        </w:rPr>
      </w:pPr>
      <w:r>
        <w:rPr>
          <w:rFonts w:hint="eastAsia"/>
          <w:color w:val="auto"/>
          <w:highlight w:val="none"/>
        </w:rPr>
        <w:t>3.满意度指标完成情况分析</w:t>
      </w:r>
    </w:p>
    <w:p w14:paraId="378E0CC6">
      <w:pPr>
        <w:spacing w:line="560" w:lineRule="exact"/>
        <w:ind w:firstLine="544" w:firstLineChars="200"/>
        <w:rPr>
          <w:rFonts w:ascii="仿宋_GB2312" w:hAnsi="Times New Roman" w:eastAsia="仿宋_GB2312" w:cs="Times New Roman"/>
          <w:bCs/>
          <w:color w:val="auto"/>
          <w:spacing w:val="-4"/>
          <w:sz w:val="28"/>
          <w:szCs w:val="28"/>
          <w:highlight w:val="none"/>
        </w:rPr>
      </w:pPr>
      <w:r>
        <w:rPr>
          <w:rFonts w:hint="eastAsia" w:ascii="仿宋_GB2312" w:hAnsi="Times New Roman" w:eastAsia="仿宋_GB2312" w:cs="Times New Roman"/>
          <w:bCs/>
          <w:color w:val="auto"/>
          <w:spacing w:val="-4"/>
          <w:sz w:val="28"/>
          <w:szCs w:val="28"/>
          <w:highlight w:val="none"/>
        </w:rPr>
        <w:t>“</w:t>
      </w:r>
      <w:r>
        <w:rPr>
          <w:rFonts w:hint="eastAsia" w:ascii="仿宋" w:hAnsi="仿宋" w:eastAsia="仿宋" w:cs="仿宋"/>
          <w:color w:val="auto"/>
          <w:spacing w:val="1"/>
          <w:sz w:val="28"/>
          <w:szCs w:val="28"/>
          <w:highlight w:val="none"/>
        </w:rPr>
        <w:t>受益单位满意度</w:t>
      </w:r>
      <w:r>
        <w:rPr>
          <w:rFonts w:ascii="仿宋" w:hAnsi="仿宋" w:eastAsia="仿宋" w:cs="仿宋"/>
          <w:color w:val="auto"/>
          <w:spacing w:val="1"/>
          <w:sz w:val="28"/>
          <w:szCs w:val="28"/>
          <w:highlight w:val="none"/>
        </w:rPr>
        <w:t>”指标，预期指标值为</w:t>
      </w:r>
      <w:r>
        <w:rPr>
          <w:rFonts w:hint="eastAsia" w:ascii="仿宋" w:hAnsi="仿宋" w:eastAsia="仿宋" w:cs="仿宋"/>
          <w:color w:val="auto"/>
          <w:spacing w:val="1"/>
          <w:sz w:val="28"/>
          <w:szCs w:val="28"/>
          <w:highlight w:val="none"/>
          <w:lang w:val="en-US" w:eastAsia="zh-CN"/>
        </w:rPr>
        <w:t>大</w:t>
      </w:r>
      <w:r>
        <w:rPr>
          <w:rFonts w:ascii="仿宋" w:hAnsi="仿宋" w:eastAsia="仿宋" w:cs="仿宋"/>
          <w:color w:val="auto"/>
          <w:spacing w:val="1"/>
          <w:sz w:val="28"/>
          <w:szCs w:val="28"/>
          <w:highlight w:val="none"/>
        </w:rPr>
        <w:t>于等于95%;全年实际值为</w:t>
      </w:r>
      <w:r>
        <w:rPr>
          <w:rFonts w:ascii="仿宋" w:hAnsi="仿宋" w:eastAsia="仿宋" w:cs="仿宋"/>
          <w:color w:val="auto"/>
          <w:spacing w:val="6"/>
          <w:sz w:val="28"/>
          <w:szCs w:val="28"/>
          <w:highlight w:val="none"/>
        </w:rPr>
        <w:t xml:space="preserve"> </w:t>
      </w:r>
      <w:r>
        <w:rPr>
          <w:rFonts w:ascii="仿宋" w:hAnsi="仿宋" w:eastAsia="仿宋" w:cs="仿宋"/>
          <w:color w:val="auto"/>
          <w:spacing w:val="12"/>
          <w:sz w:val="28"/>
          <w:szCs w:val="28"/>
          <w:highlight w:val="none"/>
        </w:rPr>
        <w:t>9</w:t>
      </w:r>
      <w:r>
        <w:rPr>
          <w:rFonts w:hint="eastAsia" w:ascii="仿宋" w:hAnsi="仿宋" w:eastAsia="仿宋" w:cs="仿宋"/>
          <w:color w:val="auto"/>
          <w:spacing w:val="12"/>
          <w:sz w:val="28"/>
          <w:szCs w:val="28"/>
          <w:highlight w:val="none"/>
          <w:lang w:val="en-US" w:eastAsia="zh-CN"/>
        </w:rPr>
        <w:t>6</w:t>
      </w:r>
      <w:r>
        <w:rPr>
          <w:rFonts w:ascii="仿宋" w:hAnsi="仿宋" w:eastAsia="仿宋" w:cs="仿宋"/>
          <w:color w:val="auto"/>
          <w:spacing w:val="12"/>
          <w:sz w:val="28"/>
          <w:szCs w:val="28"/>
          <w:highlight w:val="none"/>
        </w:rPr>
        <w:t>%,指标完成率为100.00%,所设分值10</w:t>
      </w:r>
      <w:r>
        <w:rPr>
          <w:rFonts w:ascii="仿宋" w:hAnsi="仿宋" w:eastAsia="仿宋" w:cs="仿宋"/>
          <w:color w:val="auto"/>
          <w:spacing w:val="11"/>
          <w:sz w:val="28"/>
          <w:szCs w:val="28"/>
          <w:highlight w:val="none"/>
        </w:rPr>
        <w:t>分，实际得分10分</w:t>
      </w:r>
      <w:r>
        <w:rPr>
          <w:rFonts w:hint="eastAsia" w:ascii="仿宋_GB2312" w:hAnsi="Times New Roman" w:eastAsia="仿宋_GB2312" w:cs="Times New Roman"/>
          <w:bCs/>
          <w:color w:val="auto"/>
          <w:spacing w:val="-4"/>
          <w:sz w:val="28"/>
          <w:szCs w:val="28"/>
          <w:highlight w:val="none"/>
        </w:rPr>
        <w:t>。</w:t>
      </w:r>
    </w:p>
    <w:p w14:paraId="56E72F5E">
      <w:pPr>
        <w:pStyle w:val="29"/>
        <w:spacing w:beforeLines="0" w:line="560" w:lineRule="exact"/>
        <w:ind w:left="0" w:leftChars="0" w:right="0" w:rightChars="0" w:firstLine="544" w:firstLineChars="200"/>
        <w:rPr>
          <w:rFonts w:ascii="仿宋_GB2312" w:hAnsi="Times New Roman" w:eastAsia="仿宋_GB2312" w:cs="Times New Roman"/>
          <w:b w:val="0"/>
          <w:color w:val="auto"/>
          <w:spacing w:val="-4"/>
          <w:szCs w:val="28"/>
          <w:highlight w:val="none"/>
        </w:rPr>
      </w:pPr>
      <w:r>
        <w:rPr>
          <w:rFonts w:hint="eastAsia" w:ascii="仿宋_GB2312" w:hAnsi="Times New Roman" w:eastAsia="仿宋_GB2312" w:cs="Times New Roman"/>
          <w:b w:val="0"/>
          <w:color w:val="auto"/>
          <w:spacing w:val="-4"/>
          <w:szCs w:val="28"/>
          <w:highlight w:val="none"/>
        </w:rPr>
        <w:t>项目实施完成后我单位就该项目的满意度采取抽样发放调查问卷的方式开展调查，通过对调查问卷的梳理和统计，满意度指标综合满意率为9</w:t>
      </w:r>
      <w:r>
        <w:rPr>
          <w:rFonts w:hint="eastAsia" w:ascii="仿宋_GB2312" w:hAnsi="Times New Roman" w:eastAsia="仿宋_GB2312" w:cs="Times New Roman"/>
          <w:b w:val="0"/>
          <w:color w:val="auto"/>
          <w:spacing w:val="-4"/>
          <w:szCs w:val="28"/>
          <w:highlight w:val="none"/>
          <w:lang w:val="en-US" w:eastAsia="zh-CN"/>
        </w:rPr>
        <w:t>6</w:t>
      </w:r>
      <w:r>
        <w:rPr>
          <w:rFonts w:hint="eastAsia" w:ascii="仿宋_GB2312" w:hAnsi="Times New Roman" w:eastAsia="仿宋_GB2312" w:cs="Times New Roman"/>
          <w:b w:val="0"/>
          <w:color w:val="auto"/>
          <w:spacing w:val="-4"/>
          <w:szCs w:val="28"/>
          <w:highlight w:val="none"/>
        </w:rPr>
        <w:t>.00%。</w:t>
      </w:r>
    </w:p>
    <w:p w14:paraId="6F633078">
      <w:pPr>
        <w:pStyle w:val="29"/>
        <w:spacing w:before="120"/>
        <w:ind w:left="0" w:leftChars="0" w:right="3" w:firstLine="562" w:firstLineChars="200"/>
        <w:rPr>
          <w:color w:val="auto"/>
          <w:highlight w:val="none"/>
        </w:rPr>
      </w:pPr>
      <w:r>
        <w:rPr>
          <w:rFonts w:hint="eastAsia"/>
          <w:color w:val="auto"/>
          <w:highlight w:val="none"/>
        </w:rPr>
        <w:t>四、偏离绩效目标的原因和下一步改进措施</w:t>
      </w:r>
    </w:p>
    <w:p w14:paraId="447F01C1">
      <w:pPr>
        <w:pStyle w:val="52"/>
        <w:spacing w:line="560" w:lineRule="exact"/>
        <w:ind w:left="3" w:right="3" w:firstLine="552"/>
        <w:rPr>
          <w:rFonts w:ascii="仿宋_GB2312"/>
          <w:color w:val="auto"/>
          <w:spacing w:val="-4"/>
          <w:szCs w:val="32"/>
          <w:highlight w:val="none"/>
        </w:rPr>
      </w:pPr>
      <w:r>
        <w:rPr>
          <w:rFonts w:ascii="仿宋" w:hAnsi="仿宋" w:eastAsia="仿宋" w:cs="仿宋"/>
          <w:color w:val="auto"/>
          <w:spacing w:val="-11"/>
          <w:sz w:val="28"/>
          <w:szCs w:val="28"/>
          <w:highlight w:val="none"/>
        </w:rPr>
        <w:t>项目已按时完成，全部资金支付完成。项目无偏差</w:t>
      </w:r>
      <w:r>
        <w:rPr>
          <w:rFonts w:hint="eastAsia" w:ascii="仿宋_GB2312"/>
          <w:color w:val="auto"/>
          <w:spacing w:val="-4"/>
          <w:szCs w:val="32"/>
          <w:highlight w:val="none"/>
        </w:rPr>
        <w:t>。</w:t>
      </w:r>
    </w:p>
    <w:p w14:paraId="5642BE58">
      <w:pPr>
        <w:pStyle w:val="29"/>
        <w:spacing w:before="120"/>
        <w:ind w:left="0" w:leftChars="0" w:right="3" w:firstLine="562" w:firstLineChars="200"/>
        <w:rPr>
          <w:color w:val="auto"/>
          <w:highlight w:val="none"/>
        </w:rPr>
      </w:pPr>
      <w:r>
        <w:rPr>
          <w:rFonts w:hint="eastAsia"/>
          <w:color w:val="auto"/>
          <w:highlight w:val="none"/>
        </w:rPr>
        <w:t>五、绩效自评结果拟应用和公开情况</w:t>
      </w:r>
    </w:p>
    <w:p w14:paraId="3C40F924">
      <w:pPr>
        <w:pStyle w:val="52"/>
        <w:spacing w:line="560" w:lineRule="exact"/>
        <w:ind w:left="3" w:right="3" w:firstLine="560"/>
        <w:rPr>
          <w:rFonts w:ascii="仿宋_GB2312"/>
          <w:color w:val="auto"/>
          <w:highlight w:val="none"/>
        </w:rPr>
      </w:pPr>
      <w:r>
        <w:rPr>
          <w:rFonts w:hint="eastAsia" w:ascii="仿宋_GB2312"/>
          <w:color w:val="auto"/>
          <w:highlight w:val="none"/>
        </w:rPr>
        <w:t>项目本次评价通过文件研读、实地调研、数据采集、问卷调查方式下，全面了解</w:t>
      </w:r>
      <w:r>
        <w:rPr>
          <w:rFonts w:hint="eastAsia" w:ascii="仿宋" w:hAnsi="仿宋" w:eastAsia="仿宋" w:cs="仿宋"/>
          <w:color w:val="auto"/>
          <w:sz w:val="28"/>
          <w:szCs w:val="28"/>
          <w:highlight w:val="none"/>
          <w:lang w:eastAsia="zh-CN"/>
        </w:rPr>
        <w:t>于田县2024年用于“十三五”易地搬迁地方政府债券贴息补助项目</w:t>
      </w:r>
      <w:r>
        <w:rPr>
          <w:rFonts w:hint="eastAsia" w:ascii="仿宋_GB2312"/>
          <w:color w:val="auto"/>
          <w:highlight w:val="none"/>
        </w:rPr>
        <w:t>资金的使用效率和效果，从而得出以下综合评价结论：在绩效目标方面，本项目共设置一级指标3个，二级指标</w:t>
      </w:r>
      <w:r>
        <w:rPr>
          <w:rFonts w:hint="eastAsia" w:ascii="仿宋_GB2312"/>
          <w:color w:val="auto"/>
          <w:highlight w:val="none"/>
          <w:lang w:val="en-US" w:eastAsia="zh-CN"/>
        </w:rPr>
        <w:t>6</w:t>
      </w:r>
      <w:r>
        <w:rPr>
          <w:rFonts w:hint="eastAsia" w:ascii="仿宋_GB2312"/>
          <w:color w:val="auto"/>
          <w:highlight w:val="none"/>
        </w:rPr>
        <w:t>个，三级指标</w:t>
      </w:r>
      <w:r>
        <w:rPr>
          <w:rFonts w:hint="eastAsia" w:ascii="仿宋_GB2312"/>
          <w:color w:val="auto"/>
          <w:highlight w:val="none"/>
          <w:lang w:val="en-US" w:eastAsia="zh-CN"/>
        </w:rPr>
        <w:t>8</w:t>
      </w:r>
      <w:r>
        <w:rPr>
          <w:rFonts w:hint="eastAsia" w:ascii="仿宋_GB2312"/>
          <w:color w:val="auto"/>
          <w:highlight w:val="none"/>
        </w:rPr>
        <w:t>个，其中已完成三级指标</w:t>
      </w:r>
      <w:r>
        <w:rPr>
          <w:rFonts w:hint="eastAsia" w:ascii="仿宋_GB2312"/>
          <w:color w:val="auto"/>
          <w:highlight w:val="none"/>
          <w:lang w:val="en-US" w:eastAsia="zh-CN"/>
        </w:rPr>
        <w:t>8</w:t>
      </w:r>
      <w:r>
        <w:rPr>
          <w:rFonts w:hint="eastAsia" w:ascii="仿宋_GB2312"/>
          <w:color w:val="auto"/>
          <w:highlight w:val="none"/>
        </w:rPr>
        <w:t>个，指标完成率为</w:t>
      </w:r>
      <w:r>
        <w:rPr>
          <w:rFonts w:hint="eastAsia" w:ascii="仿宋_GB2312"/>
          <w:color w:val="auto"/>
          <w:highlight w:val="none"/>
          <w:lang w:val="en-US" w:eastAsia="zh-CN"/>
        </w:rPr>
        <w:t>100</w:t>
      </w:r>
      <w:r>
        <w:rPr>
          <w:rFonts w:hint="eastAsia" w:ascii="仿宋_GB2312"/>
          <w:color w:val="auto"/>
          <w:highlight w:val="none"/>
        </w:rPr>
        <w:t>%；在资金使用方面，严格按照《于田县</w:t>
      </w:r>
      <w:r>
        <w:rPr>
          <w:rFonts w:hint="eastAsia" w:ascii="仿宋_GB2312"/>
          <w:color w:val="auto"/>
          <w:highlight w:val="none"/>
          <w:lang w:val="en-US" w:eastAsia="zh-CN"/>
        </w:rPr>
        <w:t>衔接</w:t>
      </w:r>
      <w:r>
        <w:rPr>
          <w:rFonts w:hint="eastAsia" w:ascii="仿宋_GB2312"/>
          <w:color w:val="auto"/>
          <w:highlight w:val="none"/>
        </w:rPr>
        <w:t>资金财务管理制度》、《</w:t>
      </w:r>
      <w:r>
        <w:rPr>
          <w:rFonts w:hint="eastAsia" w:ascii="仿宋_GB2312"/>
          <w:color w:val="auto"/>
          <w:highlight w:val="none"/>
          <w:lang w:val="en-US" w:eastAsia="zh-CN"/>
        </w:rPr>
        <w:t>于田县财政局</w:t>
      </w:r>
      <w:r>
        <w:rPr>
          <w:rFonts w:hint="eastAsia" w:ascii="仿宋_GB2312"/>
          <w:color w:val="auto"/>
          <w:highlight w:val="none"/>
        </w:rPr>
        <w:t>财务管理制度》执行，保障了资金使用规范、安全，无挪用、截留资金的情况发生。在项目管理方面，制定了《</w:t>
      </w:r>
      <w:r>
        <w:rPr>
          <w:rFonts w:hint="eastAsia" w:ascii="仿宋" w:hAnsi="仿宋" w:eastAsia="仿宋" w:cs="仿宋"/>
          <w:color w:val="auto"/>
          <w:sz w:val="28"/>
          <w:szCs w:val="28"/>
          <w:highlight w:val="none"/>
          <w:lang w:eastAsia="zh-CN"/>
        </w:rPr>
        <w:t>于田县2024年用于“十三五”易地搬迁地方政府债券贴息补助项目</w:t>
      </w:r>
      <w:r>
        <w:rPr>
          <w:rFonts w:hint="eastAsia" w:ascii="仿宋_GB2312"/>
          <w:color w:val="auto"/>
          <w:highlight w:val="none"/>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7D202997">
      <w:pPr>
        <w:pStyle w:val="52"/>
        <w:spacing w:line="560" w:lineRule="exact"/>
        <w:ind w:left="3" w:right="3" w:firstLine="560"/>
        <w:rPr>
          <w:rFonts w:ascii="仿宋_GB2312"/>
          <w:color w:val="auto"/>
          <w:highlight w:val="none"/>
        </w:rPr>
      </w:pPr>
      <w:r>
        <w:rPr>
          <w:rFonts w:hint="eastAsia" w:ascii="仿宋_GB2312"/>
          <w:color w:val="auto"/>
          <w:highlight w:val="none"/>
        </w:rPr>
        <w:t>项目最终得分为</w:t>
      </w:r>
      <w:r>
        <w:rPr>
          <w:rFonts w:hint="eastAsia" w:ascii="仿宋_GB2312"/>
          <w:color w:val="auto"/>
          <w:highlight w:val="none"/>
          <w:lang w:val="en-US" w:eastAsia="zh-CN"/>
        </w:rPr>
        <w:t>100</w:t>
      </w:r>
      <w:r>
        <w:rPr>
          <w:rFonts w:hint="eastAsia" w:ascii="仿宋_GB2312"/>
          <w:color w:val="auto"/>
          <w:highlight w:val="none"/>
        </w:rPr>
        <w:t>分，评价等级为优。</w:t>
      </w:r>
    </w:p>
    <w:p w14:paraId="6FCF298A">
      <w:pPr>
        <w:pStyle w:val="52"/>
        <w:spacing w:line="560" w:lineRule="exact"/>
        <w:ind w:left="3" w:right="3" w:firstLine="554"/>
        <w:rPr>
          <w:rStyle w:val="19"/>
          <w:rFonts w:ascii="楷体_GB2312" w:hAnsi="楷体"/>
          <w:color w:val="auto"/>
          <w:spacing w:val="-4"/>
          <w:szCs w:val="32"/>
          <w:highlight w:val="none"/>
        </w:rPr>
      </w:pPr>
      <w:r>
        <w:rPr>
          <w:rStyle w:val="19"/>
          <w:rFonts w:hint="eastAsia" w:ascii="楷体_GB2312" w:hAnsi="楷体"/>
          <w:color w:val="auto"/>
          <w:spacing w:val="-4"/>
          <w:szCs w:val="32"/>
          <w:highlight w:val="none"/>
        </w:rPr>
        <w:t>（一）绩效自评结果拟应用情况</w:t>
      </w:r>
    </w:p>
    <w:p w14:paraId="35FB5CB5">
      <w:pPr>
        <w:pStyle w:val="52"/>
        <w:spacing w:line="560" w:lineRule="exact"/>
        <w:ind w:left="3" w:right="3" w:firstLine="560"/>
        <w:rPr>
          <w:rFonts w:ascii="仿宋_GB2312"/>
          <w:color w:val="auto"/>
          <w:highlight w:val="none"/>
        </w:rPr>
      </w:pPr>
      <w:r>
        <w:rPr>
          <w:rFonts w:hint="eastAsia" w:ascii="仿宋_GB2312"/>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3CBD10A0">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（二）指标佐证材料说明</w:t>
      </w:r>
    </w:p>
    <w:p w14:paraId="2F937B11">
      <w:pPr>
        <w:pStyle w:val="52"/>
        <w:spacing w:line="560" w:lineRule="exact"/>
        <w:ind w:left="3" w:right="3" w:firstLine="560"/>
        <w:rPr>
          <w:rFonts w:ascii="仿宋_GB2312"/>
          <w:color w:val="auto"/>
          <w:highlight w:val="none"/>
        </w:rPr>
      </w:pPr>
      <w:r>
        <w:rPr>
          <w:rFonts w:hint="eastAsia" w:ascii="仿宋_GB2312"/>
          <w:color w:val="auto"/>
          <w:highlight w:val="none"/>
        </w:rPr>
        <w:t>项目状况：</w:t>
      </w:r>
      <w:r>
        <w:rPr>
          <w:rFonts w:ascii="仿宋" w:hAnsi="仿宋" w:eastAsia="仿宋" w:cs="仿宋"/>
          <w:color w:val="auto"/>
          <w:spacing w:val="5"/>
          <w:sz w:val="28"/>
          <w:szCs w:val="28"/>
          <w:highlight w:val="none"/>
        </w:rPr>
        <w:t>根据</w:t>
      </w:r>
      <w:r>
        <w:rPr>
          <w:rFonts w:hint="eastAsia" w:ascii="仿宋" w:hAnsi="仿宋" w:eastAsia="仿宋" w:cs="仿宋"/>
          <w:color w:val="auto"/>
          <w:spacing w:val="5"/>
          <w:sz w:val="28"/>
          <w:szCs w:val="28"/>
          <w:highlight w:val="none"/>
          <w:lang w:val="en-US" w:eastAsia="zh-CN"/>
        </w:rPr>
        <w:t>于田县农村工作领导小组会议纪要</w:t>
      </w:r>
      <w:r>
        <w:rPr>
          <w:rFonts w:ascii="仿宋" w:hAnsi="仿宋" w:eastAsia="仿宋" w:cs="仿宋"/>
          <w:color w:val="auto"/>
          <w:spacing w:val="5"/>
          <w:sz w:val="28"/>
          <w:szCs w:val="28"/>
          <w:highlight w:val="none"/>
        </w:rPr>
        <w:t>下发的《关于对</w:t>
      </w:r>
      <w:r>
        <w:rPr>
          <w:rFonts w:hint="eastAsia" w:ascii="仿宋" w:hAnsi="仿宋" w:eastAsia="仿宋" w:cs="仿宋"/>
          <w:color w:val="auto"/>
          <w:spacing w:val="10"/>
          <w:sz w:val="28"/>
          <w:szCs w:val="28"/>
          <w:highlight w:val="none"/>
          <w:lang w:eastAsia="zh-CN"/>
        </w:rPr>
        <w:t>于田县2024年用于“十三五”易地搬迁地方政府债券贴息补助项目</w:t>
      </w:r>
      <w:r>
        <w:rPr>
          <w:rFonts w:hint="eastAsia" w:ascii="仿宋" w:hAnsi="仿宋" w:eastAsia="仿宋" w:cs="仿宋"/>
          <w:color w:val="auto"/>
          <w:spacing w:val="10"/>
          <w:sz w:val="28"/>
          <w:szCs w:val="28"/>
          <w:highlight w:val="none"/>
          <w:lang w:val="en-US" w:eastAsia="zh-CN"/>
        </w:rPr>
        <w:t>实施要求</w:t>
      </w:r>
      <w:r>
        <w:rPr>
          <w:rFonts w:ascii="仿宋" w:hAnsi="仿宋" w:eastAsia="仿宋" w:cs="仿宋"/>
          <w:color w:val="auto"/>
          <w:spacing w:val="10"/>
          <w:sz w:val="28"/>
          <w:szCs w:val="28"/>
          <w:highlight w:val="none"/>
        </w:rPr>
        <w:t>》(</w:t>
      </w:r>
      <w:r>
        <w:rPr>
          <w:rFonts w:hint="eastAsia" w:ascii="仿宋" w:hAnsi="仿宋" w:eastAsia="仿宋" w:cs="仿宋"/>
          <w:color w:val="auto"/>
          <w:spacing w:val="10"/>
          <w:sz w:val="28"/>
          <w:szCs w:val="28"/>
          <w:highlight w:val="none"/>
          <w:lang w:val="en-US" w:eastAsia="zh-CN"/>
        </w:rPr>
        <w:t>第六期会议纪要</w:t>
      </w:r>
      <w:r>
        <w:rPr>
          <w:rFonts w:ascii="仿宋" w:hAnsi="仿宋" w:eastAsia="仿宋" w:cs="仿宋"/>
          <w:color w:val="auto"/>
          <w:spacing w:val="6"/>
          <w:sz w:val="28"/>
          <w:szCs w:val="28"/>
          <w:highlight w:val="none"/>
        </w:rPr>
        <w:t>)</w:t>
      </w:r>
      <w:r>
        <w:rPr>
          <w:rFonts w:hint="eastAsia" w:ascii="仿宋" w:hAnsi="仿宋" w:eastAsia="仿宋" w:cs="仿宋"/>
          <w:color w:val="auto"/>
          <w:spacing w:val="6"/>
          <w:sz w:val="28"/>
          <w:szCs w:val="28"/>
          <w:highlight w:val="none"/>
          <w:lang w:val="en-US" w:eastAsia="zh-CN"/>
        </w:rPr>
        <w:t>要求实施</w:t>
      </w:r>
      <w:r>
        <w:rPr>
          <w:rFonts w:hint="eastAsia" w:ascii="仿宋_GB2312"/>
          <w:color w:val="auto"/>
          <w:highlight w:val="none"/>
        </w:rPr>
        <w:t>。</w:t>
      </w:r>
    </w:p>
    <w:p w14:paraId="2B1E750D">
      <w:pPr>
        <w:pStyle w:val="52"/>
        <w:spacing w:line="560" w:lineRule="exact"/>
        <w:ind w:left="3" w:right="3" w:firstLine="560"/>
        <w:rPr>
          <w:rFonts w:ascii="仿宋_GB2312"/>
          <w:color w:val="auto"/>
          <w:highlight w:val="none"/>
        </w:rPr>
      </w:pPr>
      <w:r>
        <w:rPr>
          <w:rFonts w:hint="eastAsia" w:ascii="仿宋_GB2312"/>
          <w:color w:val="auto"/>
          <w:highlight w:val="none"/>
        </w:rPr>
        <w:t>资金状况：预算资金来源为</w:t>
      </w:r>
      <w:r>
        <w:rPr>
          <w:rFonts w:hint="eastAsia" w:ascii="仿宋_GB2312"/>
          <w:color w:val="auto"/>
          <w:highlight w:val="none"/>
          <w:lang w:val="en-US" w:eastAsia="zh-CN"/>
        </w:rPr>
        <w:t>乡村振兴衔接</w:t>
      </w:r>
      <w:r>
        <w:rPr>
          <w:rFonts w:hint="eastAsia" w:ascii="仿宋_GB2312"/>
          <w:color w:val="auto"/>
          <w:highlight w:val="none"/>
        </w:rPr>
        <w:t>资金，文件依据：</w:t>
      </w:r>
      <w:r>
        <w:rPr>
          <w:rFonts w:ascii="仿宋" w:hAnsi="仿宋" w:eastAsia="仿宋" w:cs="仿宋"/>
          <w:color w:val="auto"/>
          <w:spacing w:val="5"/>
          <w:sz w:val="28"/>
          <w:szCs w:val="28"/>
          <w:highlight w:val="none"/>
        </w:rPr>
        <w:t>根据</w:t>
      </w:r>
      <w:r>
        <w:rPr>
          <w:rFonts w:hint="eastAsia" w:ascii="仿宋" w:hAnsi="仿宋" w:eastAsia="仿宋" w:cs="仿宋"/>
          <w:color w:val="auto"/>
          <w:spacing w:val="5"/>
          <w:sz w:val="28"/>
          <w:szCs w:val="28"/>
          <w:highlight w:val="none"/>
          <w:lang w:val="en-US" w:eastAsia="zh-CN"/>
        </w:rPr>
        <w:t>于田县农村工作领导小组会议纪要</w:t>
      </w:r>
      <w:r>
        <w:rPr>
          <w:rFonts w:ascii="仿宋" w:hAnsi="仿宋" w:eastAsia="仿宋" w:cs="仿宋"/>
          <w:color w:val="auto"/>
          <w:spacing w:val="5"/>
          <w:sz w:val="28"/>
          <w:szCs w:val="28"/>
          <w:highlight w:val="none"/>
        </w:rPr>
        <w:t>下发的《关于</w:t>
      </w:r>
      <w:bookmarkStart w:id="6" w:name="OLE_LINK7"/>
      <w:r>
        <w:rPr>
          <w:rFonts w:ascii="仿宋" w:hAnsi="仿宋" w:eastAsia="仿宋" w:cs="仿宋"/>
          <w:color w:val="auto"/>
          <w:spacing w:val="5"/>
          <w:sz w:val="28"/>
          <w:szCs w:val="28"/>
          <w:highlight w:val="none"/>
        </w:rPr>
        <w:t>对</w:t>
      </w:r>
      <w:r>
        <w:rPr>
          <w:rFonts w:hint="eastAsia" w:ascii="仿宋" w:hAnsi="仿宋" w:eastAsia="仿宋" w:cs="仿宋"/>
          <w:color w:val="auto"/>
          <w:spacing w:val="10"/>
          <w:sz w:val="28"/>
          <w:szCs w:val="28"/>
          <w:highlight w:val="none"/>
          <w:lang w:eastAsia="zh-CN"/>
        </w:rPr>
        <w:t>于田县2024年用于“十三五”易地搬迁地方政府债券贴息补助项目</w:t>
      </w:r>
      <w:bookmarkEnd w:id="6"/>
      <w:r>
        <w:rPr>
          <w:rFonts w:hint="eastAsia" w:ascii="仿宋" w:hAnsi="仿宋" w:eastAsia="仿宋" w:cs="仿宋"/>
          <w:color w:val="auto"/>
          <w:spacing w:val="10"/>
          <w:sz w:val="28"/>
          <w:szCs w:val="28"/>
          <w:highlight w:val="none"/>
          <w:lang w:val="en-US" w:eastAsia="zh-CN"/>
        </w:rPr>
        <w:t>实施要求</w:t>
      </w:r>
      <w:r>
        <w:rPr>
          <w:rFonts w:ascii="仿宋" w:hAnsi="仿宋" w:eastAsia="仿宋" w:cs="仿宋"/>
          <w:color w:val="auto"/>
          <w:spacing w:val="10"/>
          <w:sz w:val="28"/>
          <w:szCs w:val="28"/>
          <w:highlight w:val="none"/>
        </w:rPr>
        <w:t>》(</w:t>
      </w:r>
      <w:r>
        <w:rPr>
          <w:rFonts w:hint="eastAsia" w:ascii="仿宋" w:hAnsi="仿宋" w:eastAsia="仿宋" w:cs="仿宋"/>
          <w:color w:val="auto"/>
          <w:spacing w:val="10"/>
          <w:sz w:val="28"/>
          <w:szCs w:val="28"/>
          <w:highlight w:val="none"/>
          <w:lang w:val="en-US" w:eastAsia="zh-CN"/>
        </w:rPr>
        <w:t>第六期会议纪要</w:t>
      </w:r>
      <w:r>
        <w:rPr>
          <w:rFonts w:ascii="仿宋" w:hAnsi="仿宋" w:eastAsia="仿宋" w:cs="仿宋"/>
          <w:color w:val="auto"/>
          <w:spacing w:val="6"/>
          <w:sz w:val="28"/>
          <w:szCs w:val="28"/>
          <w:highlight w:val="none"/>
        </w:rPr>
        <w:t>)</w:t>
      </w:r>
      <w:r>
        <w:rPr>
          <w:rFonts w:hint="eastAsia" w:ascii="仿宋_GB2312"/>
          <w:color w:val="auto"/>
          <w:highlight w:val="none"/>
        </w:rPr>
        <w:t>。</w:t>
      </w:r>
    </w:p>
    <w:p w14:paraId="110B04FE">
      <w:pPr>
        <w:pStyle w:val="52"/>
        <w:spacing w:line="560" w:lineRule="exact"/>
        <w:ind w:left="3" w:right="3" w:firstLine="560"/>
        <w:rPr>
          <w:rFonts w:ascii="仿宋_GB2312"/>
          <w:color w:val="auto"/>
          <w:highlight w:val="none"/>
        </w:rPr>
      </w:pPr>
      <w:r>
        <w:rPr>
          <w:rFonts w:hint="eastAsia" w:ascii="仿宋_GB2312"/>
          <w:color w:val="auto"/>
          <w:highlight w:val="none"/>
        </w:rPr>
        <w:t>过程状况：</w:t>
      </w:r>
      <w:r>
        <w:rPr>
          <w:rFonts w:ascii="仿宋" w:hAnsi="仿宋" w:eastAsia="仿宋" w:cs="仿宋"/>
          <w:color w:val="auto"/>
          <w:spacing w:val="19"/>
          <w:sz w:val="28"/>
          <w:szCs w:val="28"/>
          <w:highlight w:val="none"/>
        </w:rPr>
        <w:t>2024年1月1日开工，2024年12月31日完工</w:t>
      </w:r>
      <w:r>
        <w:rPr>
          <w:rFonts w:hint="eastAsia" w:ascii="仿宋_GB2312"/>
          <w:color w:val="auto"/>
          <w:highlight w:val="none"/>
        </w:rPr>
        <w:t>。</w:t>
      </w:r>
    </w:p>
    <w:p w14:paraId="3B253F89">
      <w:pPr>
        <w:pStyle w:val="52"/>
        <w:spacing w:line="560" w:lineRule="exact"/>
        <w:ind w:left="3" w:right="3" w:firstLine="560"/>
        <w:rPr>
          <w:rFonts w:ascii="仿宋_GB2312"/>
          <w:color w:val="auto"/>
          <w:highlight w:val="none"/>
        </w:rPr>
      </w:pPr>
      <w:r>
        <w:rPr>
          <w:rFonts w:hint="eastAsia" w:ascii="仿宋_GB2312"/>
          <w:color w:val="auto"/>
          <w:highlight w:val="none"/>
        </w:rPr>
        <w:t>结果状况：</w:t>
      </w:r>
      <w:r>
        <w:rPr>
          <w:rFonts w:ascii="仿宋" w:hAnsi="仿宋" w:eastAsia="仿宋" w:cs="仿宋"/>
          <w:color w:val="auto"/>
          <w:spacing w:val="7"/>
          <w:sz w:val="28"/>
          <w:szCs w:val="28"/>
          <w:highlight w:val="none"/>
        </w:rPr>
        <w:t>2024年12月，已完成发放</w:t>
      </w:r>
      <w:r>
        <w:rPr>
          <w:rFonts w:hint="eastAsia" w:ascii="仿宋" w:hAnsi="仿宋" w:eastAsia="仿宋" w:cs="仿宋"/>
          <w:color w:val="auto"/>
          <w:spacing w:val="7"/>
          <w:sz w:val="28"/>
          <w:szCs w:val="28"/>
          <w:highlight w:val="none"/>
          <w:lang w:val="en-US" w:eastAsia="zh-CN"/>
        </w:rPr>
        <w:t>贴息</w:t>
      </w:r>
      <w:r>
        <w:rPr>
          <w:rFonts w:ascii="仿宋" w:hAnsi="仿宋" w:eastAsia="仿宋" w:cs="仿宋"/>
          <w:color w:val="auto"/>
          <w:spacing w:val="7"/>
          <w:sz w:val="28"/>
          <w:szCs w:val="28"/>
          <w:highlight w:val="none"/>
        </w:rPr>
        <w:t>补助金额</w:t>
      </w:r>
      <w:r>
        <w:rPr>
          <w:rFonts w:hint="eastAsia" w:ascii="仿宋" w:hAnsi="仿宋" w:eastAsia="仿宋" w:cs="仿宋"/>
          <w:color w:val="auto"/>
          <w:spacing w:val="7"/>
          <w:sz w:val="28"/>
          <w:szCs w:val="28"/>
          <w:highlight w:val="none"/>
        </w:rPr>
        <w:t>528.5</w:t>
      </w:r>
      <w:r>
        <w:rPr>
          <w:rFonts w:ascii="仿宋" w:hAnsi="仿宋" w:eastAsia="仿宋" w:cs="仿宋"/>
          <w:color w:val="auto"/>
          <w:spacing w:val="7"/>
          <w:sz w:val="28"/>
          <w:szCs w:val="28"/>
          <w:highlight w:val="none"/>
        </w:rPr>
        <w:t>万元</w:t>
      </w:r>
      <w:r>
        <w:rPr>
          <w:rFonts w:hint="eastAsia" w:ascii="仿宋_GB2312"/>
          <w:color w:val="auto"/>
          <w:highlight w:val="none"/>
        </w:rPr>
        <w:t>。</w:t>
      </w:r>
    </w:p>
    <w:p w14:paraId="3A564799">
      <w:pPr>
        <w:pStyle w:val="52"/>
        <w:spacing w:line="560" w:lineRule="exact"/>
        <w:ind w:left="3" w:right="3" w:firstLine="562"/>
        <w:rPr>
          <w:rStyle w:val="19"/>
          <w:rFonts w:ascii="楷体_GB2312"/>
          <w:color w:val="auto"/>
          <w:highlight w:val="none"/>
        </w:rPr>
      </w:pPr>
      <w:r>
        <w:rPr>
          <w:rStyle w:val="19"/>
          <w:rFonts w:hint="eastAsia" w:ascii="楷体_GB2312"/>
          <w:color w:val="auto"/>
          <w:highlight w:val="none"/>
        </w:rPr>
        <w:t>（三）主要经验及做法</w:t>
      </w:r>
    </w:p>
    <w:p w14:paraId="26F500E4">
      <w:pPr>
        <w:spacing w:line="560" w:lineRule="exact"/>
        <w:ind w:firstLine="600" w:firstLineChars="200"/>
        <w:rPr>
          <w:rFonts w:ascii="仿宋_GB2312" w:hAnsi="Times New Roman" w:eastAsia="仿宋_GB2312" w:cs="Times New Roman"/>
          <w:color w:val="auto"/>
          <w:sz w:val="28"/>
          <w:highlight w:val="none"/>
        </w:rPr>
      </w:pPr>
      <w:bookmarkStart w:id="7" w:name="OLE_LINK8"/>
      <w:r>
        <w:rPr>
          <w:rFonts w:hint="eastAsia" w:ascii="仿宋" w:hAnsi="仿宋" w:eastAsia="仿宋" w:cs="仿宋"/>
          <w:color w:val="auto"/>
          <w:spacing w:val="10"/>
          <w:sz w:val="28"/>
          <w:szCs w:val="28"/>
          <w:highlight w:val="none"/>
          <w:lang w:eastAsia="zh-CN"/>
        </w:rPr>
        <w:t>于田县2024年用于“十三五”易地搬迁地方政府债券贴息补助项目</w:t>
      </w:r>
      <w:bookmarkEnd w:id="7"/>
      <w:r>
        <w:rPr>
          <w:rFonts w:hint="eastAsia" w:ascii="仿宋_GB2312" w:hAnsi="Times New Roman" w:eastAsia="仿宋_GB2312" w:cs="Times New Roman"/>
          <w:color w:val="auto"/>
          <w:sz w:val="28"/>
          <w:highlight w:val="none"/>
        </w:rPr>
        <w:t>资金安排、使用过程中严格执行乡村振兴项目资金管理制度，确保乡村振兴项目正常运行为构建长效稳定奠定物质基础。</w:t>
      </w:r>
    </w:p>
    <w:p w14:paraId="178308E2">
      <w:pPr>
        <w:spacing w:line="560" w:lineRule="exact"/>
        <w:ind w:firstLine="562" w:firstLineChars="200"/>
        <w:rPr>
          <w:rStyle w:val="19"/>
          <w:rFonts w:ascii="楷体_GB2312"/>
          <w:color w:val="auto"/>
          <w:sz w:val="28"/>
          <w:highlight w:val="none"/>
        </w:rPr>
      </w:pPr>
      <w:r>
        <w:rPr>
          <w:rStyle w:val="19"/>
          <w:rFonts w:hint="eastAsia" w:ascii="楷体_GB2312"/>
          <w:color w:val="auto"/>
          <w:sz w:val="28"/>
          <w:highlight w:val="none"/>
        </w:rPr>
        <w:t>（四）存在的问题</w:t>
      </w:r>
    </w:p>
    <w:p w14:paraId="3199ABCA">
      <w:pPr>
        <w:spacing w:line="560" w:lineRule="exact"/>
        <w:ind w:firstLine="600" w:firstLineChars="200"/>
        <w:rPr>
          <w:rFonts w:ascii="仿宋_GB2312" w:hAnsi="Times New Roman" w:eastAsia="仿宋_GB2312" w:cs="Times New Roman"/>
          <w:color w:val="auto"/>
          <w:sz w:val="28"/>
          <w:highlight w:val="none"/>
        </w:rPr>
      </w:pPr>
      <w:r>
        <w:rPr>
          <w:rFonts w:hint="eastAsia" w:ascii="仿宋" w:hAnsi="仿宋" w:eastAsia="仿宋" w:cs="仿宋"/>
          <w:color w:val="auto"/>
          <w:spacing w:val="10"/>
          <w:sz w:val="28"/>
          <w:szCs w:val="28"/>
          <w:highlight w:val="none"/>
          <w:lang w:eastAsia="zh-CN"/>
        </w:rPr>
        <w:t>于田县2024年用于“十三五”易地搬迁地方政府债券贴息补助项目</w:t>
      </w:r>
      <w:r>
        <w:rPr>
          <w:rFonts w:hint="eastAsia" w:ascii="仿宋_GB2312" w:hAnsi="Times New Roman" w:eastAsia="仿宋_GB2312" w:cs="Times New Roman"/>
          <w:color w:val="auto"/>
          <w:sz w:val="28"/>
          <w:highlight w:val="none"/>
        </w:rPr>
        <w:t>资金安排、使用过程中存在一些问题，主要是资金申报，审批，发放过程中存在对资金拨付缓慢问题。</w:t>
      </w:r>
    </w:p>
    <w:p w14:paraId="07C336A5">
      <w:pPr>
        <w:spacing w:line="560" w:lineRule="exact"/>
        <w:ind w:firstLine="562" w:firstLineChars="200"/>
        <w:rPr>
          <w:rStyle w:val="19"/>
          <w:rFonts w:ascii="楷体_GB2312"/>
          <w:color w:val="auto"/>
          <w:sz w:val="28"/>
          <w:highlight w:val="none"/>
        </w:rPr>
      </w:pPr>
      <w:r>
        <w:rPr>
          <w:rStyle w:val="19"/>
          <w:rFonts w:hint="eastAsia" w:ascii="楷体_GB2312"/>
          <w:color w:val="auto"/>
          <w:sz w:val="28"/>
          <w:highlight w:val="none"/>
        </w:rPr>
        <w:t>（五）建议</w:t>
      </w:r>
    </w:p>
    <w:p w14:paraId="09409B0E">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2BA901BE">
      <w:pPr>
        <w:spacing w:line="560" w:lineRule="exact"/>
        <w:ind w:firstLine="562" w:firstLineChars="200"/>
        <w:rPr>
          <w:rStyle w:val="19"/>
          <w:rFonts w:ascii="楷体_GB2312"/>
          <w:color w:val="auto"/>
          <w:sz w:val="28"/>
          <w:highlight w:val="none"/>
        </w:rPr>
      </w:pPr>
      <w:r>
        <w:rPr>
          <w:rStyle w:val="19"/>
          <w:rFonts w:hint="eastAsia" w:ascii="楷体_GB2312"/>
          <w:color w:val="auto"/>
          <w:sz w:val="28"/>
          <w:highlight w:val="none"/>
        </w:rPr>
        <w:t>（六）项目绩效公告公示情况</w:t>
      </w:r>
    </w:p>
    <w:p w14:paraId="07E57C85">
      <w:pPr>
        <w:pStyle w:val="52"/>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1E1596C0">
        <w:pPr>
          <w:pStyle w:val="13"/>
          <w:jc w:val="center"/>
        </w:pPr>
        <w:r>
          <w:fldChar w:fldCharType="begin"/>
        </w:r>
        <w:r>
          <w:instrText xml:space="preserve">PAGE   \* MERGEFORMAT</w:instrText>
        </w:r>
        <w:r>
          <w:fldChar w:fldCharType="separate"/>
        </w:r>
        <w:r>
          <w:rPr>
            <w:lang w:val="zh-CN"/>
          </w:rPr>
          <w:t>1</w:t>
        </w:r>
        <w:r>
          <w:fldChar w:fldCharType="end"/>
        </w:r>
      </w:p>
    </w:sdtContent>
  </w:sdt>
  <w:p w14:paraId="604784BF">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2BFBD">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noPunctuationKerning w:val="1"/>
  <w:characterSpacingControl w:val="doNotCompress"/>
  <w:compat>
    <w:doNotSnapToGridInCell/>
    <w:doNotWrapTextWithPunct/>
    <w:doNotUseEastAsianBreakRules/>
    <w:growAutofit/>
    <w:useFELayout/>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4D82274"/>
    <w:rsid w:val="1249053F"/>
    <w:rsid w:val="20F47823"/>
    <w:rsid w:val="216874B6"/>
    <w:rsid w:val="27757FBF"/>
    <w:rsid w:val="384C639E"/>
    <w:rsid w:val="3ACA11C7"/>
    <w:rsid w:val="3E982E81"/>
    <w:rsid w:val="54985C0F"/>
    <w:rsid w:val="5DB20502"/>
    <w:rsid w:val="5E6824A3"/>
    <w:rsid w:val="6BDE0EFF"/>
    <w:rsid w:val="73D54172"/>
    <w:rsid w:val="7CD322B2"/>
    <w:rsid w:val="7D13218B"/>
    <w:rsid w:val="7E102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2">
    <w:name w:val="heading 1"/>
    <w:basedOn w:val="1"/>
    <w:next w:val="1"/>
    <w:link w:val="21"/>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2"/>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3"/>
    <w:qFormat/>
    <w:uiPriority w:val="9"/>
    <w:pPr>
      <w:keepNext/>
      <w:keepLines/>
      <w:spacing w:before="260" w:after="260" w:line="415" w:lineRule="auto"/>
      <w:outlineLvl w:val="2"/>
    </w:pPr>
    <w:rPr>
      <w:rFonts w:cs="宋体"/>
      <w:b/>
      <w:bCs/>
      <w:szCs w:val="32"/>
    </w:rPr>
  </w:style>
  <w:style w:type="paragraph" w:styleId="5">
    <w:name w:val="heading 4"/>
    <w:basedOn w:val="1"/>
    <w:next w:val="1"/>
    <w:link w:val="24"/>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5"/>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6"/>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2"/>
    <w:qFormat/>
    <w:uiPriority w:val="9"/>
    <w:pPr>
      <w:keepNext/>
      <w:keepLines/>
      <w:spacing w:before="240" w:after="64" w:line="320" w:lineRule="auto"/>
      <w:outlineLvl w:val="6"/>
    </w:pPr>
    <w:rPr>
      <w:b/>
      <w:bCs/>
      <w:sz w:val="24"/>
      <w:szCs w:val="24"/>
    </w:rPr>
  </w:style>
  <w:style w:type="paragraph" w:styleId="9">
    <w:name w:val="heading 8"/>
    <w:basedOn w:val="1"/>
    <w:next w:val="1"/>
    <w:link w:val="63"/>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4"/>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7"/>
    <w:semiHidden/>
    <w:unhideWhenUsed/>
    <w:qFormat/>
    <w:uiPriority w:val="99"/>
    <w:pPr>
      <w:jc w:val="left"/>
    </w:pPr>
  </w:style>
  <w:style w:type="paragraph" w:styleId="12">
    <w:name w:val="Balloon Text"/>
    <w:basedOn w:val="1"/>
    <w:link w:val="69"/>
    <w:semiHidden/>
    <w:unhideWhenUsed/>
    <w:qFormat/>
    <w:uiPriority w:val="99"/>
    <w:rPr>
      <w:sz w:val="18"/>
      <w:szCs w:val="18"/>
    </w:rPr>
  </w:style>
  <w:style w:type="paragraph" w:styleId="13">
    <w:name w:val="footer"/>
    <w:basedOn w:val="1"/>
    <w:link w:val="66"/>
    <w:unhideWhenUsed/>
    <w:qFormat/>
    <w:uiPriority w:val="99"/>
    <w:pPr>
      <w:tabs>
        <w:tab w:val="center" w:pos="4153"/>
        <w:tab w:val="right" w:pos="8306"/>
      </w:tabs>
      <w:snapToGrid w:val="0"/>
      <w:jc w:val="left"/>
    </w:pPr>
    <w:rPr>
      <w:sz w:val="18"/>
      <w:szCs w:val="18"/>
    </w:rPr>
  </w:style>
  <w:style w:type="paragraph" w:styleId="14">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annotation subject"/>
    <w:basedOn w:val="11"/>
    <w:next w:val="11"/>
    <w:link w:val="68"/>
    <w:semiHidden/>
    <w:unhideWhenUsed/>
    <w:qFormat/>
    <w:uiPriority w:val="99"/>
    <w:rPr>
      <w:b/>
      <w:bCs/>
    </w:rPr>
  </w:style>
  <w:style w:type="character" w:styleId="19">
    <w:name w:val="Strong"/>
    <w:basedOn w:val="18"/>
    <w:qFormat/>
    <w:uiPriority w:val="0"/>
    <w:rPr>
      <w:b/>
      <w:bCs/>
    </w:rPr>
  </w:style>
  <w:style w:type="character" w:styleId="20">
    <w:name w:val="annotation reference"/>
    <w:basedOn w:val="18"/>
    <w:semiHidden/>
    <w:unhideWhenUsed/>
    <w:qFormat/>
    <w:uiPriority w:val="99"/>
    <w:rPr>
      <w:sz w:val="21"/>
      <w:szCs w:val="21"/>
    </w:rPr>
  </w:style>
  <w:style w:type="character" w:customStyle="1" w:styleId="21">
    <w:name w:val="标题 1 Char"/>
    <w:basedOn w:val="18"/>
    <w:link w:val="2"/>
    <w:qFormat/>
    <w:locked/>
    <w:uiPriority w:val="9"/>
    <w:rPr>
      <w:b/>
      <w:bCs/>
      <w:kern w:val="44"/>
      <w:sz w:val="44"/>
      <w:szCs w:val="44"/>
    </w:rPr>
  </w:style>
  <w:style w:type="character" w:customStyle="1" w:styleId="22">
    <w:name w:val="标题 2 Char"/>
    <w:basedOn w:val="18"/>
    <w:link w:val="3"/>
    <w:semiHidden/>
    <w:qFormat/>
    <w:locked/>
    <w:uiPriority w:val="9"/>
    <w:rPr>
      <w:rFonts w:hint="eastAsia" w:asciiTheme="majorHAnsi" w:hAnsiTheme="majorHAnsi" w:eastAsiaTheme="majorEastAsia" w:cstheme="majorBidi"/>
      <w:b/>
      <w:bCs/>
      <w:sz w:val="32"/>
      <w:szCs w:val="32"/>
    </w:rPr>
  </w:style>
  <w:style w:type="character" w:customStyle="1" w:styleId="23">
    <w:name w:val="标题 3 Char"/>
    <w:basedOn w:val="18"/>
    <w:link w:val="4"/>
    <w:semiHidden/>
    <w:qFormat/>
    <w:locked/>
    <w:uiPriority w:val="9"/>
    <w:rPr>
      <w:b/>
      <w:bCs/>
      <w:sz w:val="32"/>
      <w:szCs w:val="32"/>
    </w:rPr>
  </w:style>
  <w:style w:type="character" w:customStyle="1" w:styleId="24">
    <w:name w:val="标题 4 Char"/>
    <w:basedOn w:val="18"/>
    <w:link w:val="5"/>
    <w:semiHidden/>
    <w:qFormat/>
    <w:locked/>
    <w:uiPriority w:val="9"/>
    <w:rPr>
      <w:rFonts w:hint="eastAsia" w:asciiTheme="majorHAnsi" w:hAnsiTheme="majorHAnsi" w:eastAsiaTheme="majorEastAsia" w:cstheme="majorBidi"/>
      <w:b/>
      <w:bCs/>
      <w:sz w:val="28"/>
      <w:szCs w:val="28"/>
    </w:rPr>
  </w:style>
  <w:style w:type="character" w:customStyle="1" w:styleId="25">
    <w:name w:val="标题 5 Char"/>
    <w:basedOn w:val="18"/>
    <w:link w:val="6"/>
    <w:semiHidden/>
    <w:qFormat/>
    <w:locked/>
    <w:uiPriority w:val="9"/>
    <w:rPr>
      <w:b/>
      <w:bCs/>
      <w:sz w:val="28"/>
      <w:szCs w:val="28"/>
    </w:rPr>
  </w:style>
  <w:style w:type="character" w:customStyle="1" w:styleId="26">
    <w:name w:val="FZ标题1 字符"/>
    <w:basedOn w:val="18"/>
    <w:link w:val="27"/>
    <w:qFormat/>
    <w:locked/>
    <w:uiPriority w:val="0"/>
    <w:rPr>
      <w:rFonts w:hint="eastAsia" w:ascii="宋体" w:hAnsi="宋体" w:eastAsia="宋体"/>
      <w:b/>
      <w:color w:val="000000"/>
      <w:sz w:val="32"/>
    </w:rPr>
  </w:style>
  <w:style w:type="paragraph" w:customStyle="1" w:styleId="27">
    <w:name w:val="FZ标题1"/>
    <w:basedOn w:val="2"/>
    <w:link w:val="26"/>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8">
    <w:name w:val="FZ标题2 字符"/>
    <w:basedOn w:val="18"/>
    <w:link w:val="29"/>
    <w:qFormat/>
    <w:locked/>
    <w:uiPriority w:val="0"/>
    <w:rPr>
      <w:rFonts w:eastAsia="黑体"/>
      <w:b/>
      <w:bCs/>
      <w:color w:val="000000"/>
      <w:kern w:val="2"/>
      <w:sz w:val="28"/>
      <w:szCs w:val="44"/>
    </w:rPr>
  </w:style>
  <w:style w:type="paragraph" w:customStyle="1" w:styleId="29">
    <w:name w:val="FZ标题2"/>
    <w:basedOn w:val="3"/>
    <w:link w:val="28"/>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0">
    <w:name w:val="FZ标题3 字符"/>
    <w:basedOn w:val="18"/>
    <w:link w:val="31"/>
    <w:qFormat/>
    <w:locked/>
    <w:uiPriority w:val="0"/>
    <w:rPr>
      <w:rFonts w:eastAsia="仿宋_GB2312" w:cstheme="majorBidi"/>
      <w:b/>
      <w:bCs/>
      <w:color w:val="000000"/>
      <w:kern w:val="2"/>
      <w:sz w:val="28"/>
      <w:szCs w:val="32"/>
    </w:rPr>
  </w:style>
  <w:style w:type="paragraph" w:customStyle="1" w:styleId="31">
    <w:name w:val="FZ标题3"/>
    <w:basedOn w:val="4"/>
    <w:link w:val="30"/>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2">
    <w:name w:val="FZ标题4 字符"/>
    <w:basedOn w:val="18"/>
    <w:link w:val="33"/>
    <w:qFormat/>
    <w:locked/>
    <w:uiPriority w:val="0"/>
    <w:rPr>
      <w:rFonts w:ascii="仿宋_GB2312" w:eastAsia="仿宋_GB2312"/>
      <w:bCs/>
      <w:color w:val="000000"/>
      <w:kern w:val="2"/>
      <w:sz w:val="28"/>
      <w:szCs w:val="32"/>
    </w:rPr>
  </w:style>
  <w:style w:type="paragraph" w:customStyle="1" w:styleId="33">
    <w:name w:val="FZ标题4"/>
    <w:basedOn w:val="5"/>
    <w:link w:val="32"/>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4">
    <w:name w:val="FZ标题5 字符"/>
    <w:basedOn w:val="18"/>
    <w:link w:val="35"/>
    <w:qFormat/>
    <w:locked/>
    <w:uiPriority w:val="0"/>
    <w:rPr>
      <w:rFonts w:hint="eastAsia" w:ascii="宋体" w:hAnsi="宋体" w:eastAsia="宋体" w:cstheme="majorBidi"/>
      <w:bCs/>
      <w:color w:val="000000"/>
      <w:szCs w:val="28"/>
    </w:rPr>
  </w:style>
  <w:style w:type="paragraph" w:customStyle="1" w:styleId="35">
    <w:name w:val="FZ标题5"/>
    <w:basedOn w:val="6"/>
    <w:link w:val="3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6">
    <w:name w:val="标题 6 Char"/>
    <w:basedOn w:val="18"/>
    <w:link w:val="7"/>
    <w:semiHidden/>
    <w:qFormat/>
    <w:uiPriority w:val="9"/>
    <w:rPr>
      <w:rFonts w:asciiTheme="majorHAnsi" w:hAnsiTheme="majorHAnsi" w:eastAsiaTheme="majorEastAsia" w:cstheme="majorBidi"/>
      <w:b/>
      <w:bCs/>
      <w:kern w:val="2"/>
      <w:sz w:val="24"/>
      <w:szCs w:val="24"/>
    </w:rPr>
  </w:style>
  <w:style w:type="character" w:customStyle="1" w:styleId="37">
    <w:name w:val="FZ标题6 字符"/>
    <w:basedOn w:val="18"/>
    <w:link w:val="38"/>
    <w:qFormat/>
    <w:locked/>
    <w:uiPriority w:val="0"/>
    <w:rPr>
      <w:rFonts w:hint="eastAsia" w:ascii="宋体" w:hAnsi="宋体" w:eastAsia="宋体"/>
      <w:bCs/>
      <w:color w:val="000000"/>
      <w:szCs w:val="28"/>
    </w:rPr>
  </w:style>
  <w:style w:type="paragraph" w:customStyle="1" w:styleId="38">
    <w:name w:val="FZ标题6"/>
    <w:basedOn w:val="7"/>
    <w:link w:val="37"/>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39">
    <w:name w:val="FZ表格标题行首列 字符"/>
    <w:basedOn w:val="18"/>
    <w:link w:val="40"/>
    <w:qFormat/>
    <w:locked/>
    <w:uiPriority w:val="0"/>
    <w:rPr>
      <w:rFonts w:hint="eastAsia" w:ascii="宋体" w:hAnsi="宋体" w:eastAsia="宋体"/>
      <w:color w:val="000000"/>
      <w:sz w:val="18"/>
    </w:rPr>
  </w:style>
  <w:style w:type="paragraph" w:customStyle="1" w:styleId="40">
    <w:name w:val="FZ表格标题行首列"/>
    <w:basedOn w:val="1"/>
    <w:link w:val="39"/>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1">
    <w:name w:val="FZ表格标题行 字符"/>
    <w:basedOn w:val="18"/>
    <w:link w:val="42"/>
    <w:qFormat/>
    <w:locked/>
    <w:uiPriority w:val="0"/>
    <w:rPr>
      <w:rFonts w:hint="eastAsia" w:ascii="宋体" w:hAnsi="宋体" w:eastAsia="宋体"/>
      <w:color w:val="000000"/>
      <w:sz w:val="18"/>
    </w:rPr>
  </w:style>
  <w:style w:type="paragraph" w:customStyle="1" w:styleId="42">
    <w:name w:val="FZ表格标题行"/>
    <w:basedOn w:val="1"/>
    <w:link w:val="41"/>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3">
    <w:name w:val="FZ表格正文行首列 字符"/>
    <w:basedOn w:val="18"/>
    <w:link w:val="44"/>
    <w:qFormat/>
    <w:locked/>
    <w:uiPriority w:val="0"/>
    <w:rPr>
      <w:rFonts w:hint="eastAsia" w:ascii="宋体" w:hAnsi="宋体" w:eastAsia="宋体"/>
      <w:color w:val="000000"/>
      <w:sz w:val="18"/>
    </w:rPr>
  </w:style>
  <w:style w:type="paragraph" w:customStyle="1" w:styleId="44">
    <w:name w:val="FZ表格正文行首列"/>
    <w:basedOn w:val="1"/>
    <w:link w:val="43"/>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5">
    <w:name w:val="FZ表格正文行 字符"/>
    <w:basedOn w:val="18"/>
    <w:link w:val="46"/>
    <w:qFormat/>
    <w:locked/>
    <w:uiPriority w:val="0"/>
    <w:rPr>
      <w:rFonts w:hint="eastAsia" w:ascii="宋体" w:hAnsi="宋体" w:eastAsia="宋体"/>
      <w:color w:val="000000"/>
      <w:sz w:val="18"/>
    </w:rPr>
  </w:style>
  <w:style w:type="paragraph" w:customStyle="1" w:styleId="46">
    <w:name w:val="FZ表格正文行"/>
    <w:basedOn w:val="1"/>
    <w:link w:val="45"/>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7">
    <w:name w:val="FZ表格合计行首列 字符"/>
    <w:basedOn w:val="18"/>
    <w:link w:val="48"/>
    <w:qFormat/>
    <w:locked/>
    <w:uiPriority w:val="0"/>
    <w:rPr>
      <w:rFonts w:hint="eastAsia" w:ascii="宋体" w:hAnsi="宋体" w:eastAsia="宋体"/>
      <w:color w:val="000000"/>
      <w:sz w:val="18"/>
    </w:rPr>
  </w:style>
  <w:style w:type="paragraph" w:customStyle="1" w:styleId="48">
    <w:name w:val="FZ表格合计行首列"/>
    <w:basedOn w:val="1"/>
    <w:link w:val="47"/>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9">
    <w:name w:val="FZ表格合计行 字符"/>
    <w:basedOn w:val="18"/>
    <w:link w:val="50"/>
    <w:qFormat/>
    <w:locked/>
    <w:uiPriority w:val="0"/>
    <w:rPr>
      <w:rFonts w:hint="eastAsia" w:ascii="宋体" w:hAnsi="宋体" w:eastAsia="宋体"/>
      <w:color w:val="000000"/>
      <w:sz w:val="18"/>
    </w:rPr>
  </w:style>
  <w:style w:type="paragraph" w:customStyle="1" w:styleId="50">
    <w:name w:val="FZ表格合计行"/>
    <w:basedOn w:val="1"/>
    <w:link w:val="49"/>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1">
    <w:name w:val="FZ正文 字符"/>
    <w:basedOn w:val="18"/>
    <w:link w:val="52"/>
    <w:qFormat/>
    <w:locked/>
    <w:uiPriority w:val="0"/>
    <w:rPr>
      <w:rFonts w:ascii="Times New Roman" w:hAnsi="Times New Roman" w:eastAsia="仿宋_GB2312" w:cs="Times New Roman"/>
      <w:color w:val="000000"/>
      <w:kern w:val="2"/>
      <w:sz w:val="28"/>
      <w:szCs w:val="22"/>
    </w:rPr>
  </w:style>
  <w:style w:type="paragraph" w:customStyle="1" w:styleId="52">
    <w:name w:val="FZ正文"/>
    <w:basedOn w:val="1"/>
    <w:link w:val="5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3">
    <w:name w:val="FZ副标题 字符"/>
    <w:basedOn w:val="18"/>
    <w:link w:val="54"/>
    <w:qFormat/>
    <w:locked/>
    <w:uiPriority w:val="0"/>
    <w:rPr>
      <w:rFonts w:hint="eastAsia" w:ascii="宋体" w:hAnsi="宋体" w:eastAsia="宋体"/>
      <w:color w:val="000000"/>
    </w:rPr>
  </w:style>
  <w:style w:type="paragraph" w:customStyle="1" w:styleId="54">
    <w:name w:val="FZ副标题"/>
    <w:basedOn w:val="1"/>
    <w:link w:val="53"/>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5">
    <w:name w:val="FZ落款 字符"/>
    <w:basedOn w:val="18"/>
    <w:link w:val="56"/>
    <w:qFormat/>
    <w:locked/>
    <w:uiPriority w:val="0"/>
    <w:rPr>
      <w:rFonts w:hint="eastAsia" w:ascii="宋体" w:hAnsi="宋体" w:eastAsia="宋体"/>
      <w:color w:val="000000"/>
    </w:rPr>
  </w:style>
  <w:style w:type="paragraph" w:customStyle="1" w:styleId="56">
    <w:name w:val="FZ落款"/>
    <w:basedOn w:val="1"/>
    <w:link w:val="55"/>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7">
    <w:name w:val="FZ注释 字符"/>
    <w:basedOn w:val="18"/>
    <w:link w:val="58"/>
    <w:qFormat/>
    <w:locked/>
    <w:uiPriority w:val="0"/>
    <w:rPr>
      <w:rFonts w:hint="eastAsia" w:ascii="宋体" w:hAnsi="宋体" w:eastAsia="宋体"/>
      <w:color w:val="000000"/>
      <w:sz w:val="18"/>
    </w:rPr>
  </w:style>
  <w:style w:type="paragraph" w:customStyle="1" w:styleId="58">
    <w:name w:val="FZ注释"/>
    <w:basedOn w:val="1"/>
    <w:link w:val="57"/>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59">
    <w:name w:val="FZ小标题 字符"/>
    <w:basedOn w:val="18"/>
    <w:link w:val="60"/>
    <w:qFormat/>
    <w:locked/>
    <w:uiPriority w:val="0"/>
    <w:rPr>
      <w:rFonts w:hint="eastAsia" w:ascii="宋体" w:hAnsi="宋体" w:eastAsia="宋体"/>
      <w:color w:val="000000"/>
      <w:sz w:val="18"/>
    </w:rPr>
  </w:style>
  <w:style w:type="paragraph" w:customStyle="1" w:styleId="60">
    <w:name w:val="FZ小标题"/>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1">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2">
    <w:name w:val="标题 7 Char"/>
    <w:basedOn w:val="18"/>
    <w:link w:val="8"/>
    <w:semiHidden/>
    <w:qFormat/>
    <w:uiPriority w:val="9"/>
    <w:rPr>
      <w:rFonts w:asciiTheme="minorHAnsi" w:hAnsiTheme="minorHAnsi" w:eastAsiaTheme="minorEastAsia"/>
      <w:b/>
      <w:bCs/>
      <w:kern w:val="2"/>
      <w:sz w:val="24"/>
      <w:szCs w:val="24"/>
    </w:rPr>
  </w:style>
  <w:style w:type="character" w:customStyle="1" w:styleId="63">
    <w:name w:val="标题 8 Char"/>
    <w:basedOn w:val="18"/>
    <w:link w:val="9"/>
    <w:semiHidden/>
    <w:qFormat/>
    <w:uiPriority w:val="9"/>
    <w:rPr>
      <w:rFonts w:asciiTheme="majorHAnsi" w:hAnsiTheme="majorHAnsi" w:eastAsiaTheme="majorEastAsia" w:cstheme="majorBidi"/>
      <w:kern w:val="2"/>
      <w:sz w:val="24"/>
      <w:szCs w:val="24"/>
    </w:rPr>
  </w:style>
  <w:style w:type="character" w:customStyle="1" w:styleId="64">
    <w:name w:val="标题 9 Char"/>
    <w:basedOn w:val="18"/>
    <w:link w:val="10"/>
    <w:semiHidden/>
    <w:qFormat/>
    <w:uiPriority w:val="9"/>
    <w:rPr>
      <w:rFonts w:asciiTheme="majorHAnsi" w:hAnsiTheme="majorHAnsi" w:eastAsiaTheme="majorEastAsia" w:cstheme="majorBidi"/>
      <w:kern w:val="2"/>
      <w:sz w:val="21"/>
      <w:szCs w:val="21"/>
    </w:rPr>
  </w:style>
  <w:style w:type="character" w:customStyle="1" w:styleId="65">
    <w:name w:val="页眉 Char"/>
    <w:basedOn w:val="18"/>
    <w:link w:val="14"/>
    <w:qFormat/>
    <w:uiPriority w:val="99"/>
    <w:rPr>
      <w:rFonts w:asciiTheme="minorHAnsi" w:hAnsiTheme="minorHAnsi" w:eastAsiaTheme="minorEastAsia"/>
      <w:kern w:val="2"/>
      <w:sz w:val="18"/>
      <w:szCs w:val="18"/>
    </w:rPr>
  </w:style>
  <w:style w:type="character" w:customStyle="1" w:styleId="66">
    <w:name w:val="页脚 Char"/>
    <w:basedOn w:val="18"/>
    <w:link w:val="13"/>
    <w:qFormat/>
    <w:uiPriority w:val="99"/>
    <w:rPr>
      <w:rFonts w:asciiTheme="minorHAnsi" w:hAnsiTheme="minorHAnsi" w:eastAsiaTheme="minorEastAsia"/>
      <w:kern w:val="2"/>
      <w:sz w:val="18"/>
      <w:szCs w:val="18"/>
    </w:rPr>
  </w:style>
  <w:style w:type="character" w:customStyle="1" w:styleId="67">
    <w:name w:val="批注文字 Char"/>
    <w:basedOn w:val="18"/>
    <w:link w:val="11"/>
    <w:semiHidden/>
    <w:qFormat/>
    <w:uiPriority w:val="99"/>
    <w:rPr>
      <w:rFonts w:asciiTheme="minorHAnsi" w:hAnsiTheme="minorHAnsi" w:eastAsiaTheme="minorEastAsia"/>
      <w:kern w:val="2"/>
      <w:sz w:val="21"/>
      <w:szCs w:val="22"/>
    </w:rPr>
  </w:style>
  <w:style w:type="character" w:customStyle="1" w:styleId="68">
    <w:name w:val="批注主题 Char"/>
    <w:basedOn w:val="67"/>
    <w:link w:val="16"/>
    <w:semiHidden/>
    <w:qFormat/>
    <w:uiPriority w:val="99"/>
    <w:rPr>
      <w:rFonts w:asciiTheme="minorHAnsi" w:hAnsiTheme="minorHAnsi" w:eastAsiaTheme="minorEastAsia"/>
      <w:b/>
      <w:bCs/>
      <w:kern w:val="2"/>
      <w:sz w:val="21"/>
      <w:szCs w:val="22"/>
    </w:rPr>
  </w:style>
  <w:style w:type="character" w:customStyle="1" w:styleId="69">
    <w:name w:val="批注框文本 Char"/>
    <w:basedOn w:val="18"/>
    <w:link w:val="12"/>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4581</Words>
  <Characters>4946</Characters>
  <Lines>9</Lines>
  <Paragraphs>15</Paragraphs>
  <TotalTime>5</TotalTime>
  <ScaleCrop>false</ScaleCrop>
  <LinksUpToDate>false</LinksUpToDate>
  <CharactersWithSpaces>5133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2025-12-15T10:21:08Z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D8042D538B4E4757846D3CB2238C52CD_12</vt:lpwstr>
  </property>
  <property fmtid="{D5CDD505-2E9C-101B-9397-08002B2CF9AE}" pid="4" name="KSOTemplateDocerSaveRecord">
    <vt:lpwstr>eyJoZGlkIjoiY2RlOGExMTJjOWFmYjNiZTJjMWUwNDM2NWFmZTM5NmEiLCJ1c2VySWQiOiIxMTAwNDE5NzU4In0=</vt:lpwstr>
  </property>
</Properties>
</file>