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022C7150">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于田县奥依托格拉克乡防沙治沙基地配套设施建设项目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项目负责人(签章):刘德刚</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于田县奥依托格拉克乡防沙治沙基地配套设施建设项目</w:t>
      </w:r>
      <w:r>
        <w:rPr>
          <w:rFonts w:hint="eastAsia" w:ascii="仿宋_GB2312"/>
          <w:color w:val="auto"/>
          <w:szCs w:val="32"/>
          <w:highlight w:val="none"/>
        </w:rPr>
        <w:t>方案的批复》（于发改项目【2024】226号）文批复立项实施，</w:t>
      </w:r>
      <w:r>
        <w:rPr>
          <w:rFonts w:hint="eastAsia" w:ascii="仿宋_GB2312"/>
          <w:color w:val="auto"/>
          <w:szCs w:val="32"/>
          <w:highlight w:val="none"/>
          <w:lang w:eastAsia="zh-CN"/>
        </w:rPr>
        <w:t>于田县奥依托格拉克乡防沙治沙基地配套设施建设项目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650万元</w:t>
      </w:r>
      <w:r>
        <w:rPr>
          <w:rFonts w:hint="eastAsia" w:ascii="仿宋_GB2312"/>
          <w:color w:val="auto"/>
          <w:szCs w:val="32"/>
          <w:highlight w:val="none"/>
        </w:rPr>
        <w:t>，其中：</w:t>
      </w:r>
      <w:r>
        <w:rPr>
          <w:rFonts w:hint="eastAsia" w:ascii="仿宋_GB2312"/>
          <w:color w:val="auto"/>
          <w:szCs w:val="32"/>
          <w:highlight w:val="none"/>
          <w:lang w:eastAsia="zh-CN"/>
        </w:rPr>
        <w:t>财政衔接推进乡村振兴补助资金</w:t>
      </w:r>
      <w:r>
        <w:rPr>
          <w:rFonts w:hint="eastAsia" w:ascii="仿宋_GB2312"/>
          <w:color w:val="auto"/>
          <w:szCs w:val="32"/>
          <w:highlight w:val="none"/>
          <w:lang w:val="en-US" w:eastAsia="zh-CN"/>
        </w:rPr>
        <w:t>650万元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4DB0C2E9">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年)》要求；根据项目区实际调研和勘察，于田县2024年防风固沙、营造人造灌木林4325亩，项目区位于于田县奥依托格拉克乡，目前地貌为未开发种植的沙地，为持续开展防沙治沙工程，实施好塔里木盆地周边防沙治沙工程、沙化土地封禁保护工程、防沙治沙综合示范区工程。急需对4325亩进行人工灌木造林，但造林需要灌溉，目前项目区距离水源比较远，距离灌溉渠道，现有井水、河水等水源较远，不能满足即将种植的4325亩灌木林取水灌溉需求，因此，经过于田县各部门及县领导协商解决，提出对本项目《于田县奥依托格拉克乡防沙治沙基地配套设施建设项目》的实施，本项目的实施必须抓紧时间完成。</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由于上述原因开展于田县奥依托格拉克乡防沙治沙基地配套设施建设项目</w:t>
      </w:r>
      <w:r>
        <w:rPr>
          <w:rFonts w:hint="eastAsia" w:ascii="仿宋_GB2312" w:hAnsi="Times New Roman" w:eastAsia="仿宋_GB2312" w:cs="Times New Roman"/>
          <w:color w:val="auto"/>
          <w:sz w:val="28"/>
          <w:szCs w:val="32"/>
          <w:highlight w:val="none"/>
          <w:lang w:val="zh-CN"/>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11</w:t>
      </w:r>
      <w:r>
        <w:rPr>
          <w:rFonts w:hint="eastAsia" w:ascii="仿宋_GB2312" w:hAnsi="Times New Roman" w:eastAsia="仿宋_GB2312" w:cs="Times New Roman"/>
          <w:color w:val="auto"/>
          <w:sz w:val="28"/>
          <w:szCs w:val="32"/>
          <w:highlight w:val="none"/>
          <w:lang w:val="zh-CN"/>
        </w:rPr>
        <w:t>月。</w:t>
      </w:r>
    </w:p>
    <w:p w14:paraId="39B60105">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工程实施后从根本上改善了当地水资源利用率低的问题，为当地社会稳定、经济 繁荣，人民安居乐业奠定了坚实的基础。项目区农民生产生活水平有一定的提高。而且项目 的建设改善了当地的生态环境，这必将有力地促进区域经济的发展与社会进步。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奥依托格拉克乡防沙治沙基地配套设施建设项目根据于田县发展和改革委员会下发的《关于对于田县奥依托格拉克乡防沙治沙基地配套设施建设项目实施方案的批复》（于发改项目【2024】226号）及该项目实施方案实施，建设地点：</w:t>
      </w:r>
      <w:r>
        <w:rPr>
          <w:rFonts w:hint="eastAsia" w:ascii="仿宋_GB2312" w:hAnsi="Times New Roman" w:eastAsia="仿宋_GB2312" w:cs="Times New Roman"/>
          <w:color w:val="auto"/>
          <w:sz w:val="28"/>
          <w:szCs w:val="32"/>
          <w:highlight w:val="none"/>
          <w:lang w:val="en-US" w:eastAsia="zh-CN"/>
        </w:rPr>
        <w:t>奥依托格拉克乡，建设内容</w:t>
      </w:r>
      <w:r>
        <w:rPr>
          <w:rFonts w:hint="eastAsia" w:ascii="仿宋_GB2312" w:hAnsi="Times New Roman" w:eastAsia="仿宋_GB2312" w:cs="Times New Roman"/>
          <w:color w:val="auto"/>
          <w:sz w:val="28"/>
          <w:szCs w:val="32"/>
          <w:highlight w:val="none"/>
          <w:lang w:val="zh-CN"/>
        </w:rPr>
        <w:t>：（1）新建深水井工程：新建深水井 8 眼（含泵房），其中 1#、2#、4#、5#、6#、7#、8#井深 160m，3#井深 80m，潜水泵 8 台；新建井房 8 座，井房采用砖混结构，基础采用素混凝土基础，每座泵房建筑面积 9m2,新建管理用房 8 座。（2） 建设 10kV 单回架空线路 8.71 千米，导线采用 JKLGYJ-10kV-150/25 型。电杆采用φ190×12×M×G 型。新建专变 200kVA 柱上变 7 台,160kVA 柱上变 1 台，含计量 8 套和综合配电箱 8 套。新建 4000kVA 调压器 1 台。（3）主管道工程：铺设 0.63MPa DN200PVC-U 地埋管网 7635 米，阀门井 4 座，排水井 10 座。通过项目的实施，从根本上改善了当地水资源利用率低的问题，为当地社会稳定、经济 繁荣，人民安居乐业奠定了坚实的基础。项目区农民生产生活水平有一定的提高。而且项目 的建设改善了当地的生态环境，这必将有力地促进区域经济的发展与社会进步。</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于田县奥依托格拉克乡防沙治沙基地配套设施建设项目性质为</w:t>
      </w:r>
      <w:r>
        <w:rPr>
          <w:rFonts w:hint="eastAsia" w:ascii="仿宋_GB2312" w:hAnsi="Times New Roman" w:eastAsia="仿宋_GB2312" w:cs="Times New Roman"/>
          <w:color w:val="auto"/>
          <w:sz w:val="28"/>
          <w:szCs w:val="32"/>
          <w:highlight w:val="none"/>
          <w:lang w:val="en-US" w:eastAsia="zh-CN"/>
        </w:rPr>
        <w:t>资产收益类项目</w:t>
      </w:r>
      <w:r>
        <w:rPr>
          <w:rFonts w:hint="eastAsia" w:ascii="仿宋_GB2312" w:hAnsi="Times New Roman" w:eastAsia="仿宋_GB2312" w:cs="Times New Roman"/>
          <w:color w:val="auto"/>
          <w:sz w:val="28"/>
          <w:szCs w:val="32"/>
          <w:highlight w:val="none"/>
          <w:lang w:val="zh-CN" w:eastAsia="zh-CN"/>
        </w:rPr>
        <w:t>，属于乡村振兴衔接资金项目。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于田县奥依托格拉克乡防沙治沙基地配套设施建设项目总投资</w:t>
      </w:r>
      <w:r>
        <w:rPr>
          <w:rFonts w:hint="eastAsia" w:ascii="仿宋_GB2312" w:hAnsi="Times New Roman" w:eastAsia="仿宋_GB2312" w:cs="Times New Roman"/>
          <w:color w:val="auto"/>
          <w:sz w:val="28"/>
          <w:szCs w:val="32"/>
          <w:highlight w:val="none"/>
          <w:lang w:val="en-US" w:eastAsia="zh-CN"/>
        </w:rPr>
        <w:t>650万元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财政衔接推进乡村振兴补助资金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：（1）新建深水井工程：新建深水井 8 眼（含泵房），其中 1#、2#、4#、5#、6#、7#、8#井深 160m，3#井深 80m，潜水泵 8 台；新建井房 8 座，井房采用砖混结构，基础采用素混凝土基础，每座泵房建筑面积 9m2,新建管理用房 8 座。（2） 建设 10kV 单回架空线路 8.71 千米，导线采用 JKLGYJ-10kV-150/25 型。电杆采用φ190×12×M×G 型。新建专变 200kVA 柱上变 7 台,160kVA 柱上变 1 台，含计量 8 套和综合配电箱 8 套。新建 4000kVA 调压器 1 台。（3）主管道工程：铺设 0.63MPa DN200PVC-U 地埋管网 7635 米，阀门井 4 座，排水井 10 座。</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通过实施本项目，从根本上改善了当地水资源利用率低的问题，为当地社会稳定、经济 繁荣，人民安居乐业奠定了坚实的基础。项目区农民生产生活水平有一定的提高。而且项目 的建设改善了当地的生态环境，这必将有力地促进区域经济的发展与社会进步</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ascii="仿宋_GB2312"/>
          <w:color w:val="auto"/>
          <w:szCs w:val="32"/>
          <w:highlight w:val="none"/>
        </w:rPr>
        <w:t>根据《自治区财政专项扶贫资金绩效管理操作指南》（新财预〔2019〕170号）的规定，结合项目具体情况，</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7</w:t>
      </w:r>
      <w:r>
        <w:rPr>
          <w:rStyle w:val="21"/>
          <w:rFonts w:hint="eastAsia" w:ascii="仿宋_GB2312" w:hAnsi="仿宋"/>
          <w:b w:val="0"/>
          <w:spacing w:val="-4"/>
          <w:szCs w:val="32"/>
        </w:rPr>
        <w:t>，三级指标</w:t>
      </w:r>
      <w:r>
        <w:rPr>
          <w:rStyle w:val="21"/>
          <w:rFonts w:hint="eastAsia" w:ascii="仿宋_GB2312" w:hAnsi="仿宋"/>
          <w:b w:val="0"/>
          <w:spacing w:val="-4"/>
          <w:szCs w:val="32"/>
          <w:lang w:val="en-US" w:eastAsia="zh-CN"/>
        </w:rPr>
        <w:t>15</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6</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于田县奥依托格拉克乡防沙治沙基地配套设施建设项目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10</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20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于田县奥依托格拉克乡防沙治沙基地配套设施建设项目</w:t>
      </w:r>
      <w:r>
        <w:rPr>
          <w:rFonts w:hint="eastAsia"/>
          <w:color w:val="auto"/>
          <w:highlight w:val="none"/>
        </w:rPr>
        <w:t>预算安排总额为</w:t>
      </w:r>
      <w:r>
        <w:rPr>
          <w:rFonts w:hint="eastAsia"/>
          <w:color w:val="auto"/>
          <w:highlight w:val="none"/>
          <w:lang w:val="en-US" w:eastAsia="zh-CN"/>
        </w:rPr>
        <w:t>650万元</w:t>
      </w:r>
      <w:r>
        <w:rPr>
          <w:rFonts w:hint="eastAsia"/>
          <w:color w:val="auto"/>
          <w:highlight w:val="none"/>
        </w:rPr>
        <w:t>，其中：</w:t>
      </w:r>
      <w:r>
        <w:rPr>
          <w:rFonts w:hint="eastAsia"/>
          <w:color w:val="auto"/>
          <w:highlight w:val="none"/>
          <w:lang w:val="en-US" w:eastAsia="zh-CN"/>
        </w:rPr>
        <w:t>财政衔接推进乡村振兴补助资金650万元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rFonts w:hint="eastAsia"/>
          <w:color w:val="auto"/>
          <w:highlight w:val="none"/>
          <w:lang w:val="en-US" w:eastAsia="zh-CN"/>
        </w:rPr>
      </w:pPr>
      <w:r>
        <w:rPr>
          <w:rFonts w:hint="eastAsia"/>
          <w:color w:val="auto"/>
          <w:highlight w:val="none"/>
          <w:lang w:eastAsia="zh-CN"/>
        </w:rPr>
        <w:t>于田县奥依托格拉克乡防沙治沙基地配套设施建设项目</w:t>
      </w:r>
      <w:r>
        <w:rPr>
          <w:rFonts w:hint="eastAsia"/>
          <w:color w:val="auto"/>
          <w:highlight w:val="none"/>
        </w:rPr>
        <w:t>预算投入资金</w:t>
      </w:r>
      <w:r>
        <w:rPr>
          <w:rFonts w:hint="eastAsia"/>
          <w:color w:val="auto"/>
          <w:highlight w:val="none"/>
          <w:lang w:val="en-US" w:eastAsia="zh-CN"/>
        </w:rPr>
        <w:t>650万元</w:t>
      </w:r>
      <w:r>
        <w:rPr>
          <w:rFonts w:hint="eastAsia"/>
          <w:color w:val="auto"/>
          <w:highlight w:val="none"/>
        </w:rPr>
        <w:t>，</w:t>
      </w:r>
      <w:r>
        <w:rPr>
          <w:rFonts w:hint="eastAsia"/>
          <w:color w:val="auto"/>
          <w:highlight w:val="none"/>
          <w:lang w:val="en-US" w:eastAsia="zh-CN"/>
        </w:rPr>
        <w:t>截至2024年12月31日，项目实际支出167.18万元，剩余资金待支付。预算资金执行率25.72%。</w:t>
      </w:r>
    </w:p>
    <w:p w14:paraId="535A5C70">
      <w:pPr>
        <w:pStyle w:val="54"/>
        <w:spacing w:line="560" w:lineRule="exact"/>
        <w:ind w:left="0" w:leftChars="0" w:right="3" w:firstLine="560"/>
        <w:rPr>
          <w:color w:val="auto"/>
          <w:highlight w:val="none"/>
        </w:rPr>
      </w:pPr>
      <w:r>
        <w:rPr>
          <w:rFonts w:hint="eastAsia"/>
          <w:color w:val="auto"/>
          <w:highlight w:val="none"/>
          <w:lang w:val="en-US" w:eastAsia="zh-CN"/>
        </w:rPr>
        <w:t>3.项目资金使用和管理按照关于印发《中央财政衔接推进乡村振兴补</w:t>
      </w:r>
      <w:r>
        <w:rPr>
          <w:color w:val="auto"/>
          <w:highlight w:val="none"/>
        </w:rPr>
        <w:t>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7E3645F2">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rPr>
        <w:t>截止2024年12月底项目完成新建深水井8 眼、建设 10kV 单回架空线路8.71千米、新建专变 200kVA 柱上变7台、铺设 0.63MPa DN200PVC-U 地埋管网7635米。项目未完工。</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个，三级指标15个，其中已完成三级指标</w:t>
      </w:r>
      <w:r>
        <w:rPr>
          <w:rFonts w:hint="eastAsia" w:ascii="仿宋_GB2312" w:hAnsi="Times New Roman" w:eastAsia="仿宋_GB2312" w:cs="Times New Roman"/>
          <w:color w:val="auto"/>
          <w:sz w:val="28"/>
          <w:szCs w:val="32"/>
          <w:highlight w:val="none"/>
          <w:lang w:val="en-US" w:eastAsia="zh-CN"/>
        </w:rPr>
        <w:t>5</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33.33%</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37E8382F">
      <w:pPr>
        <w:pStyle w:val="54"/>
        <w:spacing w:line="560" w:lineRule="exact"/>
        <w:ind w:left="0" w:leftChars="0" w:right="0" w:rightChars="0" w:firstLine="560"/>
        <w:rPr>
          <w:rFonts w:hint="eastAsia"/>
          <w:color w:val="auto"/>
          <w:highlight w:val="none"/>
        </w:rPr>
      </w:pPr>
      <w:r>
        <w:rPr>
          <w:rFonts w:hint="eastAsia"/>
          <w:color w:val="auto"/>
          <w:highlight w:val="none"/>
        </w:rPr>
        <w:t>“新建深水井数量”指标，预期指标值为</w:t>
      </w:r>
      <w:r>
        <w:rPr>
          <w:rFonts w:hint="eastAsia"/>
          <w:color w:val="auto"/>
          <w:highlight w:val="none"/>
          <w:lang w:eastAsia="zh-CN"/>
        </w:rPr>
        <w:t>大于等于</w:t>
      </w:r>
      <w:r>
        <w:rPr>
          <w:rFonts w:hint="eastAsia"/>
          <w:color w:val="auto"/>
          <w:highlight w:val="none"/>
          <w:lang w:val="en-US" w:eastAsia="zh-CN"/>
        </w:rPr>
        <w:t>8眼，</w:t>
      </w:r>
      <w:r>
        <w:rPr>
          <w:rFonts w:hint="eastAsia"/>
          <w:color w:val="auto"/>
          <w:highlight w:val="none"/>
        </w:rPr>
        <w:t>全年实际值为</w:t>
      </w:r>
      <w:r>
        <w:rPr>
          <w:rFonts w:hint="eastAsia"/>
          <w:color w:val="auto"/>
          <w:highlight w:val="none"/>
          <w:lang w:val="en-US" w:eastAsia="zh-CN"/>
        </w:rPr>
        <w:t>7眼</w:t>
      </w:r>
      <w:r>
        <w:rPr>
          <w:rFonts w:hint="eastAsia"/>
          <w:color w:val="auto"/>
          <w:highlight w:val="none"/>
        </w:rPr>
        <w:t>，指标完成率为</w:t>
      </w:r>
      <w:r>
        <w:rPr>
          <w:rFonts w:hint="eastAsia"/>
          <w:color w:val="auto"/>
          <w:highlight w:val="none"/>
          <w:lang w:val="en-US" w:eastAsia="zh-CN"/>
        </w:rPr>
        <w:t>87.5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4.38</w:t>
      </w:r>
      <w:r>
        <w:rPr>
          <w:rFonts w:hint="eastAsia"/>
          <w:color w:val="auto"/>
          <w:highlight w:val="none"/>
        </w:rPr>
        <w:t>分。</w:t>
      </w:r>
    </w:p>
    <w:p w14:paraId="294D0B7A">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改进措施：加快项目实施进度</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“建设 10kV 单回架空线路数量”指标，预期指标值为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8.71千米</w:t>
      </w:r>
      <w:r>
        <w:rPr>
          <w:rFonts w:hint="eastAsia"/>
          <w:color w:val="auto"/>
          <w:highlight w:val="none"/>
        </w:rPr>
        <w:t>,全年实际值为</w:t>
      </w:r>
      <w:r>
        <w:rPr>
          <w:rFonts w:hint="eastAsia"/>
          <w:color w:val="auto"/>
          <w:highlight w:val="none"/>
          <w:lang w:val="en-US" w:eastAsia="zh-CN"/>
        </w:rPr>
        <w:t>8.71千米</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“新建专变 200kVA 柱上变数量”指标，预期指标值为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7台</w:t>
      </w:r>
      <w:r>
        <w:rPr>
          <w:rFonts w:hint="eastAsia"/>
          <w:color w:val="auto"/>
          <w:highlight w:val="none"/>
        </w:rPr>
        <w:t>,全年实际值为</w:t>
      </w:r>
      <w:r>
        <w:rPr>
          <w:rFonts w:hint="eastAsia"/>
          <w:color w:val="auto"/>
          <w:highlight w:val="none"/>
          <w:lang w:val="en-US" w:eastAsia="zh-CN"/>
        </w:rPr>
        <w:t>7台</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614009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“铺设 0.63MPa DN200PVC-U 地埋管网长度”指标，预期指标值为</w:t>
      </w:r>
      <w:r>
        <w:rPr>
          <w:rFonts w:hint="eastAsia"/>
          <w:color w:val="auto"/>
          <w:highlight w:val="none"/>
          <w:lang w:eastAsia="zh-CN"/>
        </w:rPr>
        <w:t>大于等于</w:t>
      </w:r>
      <w:r>
        <w:rPr>
          <w:rFonts w:hint="eastAsia"/>
          <w:color w:val="auto"/>
          <w:highlight w:val="none"/>
          <w:lang w:val="en-US" w:eastAsia="zh-CN"/>
        </w:rPr>
        <w:t>7635米，</w:t>
      </w:r>
      <w:r>
        <w:rPr>
          <w:rFonts w:hint="eastAsia"/>
          <w:color w:val="auto"/>
          <w:highlight w:val="none"/>
        </w:rPr>
        <w:t>,全年实际值为</w:t>
      </w:r>
      <w:r>
        <w:rPr>
          <w:rFonts w:hint="eastAsia"/>
          <w:color w:val="auto"/>
          <w:highlight w:val="none"/>
          <w:lang w:val="en-US" w:eastAsia="zh-CN"/>
        </w:rPr>
        <w:t>7635米</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169D3DA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2.项目完成质量。</w:t>
      </w:r>
    </w:p>
    <w:p w14:paraId="388C3621">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“项目验收合格率”指标，预期指标值为100.00%,全年实际值为0%，指标完成率为0%。所设分值4分，实际得分0分。</w:t>
      </w:r>
    </w:p>
    <w:p w14:paraId="0E21A4F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w:t>
      </w:r>
    </w:p>
    <w:p w14:paraId="1F3B9AD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w:t>
      </w:r>
    </w:p>
    <w:p w14:paraId="3001B4E2">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“资金支付合规率”指标，预期指标值为100%,实际值为100%，指标完成率为100%。所设分值4分，实际得分4分。</w:t>
      </w:r>
    </w:p>
    <w:p w14:paraId="4EC23B0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7D635832">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5664A24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3.项目完成时效。</w:t>
      </w:r>
    </w:p>
    <w:p w14:paraId="49D44194">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“项目开工时间”指标，预期指标值为2024年9月,实际值为2024年9月，指标完成率为100.00%。所设分值4分，实际得分4分。</w:t>
      </w:r>
    </w:p>
    <w:p w14:paraId="58A75EFE">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“项目完工时间”指标，预期指标值为2024年11月,实际值为还未完工，指标完成率为0%。所设分值4分，实际得分0分。</w:t>
      </w:r>
    </w:p>
    <w:p w14:paraId="362C6649">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10830A2B">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0E2C20D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“资金支付及时率”指标，预期指标值为100%,实际值为100%，指标完成率为100%。所设分值4分，实际得分4分。</w:t>
      </w:r>
    </w:p>
    <w:p w14:paraId="61B4B687">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4C35E5B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6EE54B3F">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4.项目成本节约情况。</w:t>
      </w:r>
    </w:p>
    <w:p w14:paraId="7A99AD8A">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为有效控制项目实施成本，我单位在实施项目前就该项目设定了成本控制指标，实施过程中我单位通过公开招标的方式有效降低了项目执行成本，具体指标设置及完成情况如下：</w:t>
      </w:r>
    </w:p>
    <w:p w14:paraId="1274BAF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“工程费用”指标，预期指标值为小于等于561.08万元, 全年实际值为167.18万元，指标完成率为29.8%；所设分值5分，实际得分1.49分。</w:t>
      </w:r>
    </w:p>
    <w:p w14:paraId="579CBCA8">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167210A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6D1099C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“其他费用”指标，预期指标值为小于等于88.92万元, 全年实际值为小于等于0万元，指标完成率为0%；所设分值5分，实际得分0分。</w:t>
      </w:r>
    </w:p>
    <w:p w14:paraId="5055D359">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7B1A29D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25CDA980">
      <w:pPr>
        <w:pStyle w:val="31"/>
        <w:spacing w:before="120"/>
        <w:ind w:left="0" w:leftChars="0" w:right="3" w:firstLine="562" w:firstLineChars="200"/>
        <w:rPr>
          <w:rFonts w:hint="eastAsia" w:ascii="Times New Roman" w:hAnsi="Times New Roman" w:eastAsia="仿宋_GB2312" w:cs="Times New Roman"/>
          <w:b/>
          <w:bCs/>
          <w:color w:val="auto"/>
          <w:kern w:val="2"/>
          <w:sz w:val="28"/>
          <w:szCs w:val="22"/>
          <w:highlight w:val="none"/>
          <w:lang w:val="en-US" w:eastAsia="zh-CN" w:bidi="ar-SA"/>
        </w:rPr>
      </w:pPr>
      <w:r>
        <w:rPr>
          <w:rFonts w:hint="eastAsia" w:ascii="Times New Roman" w:hAnsi="Times New Roman" w:eastAsia="仿宋_GB2312" w:cs="Times New Roman"/>
          <w:b/>
          <w:bCs/>
          <w:color w:val="auto"/>
          <w:kern w:val="2"/>
          <w:sz w:val="28"/>
          <w:szCs w:val="22"/>
          <w:highlight w:val="none"/>
          <w:lang w:val="en-US" w:eastAsia="zh-CN" w:bidi="ar-SA"/>
        </w:rPr>
        <w:t>2.效益指标完成情况分析</w:t>
      </w:r>
    </w:p>
    <w:p w14:paraId="1B0224E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2.1 项目实施的经济效益分析</w:t>
      </w:r>
    </w:p>
    <w:p w14:paraId="23C6AA43">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“带动增加脱贫人口全年总收入”指标，指标预期值为大于等于331.13万元，实际完成值为等于0万元，指标完成率为0%。所设分值10分，实际得分0分。</w:t>
      </w:r>
    </w:p>
    <w:p w14:paraId="268D6AD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偏差原因：项目还未完工，无法估算经济效益。</w:t>
      </w:r>
    </w:p>
    <w:p w14:paraId="6005FC4F">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5E50509B">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2.2项目实施的社会效益分析</w:t>
      </w:r>
    </w:p>
    <w:p w14:paraId="73BD5F9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“受益建档立卡脱贫人口数”指标，指标预期值为大于等于22人，实际完成值为0人，指标完成率为0%。所设分值10分，实际得分0分。</w:t>
      </w:r>
    </w:p>
    <w:p w14:paraId="034350C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w:t>
      </w:r>
    </w:p>
    <w:p w14:paraId="02352C7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519FA46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“提高村民生活水平”指标，指标预期值为有效提高，实际完成值为有效提高，指标完成率为0%。所设分值10分，实际得分10分。</w:t>
      </w:r>
    </w:p>
    <w:p w14:paraId="371974E8">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w:t>
      </w:r>
    </w:p>
    <w:p w14:paraId="70A77E28">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4114B6BE">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3.满意度指标完成情况分析</w:t>
      </w:r>
    </w:p>
    <w:p w14:paraId="284641B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“村民满意度”指标，指标预期值为大于等于95%，实际完成值为0%，指标完成率为0%。所设分值10分，实际得分0分。</w:t>
      </w:r>
    </w:p>
    <w:p w14:paraId="0FEF4A90">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偏差原因：项目还未完工，无法估算满意度。</w:t>
      </w:r>
    </w:p>
    <w:p w14:paraId="2A38F63A">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450D934D">
      <w:pPr>
        <w:pStyle w:val="31"/>
        <w:spacing w:before="120"/>
        <w:ind w:left="0" w:leftChars="0" w:right="3" w:firstLine="562"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color w:val="auto"/>
          <w:highlight w:val="none"/>
        </w:rPr>
        <w:t>四、偏离绩效目标的原因和下一步改进措施</w:t>
      </w:r>
    </w:p>
    <w:p w14:paraId="7B029C4A">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1.数量指标-“新建深水井数量”指标，预期指标值为大于等于8条,全年实际值为等于7条。</w:t>
      </w:r>
    </w:p>
    <w:p w14:paraId="6B7B7F29">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w:t>
      </w:r>
    </w:p>
    <w:p w14:paraId="2A2D594A">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w:t>
      </w:r>
    </w:p>
    <w:p w14:paraId="3D5020AF">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2.质量指标-“项目验收合格率”指标，预期指标值为100.00%,全年实际值为0%。</w:t>
      </w:r>
    </w:p>
    <w:p w14:paraId="4038914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w:t>
      </w:r>
    </w:p>
    <w:p w14:paraId="46AAA9BD">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w:t>
      </w:r>
    </w:p>
    <w:p w14:paraId="4FA394A3">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3.时效指标-“工程完工时间”指标，预期指标值为2024年11月,实际值为还未完工。</w:t>
      </w:r>
    </w:p>
    <w:p w14:paraId="7350405B">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5D38C9D3">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3F7039E2">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4.成本指标-“工程费用”指标，预期指标值为小于等于561.08万元, 全年实际值为167.18万元。</w:t>
      </w:r>
    </w:p>
    <w:p w14:paraId="71ACA57C">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628C788B">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6DB12CB5">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5.成本指标-“其他费用”指标，预期指标值为小于等于88.92万元, 全年实际值为小于等于0万元。</w:t>
      </w:r>
    </w:p>
    <w:p w14:paraId="53C154E0">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偏差原因：项目还未完工，资金还未全支付。</w:t>
      </w:r>
    </w:p>
    <w:p w14:paraId="09DFD249">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改进措施：加快项目实施进度，项目验收合格后支付项目剩余资金。</w:t>
      </w:r>
    </w:p>
    <w:p w14:paraId="7BA2545C">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6.经济效益指标-“带动增加脱贫人口全年总收入”指标，指标预期值为大于等于331.13万元，实际完成值为等于0万元。</w:t>
      </w:r>
    </w:p>
    <w:p w14:paraId="7EDE7DE0">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偏差原因：项目还未完工，无法估算经济效益。</w:t>
      </w:r>
    </w:p>
    <w:p w14:paraId="6AF98852">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06C85608">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7.社会效益指标-“受益建档立卡脱贫人口数”指标，指标预期值为大于等于22人，实际完成值为0人。</w:t>
      </w:r>
    </w:p>
    <w:p w14:paraId="024ACD96">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w:t>
      </w:r>
    </w:p>
    <w:p w14:paraId="60C87A04">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64195A20">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8.社会效益指标-“提高村民生活水平”指标，指标预期值为有效提高，实际完成值为有效提高。</w:t>
      </w:r>
    </w:p>
    <w:p w14:paraId="6FA04128">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w:t>
      </w:r>
    </w:p>
    <w:p w14:paraId="296D1C77">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7B0A5945">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9.满意度指标-“村民满意度”指标，指标预期值为大于等于95%，实际完成值为0%。</w:t>
      </w:r>
    </w:p>
    <w:p w14:paraId="155438F2">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偏差原因：项目还未完工，无法估算满意度。</w:t>
      </w:r>
    </w:p>
    <w:p w14:paraId="1E861FD0">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改进措施：加快项目实施进度，尽早完工验收。</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于田县奥依托格拉克乡防沙治沙基地配套设施建设项目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15</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5</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89.66</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于田县奥依托格拉克乡防沙治沙基地配套设施建设项目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35.44</w:t>
      </w:r>
      <w:r>
        <w:rPr>
          <w:rFonts w:hint="eastAsia" w:ascii="仿宋_GB2312"/>
          <w:color w:val="auto"/>
          <w:spacing w:val="-4"/>
          <w:szCs w:val="32"/>
          <w:highlight w:val="none"/>
        </w:rPr>
        <w:t>分，评价等级为</w:t>
      </w:r>
      <w:r>
        <w:rPr>
          <w:rFonts w:hint="eastAsia" w:ascii="仿宋_GB2312"/>
          <w:color w:val="auto"/>
          <w:spacing w:val="-4"/>
          <w:szCs w:val="32"/>
          <w:highlight w:val="none"/>
          <w:lang w:val="en-US" w:eastAsia="zh-CN"/>
        </w:rPr>
        <w:t>差</w:t>
      </w:r>
      <w:r>
        <w:rPr>
          <w:rFonts w:hint="eastAsia" w:ascii="仿宋_GB2312"/>
          <w:color w:val="auto"/>
          <w:spacing w:val="-4"/>
          <w:szCs w:val="32"/>
          <w:highlight w:val="none"/>
        </w:rPr>
        <w:t>。</w:t>
      </w:r>
    </w:p>
    <w:p w14:paraId="0DC8CAB8">
      <w:pPr>
        <w:pStyle w:val="54"/>
        <w:spacing w:line="560" w:lineRule="exact"/>
        <w:ind w:left="3" w:right="3" w:firstLine="552"/>
        <w:rPr>
          <w:rFonts w:hint="eastAsia" w:ascii="仿宋_GB2312"/>
          <w:b/>
          <w:bCs/>
          <w:color w:val="auto"/>
          <w:spacing w:val="-4"/>
          <w:szCs w:val="32"/>
          <w:highlight w:val="none"/>
        </w:rPr>
      </w:pPr>
      <w:r>
        <w:rPr>
          <w:rFonts w:hint="eastAsia" w:ascii="仿宋_GB2312"/>
          <w:b/>
          <w:bCs/>
          <w:color w:val="auto"/>
          <w:spacing w:val="-4"/>
          <w:szCs w:val="32"/>
          <w:highlight w:val="none"/>
        </w:rPr>
        <w:t>（一）绩效自评结果拟应用情况</w:t>
      </w:r>
    </w:p>
    <w:p w14:paraId="245931E0">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pStyle w:val="54"/>
        <w:spacing w:line="560" w:lineRule="exact"/>
        <w:ind w:left="3" w:right="3" w:firstLine="552"/>
        <w:rPr>
          <w:rFonts w:hint="eastAsia" w:ascii="仿宋_GB2312"/>
          <w:b/>
          <w:bCs/>
          <w:color w:val="auto"/>
          <w:spacing w:val="-4"/>
          <w:szCs w:val="32"/>
          <w:highlight w:val="none"/>
        </w:rPr>
      </w:pPr>
      <w:r>
        <w:rPr>
          <w:rFonts w:hint="eastAsia" w:ascii="仿宋_GB2312"/>
          <w:b/>
          <w:bCs/>
          <w:color w:val="auto"/>
          <w:spacing w:val="-4"/>
          <w:szCs w:val="32"/>
          <w:highlight w:val="none"/>
        </w:rPr>
        <w:t>（二）指标佐证材料说明</w:t>
      </w:r>
    </w:p>
    <w:p w14:paraId="39BAEE47">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项目状况：该项目不存在立项，由</w:t>
      </w:r>
      <w:r>
        <w:rPr>
          <w:rFonts w:hint="eastAsia" w:ascii="仿宋_GB2312"/>
          <w:color w:val="auto"/>
          <w:spacing w:val="-4"/>
          <w:szCs w:val="32"/>
          <w:highlight w:val="none"/>
          <w:lang w:val="en-US" w:eastAsia="zh-CN"/>
        </w:rPr>
        <w:t>林草局</w:t>
      </w:r>
      <w:r>
        <w:rPr>
          <w:rFonts w:hint="eastAsia" w:ascii="仿宋_GB2312"/>
          <w:color w:val="auto"/>
          <w:spacing w:val="-4"/>
          <w:szCs w:val="32"/>
          <w:highlight w:val="none"/>
        </w:rPr>
        <w:t>负责项目的实施方案，并由</w:t>
      </w:r>
      <w:r>
        <w:rPr>
          <w:rFonts w:hint="eastAsia" w:ascii="仿宋_GB2312"/>
          <w:color w:val="auto"/>
          <w:spacing w:val="-4"/>
          <w:szCs w:val="32"/>
          <w:highlight w:val="none"/>
          <w:lang w:val="en-US" w:eastAsia="zh-CN"/>
        </w:rPr>
        <w:t>于田县发展和改革委员会</w:t>
      </w:r>
      <w:r>
        <w:rPr>
          <w:rFonts w:hint="eastAsia" w:ascii="仿宋_GB2312"/>
          <w:color w:val="auto"/>
          <w:spacing w:val="-4"/>
          <w:szCs w:val="32"/>
          <w:highlight w:val="none"/>
        </w:rPr>
        <w:t>，下发了《关于对</w:t>
      </w:r>
      <w:r>
        <w:rPr>
          <w:rFonts w:hint="eastAsia" w:ascii="仿宋_GB2312"/>
          <w:color w:val="auto"/>
          <w:spacing w:val="-4"/>
          <w:szCs w:val="32"/>
          <w:highlight w:val="none"/>
          <w:lang w:eastAsia="zh-CN"/>
        </w:rPr>
        <w:t>于田县奥依托格拉克乡防沙治沙基地配套设施建设项目</w:t>
      </w:r>
      <w:r>
        <w:rPr>
          <w:rFonts w:hint="eastAsia" w:ascii="仿宋_GB2312"/>
          <w:color w:val="auto"/>
          <w:spacing w:val="-4"/>
          <w:szCs w:val="32"/>
          <w:highlight w:val="none"/>
        </w:rPr>
        <w:t>方案的批复》（于发改项目【2024】226号）。</w:t>
      </w:r>
    </w:p>
    <w:p w14:paraId="0F654699">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资金状况：预算资金来源为中央财政乡村振兴衔接资金，文件依据：和田地区关于下达2024年中央财政扶贫衔接资金任务计划的通知》（和地财建（2024）24号）。</w:t>
      </w:r>
    </w:p>
    <w:p w14:paraId="4568C585">
      <w:pPr>
        <w:pStyle w:val="54"/>
        <w:spacing w:line="560" w:lineRule="exact"/>
        <w:ind w:left="3" w:right="3" w:firstLine="560"/>
        <w:rPr>
          <w:rFonts w:hint="eastAsia" w:ascii="仿宋_GB2312" w:hAnsi="楷体"/>
          <w:spacing w:val="-4"/>
          <w:szCs w:val="32"/>
          <w:highlight w:val="none"/>
          <w:lang w:val="en-US" w:eastAsia="zh-CN"/>
        </w:rPr>
      </w:pPr>
      <w:r>
        <w:rPr>
          <w:rFonts w:hint="eastAsia" w:ascii="仿宋_GB2312"/>
          <w:color w:val="auto"/>
          <w:highlight w:val="none"/>
        </w:rPr>
        <w:t>过程状况：</w:t>
      </w:r>
      <w:r>
        <w:rPr>
          <w:rFonts w:hint="eastAsia" w:ascii="仿宋_GB2312" w:hAnsi="楷体"/>
          <w:spacing w:val="-4"/>
          <w:szCs w:val="32"/>
          <w:highlight w:val="none"/>
        </w:rPr>
        <w:t>该项目于202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ab/>
      </w:r>
      <w:r>
        <w:rPr>
          <w:rFonts w:hint="eastAsia" w:ascii="仿宋_GB2312" w:hAnsi="楷体"/>
          <w:spacing w:val="-4"/>
          <w:szCs w:val="32"/>
          <w:highlight w:val="none"/>
        </w:rPr>
        <w:t>年</w:t>
      </w:r>
      <w:r>
        <w:rPr>
          <w:rFonts w:hint="eastAsia" w:ascii="仿宋_GB2312" w:hAnsi="楷体"/>
          <w:spacing w:val="-4"/>
          <w:szCs w:val="32"/>
          <w:highlight w:val="none"/>
          <w:lang w:val="en-US" w:eastAsia="zh-CN"/>
        </w:rPr>
        <w:t>9</w:t>
      </w:r>
      <w:r>
        <w:rPr>
          <w:rFonts w:hint="eastAsia" w:ascii="仿宋_GB2312" w:hAnsi="楷体"/>
          <w:spacing w:val="-4"/>
          <w:szCs w:val="32"/>
          <w:highlight w:val="none"/>
        </w:rPr>
        <w:t>月</w:t>
      </w:r>
      <w:r>
        <w:rPr>
          <w:rFonts w:hint="eastAsia" w:ascii="仿宋_GB2312" w:hAnsi="楷体"/>
          <w:spacing w:val="-4"/>
          <w:szCs w:val="32"/>
          <w:highlight w:val="none"/>
          <w:lang w:val="en-US" w:eastAsia="zh-CN"/>
        </w:rPr>
        <w:t>24日</w:t>
      </w:r>
      <w:r>
        <w:rPr>
          <w:rFonts w:hint="eastAsia" w:ascii="仿宋_GB2312" w:hAnsi="楷体"/>
          <w:spacing w:val="-4"/>
          <w:szCs w:val="32"/>
          <w:highlight w:val="none"/>
        </w:rPr>
        <w:t>制订实施方案并得到批复，202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年</w:t>
      </w:r>
      <w:r>
        <w:rPr>
          <w:rFonts w:hint="eastAsia" w:ascii="仿宋_GB2312" w:hAnsi="楷体"/>
          <w:spacing w:val="-4"/>
          <w:szCs w:val="32"/>
          <w:highlight w:val="none"/>
          <w:lang w:val="en-US" w:eastAsia="zh-CN"/>
        </w:rPr>
        <w:t>1</w:t>
      </w:r>
      <w:r>
        <w:rPr>
          <w:rFonts w:hint="eastAsia" w:ascii="仿宋_GB2312" w:hAnsi="楷体"/>
          <w:spacing w:val="-4"/>
          <w:szCs w:val="32"/>
          <w:highlight w:val="none"/>
        </w:rPr>
        <w:t>月</w:t>
      </w:r>
      <w:r>
        <w:rPr>
          <w:rFonts w:hint="eastAsia" w:ascii="仿宋_GB2312" w:hAnsi="楷体"/>
          <w:spacing w:val="-4"/>
          <w:szCs w:val="32"/>
          <w:highlight w:val="none"/>
          <w:lang w:val="en-US" w:eastAsia="zh-CN"/>
        </w:rPr>
        <w:t>21</w:t>
      </w:r>
      <w:r>
        <w:rPr>
          <w:rFonts w:hint="eastAsia" w:ascii="仿宋_GB2312" w:hAnsi="楷体"/>
          <w:spacing w:val="-4"/>
          <w:szCs w:val="32"/>
          <w:highlight w:val="none"/>
        </w:rPr>
        <w:t>日进行招标，202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年</w:t>
      </w:r>
      <w:r>
        <w:rPr>
          <w:rFonts w:hint="eastAsia" w:ascii="仿宋_GB2312" w:hAnsi="楷体"/>
          <w:spacing w:val="-4"/>
          <w:szCs w:val="32"/>
          <w:highlight w:val="none"/>
          <w:lang w:val="en-US" w:eastAsia="zh-CN"/>
        </w:rPr>
        <w:t>10</w:t>
      </w:r>
      <w:r>
        <w:rPr>
          <w:rFonts w:hint="eastAsia" w:ascii="仿宋_GB2312" w:hAnsi="楷体"/>
          <w:spacing w:val="-4"/>
          <w:szCs w:val="32"/>
          <w:highlight w:val="none"/>
        </w:rPr>
        <w:t>月</w:t>
      </w:r>
      <w:r>
        <w:rPr>
          <w:rFonts w:hint="eastAsia" w:ascii="仿宋_GB2312" w:hAnsi="楷体"/>
          <w:spacing w:val="-4"/>
          <w:szCs w:val="32"/>
          <w:highlight w:val="none"/>
          <w:lang w:val="en-US" w:eastAsia="zh-CN"/>
        </w:rPr>
        <w:t>23</w:t>
      </w:r>
      <w:r>
        <w:rPr>
          <w:rFonts w:hint="eastAsia" w:ascii="仿宋_GB2312" w:hAnsi="楷体"/>
          <w:spacing w:val="-4"/>
          <w:szCs w:val="32"/>
          <w:highlight w:val="none"/>
        </w:rPr>
        <w:t>日</w:t>
      </w:r>
      <w:r>
        <w:rPr>
          <w:rFonts w:hint="eastAsia" w:ascii="仿宋_GB2312" w:hAnsi="楷体"/>
          <w:spacing w:val="-4"/>
          <w:szCs w:val="32"/>
          <w:highlight w:val="none"/>
          <w:lang w:val="en-US" w:eastAsia="zh-CN"/>
        </w:rPr>
        <w:t>确定施工单位</w:t>
      </w:r>
      <w:r>
        <w:rPr>
          <w:rFonts w:hint="eastAsia" w:ascii="仿宋_GB2312" w:hAnsi="楷体"/>
          <w:spacing w:val="-4"/>
          <w:szCs w:val="32"/>
          <w:highlight w:val="none"/>
        </w:rPr>
        <w:t>签订施工合同，202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ab/>
      </w:r>
      <w:r>
        <w:rPr>
          <w:rFonts w:hint="eastAsia" w:ascii="仿宋_GB2312" w:hAnsi="楷体"/>
          <w:spacing w:val="-4"/>
          <w:szCs w:val="32"/>
          <w:highlight w:val="none"/>
        </w:rPr>
        <w:t>年</w:t>
      </w:r>
      <w:r>
        <w:rPr>
          <w:rFonts w:hint="eastAsia" w:ascii="仿宋_GB2312" w:hAnsi="楷体"/>
          <w:spacing w:val="-4"/>
          <w:szCs w:val="32"/>
          <w:highlight w:val="none"/>
          <w:lang w:val="en-US" w:eastAsia="zh-CN"/>
        </w:rPr>
        <w:t>10</w:t>
      </w:r>
      <w:r>
        <w:rPr>
          <w:rFonts w:hint="eastAsia" w:ascii="仿宋_GB2312" w:hAnsi="楷体"/>
          <w:spacing w:val="-4"/>
          <w:szCs w:val="32"/>
          <w:highlight w:val="none"/>
        </w:rPr>
        <w:t>月开始拨付工程款，</w:t>
      </w:r>
      <w:r>
        <w:rPr>
          <w:rFonts w:hint="eastAsia" w:ascii="仿宋_GB2312" w:hAnsi="楷体"/>
          <w:spacing w:val="-4"/>
          <w:szCs w:val="32"/>
          <w:highlight w:val="none"/>
          <w:lang w:val="en-US" w:eastAsia="zh-CN"/>
        </w:rPr>
        <w:t>项目还未完工。</w:t>
      </w:r>
    </w:p>
    <w:p w14:paraId="7B1582B1">
      <w:pPr>
        <w:pStyle w:val="54"/>
        <w:spacing w:line="560" w:lineRule="exact"/>
        <w:ind w:left="3" w:right="3" w:firstLine="560"/>
        <w:rPr>
          <w:rFonts w:hint="default" w:ascii="仿宋_GB2312"/>
          <w:color w:val="auto"/>
          <w:highlight w:val="none"/>
          <w:lang w:val="en-US"/>
        </w:rPr>
      </w:pPr>
      <w:r>
        <w:rPr>
          <w:rFonts w:hint="eastAsia" w:ascii="仿宋_GB2312"/>
          <w:color w:val="auto"/>
          <w:highlight w:val="none"/>
        </w:rPr>
        <w:t>结果状况：</w:t>
      </w:r>
      <w:r>
        <w:rPr>
          <w:rFonts w:hint="eastAsia" w:ascii="仿宋_GB2312"/>
          <w:color w:val="auto"/>
          <w:highlight w:val="none"/>
          <w:lang w:val="en-US" w:eastAsia="zh-CN"/>
        </w:rPr>
        <w:t>项目还未完工。</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于田县奥依托格拉克乡防沙治沙基地配套设施建设项目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于田县奥依托格拉克乡防沙治沙基地配套设施建设项目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7322E14"/>
    <w:rsid w:val="1EF012A0"/>
    <w:rsid w:val="22D31BA7"/>
    <w:rsid w:val="2A3A7BC7"/>
    <w:rsid w:val="31523460"/>
    <w:rsid w:val="34EF419F"/>
    <w:rsid w:val="36657C06"/>
    <w:rsid w:val="3E982E81"/>
    <w:rsid w:val="4037219F"/>
    <w:rsid w:val="40AA57C4"/>
    <w:rsid w:val="485A725E"/>
    <w:rsid w:val="48C12B47"/>
    <w:rsid w:val="4B110D0E"/>
    <w:rsid w:val="4DCF506B"/>
    <w:rsid w:val="4EF3230B"/>
    <w:rsid w:val="55CE7228"/>
    <w:rsid w:val="56A43B97"/>
    <w:rsid w:val="5F3C5A50"/>
    <w:rsid w:val="62312A9A"/>
    <w:rsid w:val="624A069A"/>
    <w:rsid w:val="62923AAE"/>
    <w:rsid w:val="62C0120F"/>
    <w:rsid w:val="641035FE"/>
    <w:rsid w:val="66E77BCB"/>
    <w:rsid w:val="69603C65"/>
    <w:rsid w:val="6C136BFF"/>
    <w:rsid w:val="717F0C46"/>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7185</Words>
  <Characters>7787</Characters>
  <Lines>9</Lines>
  <Paragraphs>15</Paragraphs>
  <TotalTime>5</TotalTime>
  <ScaleCrop>false</ScaleCrop>
  <LinksUpToDate>false</LinksUpToDate>
  <CharactersWithSpaces>8191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2025-12-15T10:19:24Z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