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837F02">
      <w:pPr>
        <w:spacing w:before="120" w:after="120" w:line="480" w:lineRule="auto"/>
        <w:ind w:firstLine="883" w:firstLineChars="200"/>
        <w:jc w:val="center"/>
        <w:outlineLvl w:val="0"/>
        <w:rPr>
          <w:rFonts w:ascii="仿宋_GB2312" w:hAnsi="Arial"/>
          <w:b/>
          <w:color w:val="auto"/>
          <w:sz w:val="44"/>
          <w:szCs w:val="44"/>
          <w:highlight w:val="none"/>
        </w:rPr>
      </w:pPr>
      <w:bookmarkStart w:id="1" w:name="_GoBack"/>
      <w:bookmarkEnd w:id="1"/>
    </w:p>
    <w:p w14:paraId="6E3F86AD">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14AB4CDB">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3D0E1326">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FA00D09">
      <w:pPr>
        <w:spacing w:line="540" w:lineRule="exact"/>
        <w:ind w:firstLine="600" w:firstLineChars="200"/>
        <w:jc w:val="center"/>
        <w:rPr>
          <w:rFonts w:hAnsi="宋体" w:cs="宋体"/>
          <w:color w:val="auto"/>
          <w:kern w:val="0"/>
          <w:sz w:val="30"/>
          <w:szCs w:val="30"/>
          <w:highlight w:val="none"/>
        </w:rPr>
      </w:pPr>
    </w:p>
    <w:p w14:paraId="2CE394E4">
      <w:pPr>
        <w:spacing w:line="540" w:lineRule="exact"/>
        <w:ind w:firstLine="600" w:firstLineChars="200"/>
        <w:jc w:val="center"/>
        <w:rPr>
          <w:rFonts w:hAnsi="宋体" w:cs="宋体"/>
          <w:color w:val="auto"/>
          <w:kern w:val="0"/>
          <w:sz w:val="30"/>
          <w:szCs w:val="30"/>
          <w:highlight w:val="none"/>
        </w:rPr>
      </w:pPr>
    </w:p>
    <w:p w14:paraId="21B5A723">
      <w:pPr>
        <w:spacing w:line="540" w:lineRule="exact"/>
        <w:ind w:firstLine="600" w:firstLineChars="200"/>
        <w:jc w:val="center"/>
        <w:rPr>
          <w:rFonts w:hAnsi="宋体" w:cs="宋体"/>
          <w:color w:val="auto"/>
          <w:kern w:val="0"/>
          <w:sz w:val="30"/>
          <w:szCs w:val="30"/>
          <w:highlight w:val="none"/>
        </w:rPr>
      </w:pPr>
    </w:p>
    <w:p w14:paraId="37F131C0">
      <w:pPr>
        <w:spacing w:line="540" w:lineRule="exact"/>
        <w:ind w:firstLine="600" w:firstLineChars="200"/>
        <w:jc w:val="center"/>
        <w:rPr>
          <w:rFonts w:hAnsi="宋体" w:cs="宋体"/>
          <w:color w:val="auto"/>
          <w:kern w:val="0"/>
          <w:sz w:val="30"/>
          <w:szCs w:val="30"/>
          <w:highlight w:val="none"/>
        </w:rPr>
      </w:pPr>
    </w:p>
    <w:p w14:paraId="05DA9510">
      <w:pPr>
        <w:spacing w:line="540" w:lineRule="exact"/>
        <w:ind w:firstLine="600" w:firstLineChars="200"/>
        <w:rPr>
          <w:rFonts w:hAnsi="宋体" w:cs="宋体"/>
          <w:color w:val="auto"/>
          <w:kern w:val="0"/>
          <w:sz w:val="30"/>
          <w:szCs w:val="30"/>
          <w:highlight w:val="none"/>
        </w:rPr>
      </w:pPr>
    </w:p>
    <w:p w14:paraId="782F54FB">
      <w:pPr>
        <w:spacing w:line="540" w:lineRule="exact"/>
        <w:ind w:firstLine="600" w:firstLineChars="200"/>
        <w:rPr>
          <w:rFonts w:hAnsi="宋体" w:cs="宋体"/>
          <w:color w:val="auto"/>
          <w:kern w:val="0"/>
          <w:sz w:val="30"/>
          <w:szCs w:val="30"/>
          <w:highlight w:val="none"/>
        </w:rPr>
      </w:pPr>
    </w:p>
    <w:p w14:paraId="12CB95E8">
      <w:pPr>
        <w:spacing w:line="360" w:lineRule="auto"/>
        <w:ind w:left="640" w:leftChars="200" w:firstLine="640" w:firstLineChars="200"/>
        <w:rPr>
          <w:rFonts w:ascii="仿宋" w:hAnsi="仿宋" w:eastAsia="仿宋" w:cs="仿宋"/>
          <w:color w:val="auto"/>
          <w:szCs w:val="32"/>
          <w:highlight w:val="none"/>
        </w:rPr>
      </w:pPr>
    </w:p>
    <w:p w14:paraId="3598AAA8">
      <w:pPr>
        <w:spacing w:line="360" w:lineRule="auto"/>
        <w:ind w:left="640" w:leftChars="200" w:firstLine="640" w:firstLineChars="200"/>
        <w:rPr>
          <w:rFonts w:ascii="仿宋" w:hAnsi="仿宋" w:eastAsia="仿宋" w:cs="仿宋"/>
          <w:color w:val="auto"/>
          <w:szCs w:val="32"/>
          <w:highlight w:val="none"/>
        </w:rPr>
      </w:pPr>
    </w:p>
    <w:p w14:paraId="59FA3789">
      <w:pPr>
        <w:spacing w:line="560" w:lineRule="exact"/>
        <w:ind w:left="640" w:leftChars="200" w:firstLine="640" w:firstLineChars="200"/>
        <w:rPr>
          <w:rFonts w:ascii="仿宋" w:hAnsi="仿宋" w:eastAsia="仿宋" w:cs="仿宋"/>
          <w:color w:val="auto"/>
          <w:szCs w:val="32"/>
          <w:highlight w:val="none"/>
        </w:rPr>
      </w:pPr>
    </w:p>
    <w:p w14:paraId="7E96D769">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color w:val="auto"/>
          <w:szCs w:val="32"/>
          <w:highlight w:val="none"/>
          <w:lang w:eastAsia="zh-CN"/>
        </w:rPr>
        <w:t>：于田县木尕拉镇红柳大芸种植基地建设项目</w:t>
      </w:r>
    </w:p>
    <w:p w14:paraId="1571D279">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实施单位(公章):于田县木尕拉镇人民政府</w:t>
      </w:r>
    </w:p>
    <w:p w14:paraId="558A490A">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主管部门(公章):于田县林业和草原局</w:t>
      </w:r>
    </w:p>
    <w:p w14:paraId="2469C91B">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项目负责人(签章):高云</w:t>
      </w:r>
    </w:p>
    <w:p w14:paraId="50791906">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20</w:t>
      </w:r>
      <w:r>
        <w:rPr>
          <w:rFonts w:ascii="仿宋" w:hAnsi="仿宋" w:eastAsia="仿宋" w:cs="仿宋"/>
          <w:color w:val="auto"/>
          <w:szCs w:val="32"/>
          <w:highlight w:val="none"/>
        </w:rPr>
        <w:t>日</w:t>
      </w:r>
    </w:p>
    <w:p w14:paraId="6D7D4A44">
      <w:pPr>
        <w:spacing w:line="560" w:lineRule="exact"/>
        <w:ind w:firstLine="640" w:firstLineChars="200"/>
        <w:rPr>
          <w:rFonts w:ascii="仿宋_GB2312" w:hAnsi="仿宋_GB2312" w:cs="仿宋_GB2312"/>
          <w:kern w:val="0"/>
          <w:szCs w:val="32"/>
          <w:highlight w:val="none"/>
          <w:lang w:bidi="en-US"/>
        </w:rPr>
      </w:pPr>
    </w:p>
    <w:p w14:paraId="076C1D76">
      <w:pPr>
        <w:spacing w:line="560" w:lineRule="exact"/>
        <w:ind w:firstLine="640" w:firstLineChars="200"/>
        <w:rPr>
          <w:rFonts w:ascii="仿宋_GB2312" w:hAnsi="仿宋_GB2312" w:cs="仿宋_GB2312"/>
          <w:kern w:val="0"/>
          <w:szCs w:val="32"/>
          <w:highlight w:val="none"/>
          <w:lang w:bidi="en-US"/>
        </w:rPr>
      </w:pPr>
    </w:p>
    <w:p w14:paraId="6AD8AAB0">
      <w:pPr>
        <w:spacing w:line="360" w:lineRule="auto"/>
        <w:ind w:firstLine="627" w:firstLineChars="200"/>
        <w:rPr>
          <w:rStyle w:val="21"/>
          <w:rFonts w:ascii="黑体" w:hAnsi="黑体" w:eastAsia="黑体" w:cs="Times New Roman"/>
          <w:spacing w:val="-4"/>
          <w:szCs w:val="32"/>
          <w:highlight w:val="none"/>
        </w:rPr>
      </w:pPr>
    </w:p>
    <w:p w14:paraId="133EAAE7">
      <w:pPr>
        <w:spacing w:line="360" w:lineRule="auto"/>
        <w:ind w:firstLine="627" w:firstLineChars="200"/>
        <w:rPr>
          <w:rStyle w:val="21"/>
          <w:rFonts w:ascii="黑体" w:hAnsi="黑体" w:eastAsia="黑体" w:cs="Times New Roman"/>
          <w:spacing w:val="-4"/>
          <w:szCs w:val="32"/>
          <w:highlight w:val="none"/>
        </w:rPr>
      </w:pPr>
      <w:r>
        <w:rPr>
          <w:rStyle w:val="21"/>
          <w:rFonts w:hint="eastAsia" w:ascii="黑体" w:hAnsi="黑体" w:eastAsia="黑体" w:cs="Times New Roman"/>
          <w:spacing w:val="-4"/>
          <w:szCs w:val="32"/>
          <w:highlight w:val="none"/>
        </w:rPr>
        <w:t>一、绩效目标分解下达情况</w:t>
      </w:r>
    </w:p>
    <w:p w14:paraId="24B5B780">
      <w:pPr>
        <w:spacing w:line="360" w:lineRule="auto"/>
        <w:ind w:firstLine="546" w:firstLineChars="200"/>
        <w:rPr>
          <w:highlight w:val="none"/>
        </w:rPr>
      </w:pPr>
      <w:r>
        <w:rPr>
          <w:rFonts w:hint="eastAsia" w:ascii="楷体_GB2312" w:hAnsi="楷体" w:cs="Times New Roman"/>
          <w:b/>
          <w:spacing w:val="-4"/>
          <w:sz w:val="28"/>
          <w:szCs w:val="32"/>
          <w:highlight w:val="none"/>
        </w:rPr>
        <w:t>（一）财政专项乡村振兴衔接资金下达预算及项目情况</w:t>
      </w:r>
    </w:p>
    <w:p w14:paraId="438133B9">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2CF6835D">
      <w:pPr>
        <w:pStyle w:val="54"/>
        <w:ind w:left="3" w:right="3" w:firstLine="560"/>
        <w:rPr>
          <w:rFonts w:ascii="仿宋_GB2312"/>
          <w:color w:val="auto"/>
          <w:szCs w:val="32"/>
          <w:highlight w:val="none"/>
        </w:rPr>
      </w:pPr>
      <w:r>
        <w:rPr>
          <w:rFonts w:hint="eastAsia" w:ascii="仿宋_GB2312"/>
          <w:color w:val="auto"/>
          <w:szCs w:val="32"/>
          <w:highlight w:val="none"/>
        </w:rPr>
        <w:t>本项目根据于田县</w:t>
      </w:r>
      <w:r>
        <w:rPr>
          <w:rFonts w:hint="eastAsia" w:ascii="仿宋_GB2312"/>
          <w:color w:val="auto"/>
          <w:szCs w:val="32"/>
          <w:highlight w:val="none"/>
          <w:lang w:val="en-US" w:eastAsia="zh-CN"/>
        </w:rPr>
        <w:t>林业和草原</w:t>
      </w:r>
      <w:r>
        <w:rPr>
          <w:rFonts w:hint="eastAsia" w:ascii="仿宋_GB2312"/>
          <w:color w:val="auto"/>
          <w:szCs w:val="32"/>
          <w:highlight w:val="none"/>
        </w:rPr>
        <w:t>局下发的《关于于田县木尕拉镇红柳大芸种植基地建设项目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林草项</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20</w:t>
      </w:r>
      <w:r>
        <w:rPr>
          <w:rFonts w:hint="eastAsia" w:ascii="仿宋_GB2312"/>
          <w:color w:val="auto"/>
          <w:szCs w:val="32"/>
          <w:highlight w:val="none"/>
        </w:rPr>
        <w:t>号）文批复立项实施，于田县木尕拉镇红柳大芸种植基地建设项目预算安排总额为</w:t>
      </w:r>
      <w:r>
        <w:rPr>
          <w:rFonts w:hint="eastAsia" w:ascii="仿宋_GB2312"/>
          <w:color w:val="auto"/>
          <w:szCs w:val="32"/>
          <w:highlight w:val="none"/>
          <w:lang w:val="en-US" w:eastAsia="zh-CN"/>
        </w:rPr>
        <w:t>700</w:t>
      </w:r>
      <w:r>
        <w:rPr>
          <w:rFonts w:hint="eastAsia" w:ascii="仿宋_GB2312"/>
          <w:color w:val="auto"/>
          <w:szCs w:val="32"/>
          <w:highlight w:val="none"/>
        </w:rPr>
        <w:t>万元，其中：以乡村振兴衔接资金</w:t>
      </w:r>
      <w:r>
        <w:rPr>
          <w:rFonts w:hint="eastAsia" w:ascii="仿宋_GB2312" w:eastAsia="楷体_GB2312"/>
          <w:color w:val="auto"/>
          <w:szCs w:val="32"/>
          <w:highlight w:val="none"/>
          <w:lang w:val="en-US" w:eastAsia="zh-CN"/>
        </w:rPr>
        <w:t>700</w:t>
      </w:r>
      <w:r>
        <w:rPr>
          <w:rFonts w:hint="eastAsia" w:ascii="仿宋_GB2312"/>
          <w:color w:val="auto"/>
          <w:szCs w:val="32"/>
          <w:highlight w:val="none"/>
        </w:rPr>
        <w:t>万元。预算资金到位率为100.00%。</w:t>
      </w:r>
    </w:p>
    <w:p w14:paraId="000A6D42">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55BCE2DB">
      <w:pPr>
        <w:spacing w:line="560" w:lineRule="exact"/>
        <w:ind w:firstLine="560" w:firstLineChars="200"/>
        <w:rPr>
          <w:rFonts w:ascii="仿宋_GB2312" w:hAnsi="Times New Roman" w:eastAsia="仿宋_GB2312" w:cs="Times New Roman"/>
          <w:sz w:val="28"/>
          <w:szCs w:val="32"/>
          <w:highlight w:val="none"/>
        </w:rPr>
      </w:pPr>
      <w:r>
        <w:rPr>
          <w:rFonts w:ascii="仿宋_GB2312" w:hAnsi="Times New Roman" w:eastAsia="仿宋_GB2312" w:cs="Times New Roman"/>
          <w:sz w:val="28"/>
          <w:szCs w:val="32"/>
          <w:highlight w:val="none"/>
        </w:rPr>
        <w:t>于田地灵人杰，物阜民丰，历史悠久，文化灿烂，自古以来，就以盛产白玉</w:t>
      </w:r>
      <w:r>
        <w:rPr>
          <w:rFonts w:hint="eastAsia" w:ascii="仿宋_GB2312" w:hAnsi="Times New Roman" w:eastAsia="仿宋_GB2312" w:cs="Times New Roman"/>
          <w:sz w:val="28"/>
          <w:szCs w:val="32"/>
          <w:highlight w:val="none"/>
          <w:lang w:eastAsia="zh-CN"/>
        </w:rPr>
        <w:t>闻名遐迩</w:t>
      </w:r>
      <w:r>
        <w:rPr>
          <w:rFonts w:ascii="仿宋_GB2312" w:hAnsi="Times New Roman" w:eastAsia="仿宋_GB2312" w:cs="Times New Roman"/>
          <w:sz w:val="28"/>
          <w:szCs w:val="32"/>
          <w:highlight w:val="none"/>
        </w:rPr>
        <w:t>，尤以其地产野生红柳大芸蜚声内外。境内一条发发源于昆仑雪域的克里雅河，用其圣洁的涓流滋润着浩渺荒漠的万物生灵。红柳—被赋予生命的灵气之后，一路冲当沙漠先锋，并以柔情接纳了人间的珍宝一大芸的降生。红柳大芸作为一种珍稀药材，具有补肾壮阳，悦色延年等一系列神奇功效，被世代列为上品，广泛应用于我国民间的药疗、滋补、保健等领域，迄今已有1800 多年的历史，世人称之为“沙漠人参"。 于田地产红柳大芸具有条茎饱满，色泽润畅，品质纯正等物理特性，属同类大芸中的极品。2001 年，于田县被国家正式命名为中国大芸之乡。红柳大芸的确开发，不仅具有广泛的药用价值和经济价值，而且同时兼具良好的生态效益和环保效应。既能防风固沙，增加地表植被，又能在获取最佳经济效益的前提下，绿化沙漠，改善生态环境，真正实现可持续发展的良性循环，可谓"沙漠产业”，一举多营。因此红柳大芸产业—致被国内外医药界称之为朝阳业。近年来，于田县紧紧把握西部开发的历史机遇，准确定位，上下一心把人工种植红柳大芸作为一项特色产业主抓，广泛集纳相关专家学者深入开展课题研究和技术攻关，诚邀社会各界合作投资开发力求把朝阳产业做大做优做强，使其造福于民，惠及子孙。红柳大芸作为一种珍稀药材，具有补肾壮阳，悦色延年等一系列神奇功效，被世代列为上品，广泛应用于我国民间的药疗、滋补、保健等领域。</w:t>
      </w:r>
    </w:p>
    <w:p w14:paraId="5FF6AD71">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由于上述原因开展于田县木尕拉镇红柳大芸种植基地</w:t>
      </w:r>
      <w:r>
        <w:rPr>
          <w:rFonts w:hint="eastAsia" w:ascii="仿宋_GB2312" w:hAnsi="Times New Roman" w:eastAsia="仿宋_GB2312" w:cs="Times New Roman"/>
          <w:sz w:val="28"/>
          <w:szCs w:val="32"/>
          <w:highlight w:val="none"/>
          <w:lang w:eastAsia="zh-CN"/>
        </w:rPr>
        <w:t>建设项目</w:t>
      </w:r>
      <w:r>
        <w:rPr>
          <w:rFonts w:hint="eastAsia" w:ascii="仿宋_GB2312" w:hAnsi="Times New Roman" w:eastAsia="仿宋_GB2312" w:cs="Times New Roman"/>
          <w:sz w:val="28"/>
          <w:szCs w:val="32"/>
          <w:highlight w:val="none"/>
        </w:rPr>
        <w:t>，本项目由于田县</w:t>
      </w:r>
      <w:r>
        <w:rPr>
          <w:rFonts w:hint="eastAsia" w:ascii="仿宋_GB2312" w:hAnsi="Times New Roman" w:eastAsia="仿宋_GB2312" w:cs="Times New Roman"/>
          <w:sz w:val="28"/>
          <w:szCs w:val="32"/>
          <w:highlight w:val="none"/>
          <w:lang w:val="en-US" w:eastAsia="zh-CN"/>
        </w:rPr>
        <w:t>林业和草原局</w:t>
      </w:r>
      <w:r>
        <w:rPr>
          <w:rFonts w:hint="eastAsia" w:ascii="仿宋_GB2312" w:hAnsi="Times New Roman" w:eastAsia="仿宋_GB2312" w:cs="Times New Roman"/>
          <w:sz w:val="28"/>
          <w:szCs w:val="32"/>
          <w:highlight w:val="none"/>
        </w:rPr>
        <w:t>监管，于田县木尕拉镇人民政府负责实施，项目施工期为202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2</w:t>
      </w:r>
      <w:r>
        <w:rPr>
          <w:rFonts w:hint="eastAsia" w:ascii="仿宋_GB2312" w:hAnsi="Times New Roman" w:eastAsia="仿宋_GB2312" w:cs="Times New Roman"/>
          <w:sz w:val="28"/>
          <w:szCs w:val="32"/>
          <w:highlight w:val="none"/>
        </w:rPr>
        <w:t>月-202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5</w:t>
      </w:r>
      <w:r>
        <w:rPr>
          <w:rFonts w:hint="eastAsia" w:ascii="仿宋_GB2312" w:hAnsi="Times New Roman" w:eastAsia="仿宋_GB2312" w:cs="Times New Roman"/>
          <w:sz w:val="28"/>
          <w:szCs w:val="32"/>
          <w:highlight w:val="none"/>
        </w:rPr>
        <w:t>月。</w:t>
      </w:r>
    </w:p>
    <w:p w14:paraId="4FE31308">
      <w:pPr>
        <w:spacing w:line="560" w:lineRule="exact"/>
        <w:ind w:firstLine="560" w:firstLineChars="200"/>
        <w:rPr>
          <w:rFonts w:hint="default" w:ascii="仿宋_GB2312" w:hAnsi="Times New Roman" w:eastAsia="仿宋_GB2312" w:cs="Times New Roman"/>
          <w:sz w:val="28"/>
          <w:szCs w:val="32"/>
          <w:highlight w:val="none"/>
          <w:lang w:val="en-US" w:eastAsia="zh-CN"/>
        </w:rPr>
      </w:pPr>
      <w:r>
        <w:rPr>
          <w:rFonts w:hint="eastAsia" w:ascii="仿宋_GB2312" w:hAnsi="Times New Roman" w:eastAsia="仿宋_GB2312" w:cs="Times New Roman"/>
          <w:sz w:val="28"/>
          <w:szCs w:val="32"/>
          <w:highlight w:val="none"/>
        </w:rPr>
        <w:t>工程实施后，本项目通过</w:t>
      </w:r>
      <w:r>
        <w:rPr>
          <w:rFonts w:hint="eastAsia" w:ascii="仿宋_GB2312" w:hAnsi="Times New Roman" w:eastAsia="仿宋_GB2312" w:cs="Times New Roman"/>
          <w:sz w:val="28"/>
          <w:szCs w:val="32"/>
          <w:highlight w:val="none"/>
          <w:lang w:val="en-US" w:eastAsia="zh-CN"/>
        </w:rPr>
        <w:t>后期种植</w:t>
      </w:r>
      <w:r>
        <w:rPr>
          <w:rFonts w:hint="eastAsia" w:ascii="仿宋_GB2312" w:hAnsi="Times New Roman" w:eastAsia="仿宋_GB2312" w:cs="Times New Roman"/>
          <w:sz w:val="28"/>
          <w:szCs w:val="32"/>
          <w:highlight w:val="none"/>
        </w:rPr>
        <w:t>红柳是一种生长在荒漠地带中耐干旱、耐盐碱、耐贫瘠、耐沙埋的荒漠灌木树种，大芸就寄生于其根部。红柳大芸作为一种珍稀药材，具有补肾壮阳、悦色延年等一系列神奇功效，被广泛应用于我国民间的药疗、滋补、保健等领域，迄今已有1800多年的历史，被称之为“沙漠人参”。于田地产红柳大芸具有条茎饱满，色泽润畅，品质纯正等物理特性，属同类大芸中的极品。2001年，于田县被国家正式命名为中国大芸之乡。红柳大芸的确开发，不仅具有广泛的药用价值和经济价值，而且同时兼具良好的生态效益和环保效应。既能防风固沙，增加地表植被，又能在获取最佳经济效益的前提下，绿化沙漠，改善生态环境，真正实现可持续发展的良性循环，可谓"沙漠产业”，一举多营。因此红柳大芸产业—致被国内外医药界称之为朝阳业。</w:t>
      </w:r>
      <w:r>
        <w:rPr>
          <w:rFonts w:hint="eastAsia" w:ascii="仿宋_GB2312" w:hAnsi="Times New Roman" w:eastAsia="仿宋_GB2312" w:cs="Times New Roman"/>
          <w:sz w:val="28"/>
          <w:szCs w:val="32"/>
          <w:highlight w:val="none"/>
          <w:lang w:val="en-US" w:eastAsia="zh-CN"/>
        </w:rPr>
        <w:t>所以建设该项目具有一定的必要性。</w:t>
      </w:r>
    </w:p>
    <w:p w14:paraId="35B1E83D">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3</w:t>
      </w:r>
      <w:r>
        <w:rPr>
          <w:rFonts w:hint="eastAsia" w:ascii="仿宋_GB2312" w:hAnsi="Times New Roman" w:eastAsia="仿宋_GB2312" w:cs="Times New Roman"/>
          <w:b/>
          <w:bCs/>
          <w:sz w:val="28"/>
          <w:szCs w:val="32"/>
          <w:highlight w:val="none"/>
        </w:rPr>
        <w:t>、项目实施依据及范围</w:t>
      </w:r>
    </w:p>
    <w:p w14:paraId="6B1B2E5E">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于田县木尕拉镇红柳大芸种植基地建设项目，根据于田县</w:t>
      </w:r>
      <w:r>
        <w:rPr>
          <w:rFonts w:hint="eastAsia" w:ascii="仿宋_GB2312" w:hAnsi="Times New Roman" w:eastAsia="仿宋_GB2312" w:cs="Times New Roman"/>
          <w:sz w:val="28"/>
          <w:szCs w:val="32"/>
          <w:highlight w:val="none"/>
          <w:lang w:val="en-US" w:eastAsia="zh-CN"/>
        </w:rPr>
        <w:t>林业和草原局</w:t>
      </w:r>
      <w:r>
        <w:rPr>
          <w:rFonts w:hint="eastAsia" w:ascii="仿宋_GB2312" w:hAnsi="Times New Roman" w:eastAsia="仿宋_GB2312" w:cs="Times New Roman"/>
          <w:sz w:val="28"/>
          <w:szCs w:val="32"/>
          <w:highlight w:val="none"/>
        </w:rPr>
        <w:t>下发的《关于于田县木尕拉镇红柳大芸种植基地建设项目实施方案的批复》（于</w:t>
      </w:r>
      <w:r>
        <w:rPr>
          <w:rFonts w:hint="eastAsia" w:ascii="仿宋_GB2312" w:hAnsi="Times New Roman" w:eastAsia="仿宋_GB2312" w:cs="Times New Roman"/>
          <w:sz w:val="28"/>
          <w:szCs w:val="32"/>
          <w:highlight w:val="none"/>
          <w:lang w:val="en-US" w:eastAsia="zh-CN"/>
        </w:rPr>
        <w:t>林草项</w:t>
      </w:r>
      <w:r>
        <w:rPr>
          <w:rFonts w:hint="eastAsia" w:ascii="仿宋_GB2312" w:hAnsi="Times New Roman" w:eastAsia="仿宋_GB2312" w:cs="Times New Roman"/>
          <w:sz w:val="28"/>
          <w:szCs w:val="32"/>
          <w:highlight w:val="none"/>
        </w:rPr>
        <w:t>[202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w:t>
      </w:r>
      <w:r>
        <w:rPr>
          <w:rFonts w:hint="eastAsia" w:ascii="仿宋_GB2312" w:hAnsi="Times New Roman" w:eastAsia="仿宋_GB2312" w:cs="Times New Roman"/>
          <w:sz w:val="28"/>
          <w:szCs w:val="32"/>
          <w:highlight w:val="none"/>
          <w:lang w:val="en-US" w:eastAsia="zh-CN"/>
        </w:rPr>
        <w:t>20</w:t>
      </w:r>
      <w:r>
        <w:rPr>
          <w:rFonts w:hint="eastAsia" w:ascii="仿宋_GB2312" w:hAnsi="Times New Roman" w:eastAsia="仿宋_GB2312" w:cs="Times New Roman"/>
          <w:sz w:val="28"/>
          <w:szCs w:val="32"/>
          <w:highlight w:val="none"/>
        </w:rPr>
        <w:t>号）</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项目</w:t>
      </w:r>
      <w:r>
        <w:rPr>
          <w:rFonts w:hint="eastAsia" w:ascii="仿宋_GB2312" w:hAnsi="Times New Roman" w:eastAsia="仿宋_GB2312" w:cs="Times New Roman"/>
          <w:sz w:val="28"/>
          <w:szCs w:val="32"/>
          <w:highlight w:val="none"/>
        </w:rPr>
        <w:t>建设内容：2000亩沙漠土地平整，滴灌管网及相应的配套设施，配套井2座，电力设施5公里，砂石路5公里及配套设施，以及采购红柳大芸苗木60万棵。</w:t>
      </w:r>
    </w:p>
    <w:p w14:paraId="105BD06E">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4</w:t>
      </w:r>
      <w:r>
        <w:rPr>
          <w:rFonts w:hint="eastAsia" w:ascii="仿宋_GB2312" w:hAnsi="Times New Roman" w:eastAsia="仿宋_GB2312" w:cs="Times New Roman"/>
          <w:b/>
          <w:bCs/>
          <w:sz w:val="28"/>
          <w:szCs w:val="32"/>
          <w:highlight w:val="none"/>
        </w:rPr>
        <w:t>、项目基本性质及类别</w:t>
      </w:r>
    </w:p>
    <w:p w14:paraId="749565EB">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于田县木尕拉镇红柳大芸种植基地建设项目性质为</w:t>
      </w:r>
      <w:r>
        <w:rPr>
          <w:rFonts w:hint="eastAsia" w:ascii="仿宋_GB2312" w:hAnsi="Times New Roman" w:eastAsia="仿宋_GB2312" w:cs="Times New Roman"/>
          <w:sz w:val="28"/>
          <w:szCs w:val="32"/>
          <w:highlight w:val="none"/>
          <w:lang w:val="en-US" w:eastAsia="zh-CN"/>
        </w:rPr>
        <w:t>水利基础设施</w:t>
      </w:r>
      <w:r>
        <w:rPr>
          <w:rFonts w:hint="eastAsia" w:ascii="仿宋_GB2312" w:hAnsi="Times New Roman" w:eastAsia="仿宋_GB2312" w:cs="Times New Roman"/>
          <w:sz w:val="28"/>
          <w:szCs w:val="32"/>
          <w:highlight w:val="none"/>
        </w:rPr>
        <w:t>建设项目，属于乡村振兴衔接资金项目。</w:t>
      </w:r>
    </w:p>
    <w:p w14:paraId="68699774">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（二）财政专项乡村振兴衔接资金项目绩效目标设定情况</w:t>
      </w:r>
    </w:p>
    <w:p w14:paraId="240A18D6">
      <w:pPr>
        <w:spacing w:line="560" w:lineRule="exact"/>
        <w:ind w:firstLine="562" w:firstLineChars="200"/>
        <w:rPr>
          <w:rFonts w:ascii="仿宋_GB2312" w:hAnsi="Times New Roman" w:eastAsia="仿宋_GB2312" w:cs="Times New Roman"/>
          <w:b/>
          <w:bCs/>
          <w:sz w:val="28"/>
          <w:szCs w:val="32"/>
          <w:highlight w:val="none"/>
        </w:rPr>
      </w:pPr>
      <w:r>
        <w:rPr>
          <w:rFonts w:hint="eastAsia" w:ascii="仿宋_GB2312" w:hAnsi="Times New Roman" w:eastAsia="仿宋_GB2312" w:cs="Times New Roman"/>
          <w:b/>
          <w:bCs/>
          <w:sz w:val="28"/>
          <w:szCs w:val="32"/>
          <w:highlight w:val="none"/>
        </w:rPr>
        <w:t>1.项目绩效总体目标</w:t>
      </w:r>
    </w:p>
    <w:p w14:paraId="177DD4ED">
      <w:pPr>
        <w:pStyle w:val="54"/>
        <w:spacing w:line="560" w:lineRule="exact"/>
        <w:ind w:left="3" w:right="3" w:firstLine="560"/>
        <w:rPr>
          <w:rFonts w:hint="default" w:ascii="仿宋_GB2312" w:eastAsia="仿宋_GB2312"/>
          <w:color w:val="auto"/>
          <w:szCs w:val="32"/>
          <w:highlight w:val="none"/>
          <w:lang w:val="en-US" w:eastAsia="zh-CN"/>
        </w:rPr>
      </w:pPr>
      <w:r>
        <w:rPr>
          <w:rFonts w:hint="eastAsia" w:ascii="仿宋_GB2312"/>
          <w:color w:val="auto"/>
          <w:szCs w:val="32"/>
          <w:highlight w:val="none"/>
        </w:rPr>
        <w:t>于田县木尕拉镇红柳大芸种植基地建设项目总投资</w:t>
      </w:r>
      <w:r>
        <w:rPr>
          <w:rFonts w:hint="eastAsia" w:ascii="仿宋_GB2312"/>
          <w:color w:val="auto"/>
          <w:szCs w:val="32"/>
          <w:highlight w:val="none"/>
          <w:lang w:val="en-US" w:eastAsia="zh-CN"/>
        </w:rPr>
        <w:t>700</w:t>
      </w:r>
      <w:r>
        <w:rPr>
          <w:rFonts w:hint="eastAsia" w:ascii="仿宋_GB2312"/>
          <w:color w:val="auto"/>
          <w:szCs w:val="32"/>
          <w:highlight w:val="none"/>
        </w:rPr>
        <w:t>万元，全部申请以乡村振兴衔接资金。主要内容为：2000亩沙漠土地平整，滴灌管网及相应的配套设施，配套井2座，电力设施5公里，砂石路5公里及配套设施，以及采购红柳大芸苗木60万棵。</w:t>
      </w:r>
    </w:p>
    <w:p w14:paraId="75E1D440">
      <w:pPr>
        <w:pStyle w:val="54"/>
        <w:spacing w:line="560" w:lineRule="exact"/>
        <w:ind w:left="3" w:right="3" w:firstLine="560"/>
        <w:rPr>
          <w:rFonts w:ascii="仿宋_GB2312"/>
          <w:color w:val="auto"/>
          <w:szCs w:val="32"/>
          <w:highlight w:val="none"/>
        </w:rPr>
      </w:pPr>
      <w:r>
        <w:rPr>
          <w:rFonts w:hint="eastAsia" w:ascii="仿宋_GB2312"/>
          <w:color w:val="auto"/>
          <w:szCs w:val="32"/>
          <w:highlight w:val="none"/>
        </w:rPr>
        <w:t>通过于田县木尕拉镇红柳大芸种植基地建设项目</w:t>
      </w:r>
      <w:r>
        <w:rPr>
          <w:rFonts w:hint="eastAsia" w:ascii="仿宋_GB2312"/>
          <w:color w:val="auto"/>
          <w:szCs w:val="32"/>
          <w:highlight w:val="none"/>
          <w:lang w:val="en-US" w:eastAsia="zh-CN"/>
        </w:rPr>
        <w:t>的</w:t>
      </w:r>
      <w:r>
        <w:rPr>
          <w:rFonts w:hint="eastAsia" w:ascii="仿宋_GB2312"/>
          <w:color w:val="auto"/>
          <w:szCs w:val="32"/>
          <w:highlight w:val="none"/>
        </w:rPr>
        <w:t>实施，完善</w:t>
      </w:r>
      <w:r>
        <w:rPr>
          <w:rFonts w:hint="eastAsia" w:ascii="仿宋_GB2312"/>
          <w:color w:val="auto"/>
          <w:szCs w:val="32"/>
          <w:highlight w:val="none"/>
          <w:lang w:val="en-US" w:eastAsia="zh-CN"/>
        </w:rPr>
        <w:t>沙漠水利等其他</w:t>
      </w:r>
      <w:r>
        <w:rPr>
          <w:rFonts w:hint="eastAsia" w:ascii="仿宋_GB2312"/>
          <w:color w:val="auto"/>
          <w:szCs w:val="32"/>
          <w:highlight w:val="none"/>
        </w:rPr>
        <w:t>基础设施，促进</w:t>
      </w:r>
      <w:r>
        <w:rPr>
          <w:rFonts w:hint="eastAsia" w:ascii="仿宋_GB2312"/>
          <w:color w:val="auto"/>
          <w:szCs w:val="32"/>
          <w:highlight w:val="none"/>
          <w:lang w:val="en-US" w:eastAsia="zh-CN"/>
        </w:rPr>
        <w:t>沙漠</w:t>
      </w:r>
      <w:r>
        <w:rPr>
          <w:rFonts w:hint="eastAsia" w:ascii="仿宋_GB2312"/>
          <w:color w:val="auto"/>
          <w:szCs w:val="32"/>
          <w:highlight w:val="none"/>
        </w:rPr>
        <w:t>区域开发力度和</w:t>
      </w:r>
      <w:r>
        <w:rPr>
          <w:rFonts w:hint="eastAsia" w:ascii="仿宋_GB2312"/>
          <w:color w:val="auto"/>
          <w:szCs w:val="32"/>
          <w:highlight w:val="none"/>
          <w:lang w:val="en-US" w:eastAsia="zh-CN"/>
        </w:rPr>
        <w:t>基础设计</w:t>
      </w:r>
      <w:r>
        <w:rPr>
          <w:rFonts w:hint="eastAsia" w:ascii="仿宋_GB2312"/>
          <w:color w:val="auto"/>
          <w:szCs w:val="32"/>
          <w:highlight w:val="none"/>
        </w:rPr>
        <w:t>的建设，有力推动</w:t>
      </w:r>
      <w:r>
        <w:rPr>
          <w:rFonts w:hint="eastAsia" w:ascii="仿宋_GB2312"/>
          <w:color w:val="auto"/>
          <w:szCs w:val="32"/>
          <w:highlight w:val="none"/>
          <w:lang w:val="en-US" w:eastAsia="zh-CN"/>
        </w:rPr>
        <w:t>特色中药材种植和促进</w:t>
      </w:r>
      <w:r>
        <w:rPr>
          <w:rFonts w:hint="eastAsia" w:ascii="仿宋_GB2312"/>
          <w:color w:val="auto"/>
          <w:szCs w:val="32"/>
          <w:highlight w:val="none"/>
        </w:rPr>
        <w:t>经济</w:t>
      </w:r>
      <w:r>
        <w:rPr>
          <w:rFonts w:hint="eastAsia" w:ascii="仿宋_GB2312"/>
          <w:color w:val="auto"/>
          <w:szCs w:val="32"/>
          <w:highlight w:val="none"/>
          <w:lang w:val="en-US" w:eastAsia="zh-CN"/>
        </w:rPr>
        <w:t>的</w:t>
      </w:r>
      <w:r>
        <w:rPr>
          <w:rFonts w:hint="eastAsia" w:ascii="仿宋_GB2312"/>
          <w:color w:val="auto"/>
          <w:szCs w:val="32"/>
          <w:highlight w:val="none"/>
        </w:rPr>
        <w:t>发展，且有利于</w:t>
      </w:r>
      <w:r>
        <w:rPr>
          <w:rFonts w:hint="eastAsia" w:ascii="仿宋_GB2312"/>
          <w:color w:val="auto"/>
          <w:szCs w:val="32"/>
          <w:highlight w:val="none"/>
          <w:lang w:val="en-US" w:eastAsia="zh-CN"/>
        </w:rPr>
        <w:t>帮助加大农牧民群众增收就业条件</w:t>
      </w:r>
      <w:r>
        <w:rPr>
          <w:rFonts w:hint="eastAsia" w:ascii="仿宋_GB2312"/>
          <w:color w:val="auto"/>
          <w:szCs w:val="32"/>
          <w:highlight w:val="none"/>
        </w:rPr>
        <w:t>，</w:t>
      </w:r>
      <w:r>
        <w:rPr>
          <w:rFonts w:hint="eastAsia" w:ascii="仿宋_GB2312"/>
          <w:color w:val="auto"/>
          <w:szCs w:val="32"/>
          <w:highlight w:val="none"/>
          <w:lang w:val="en-US" w:eastAsia="zh-CN"/>
        </w:rPr>
        <w:t>提升</w:t>
      </w:r>
      <w:r>
        <w:rPr>
          <w:rFonts w:hint="eastAsia" w:ascii="仿宋_GB2312"/>
          <w:color w:val="auto"/>
          <w:szCs w:val="32"/>
          <w:highlight w:val="none"/>
        </w:rPr>
        <w:t>村民幸福感，使其成为</w:t>
      </w:r>
      <w:r>
        <w:rPr>
          <w:rFonts w:hint="eastAsia" w:ascii="仿宋_GB2312"/>
          <w:color w:val="auto"/>
          <w:szCs w:val="32"/>
          <w:highlight w:val="none"/>
          <w:lang w:val="en-US" w:eastAsia="zh-CN"/>
        </w:rPr>
        <w:t>发展特色种植产业，提升</w:t>
      </w:r>
      <w:r>
        <w:rPr>
          <w:rFonts w:hint="eastAsia" w:ascii="仿宋_GB2312"/>
          <w:color w:val="auto"/>
          <w:szCs w:val="32"/>
          <w:highlight w:val="none"/>
        </w:rPr>
        <w:t>经济发展</w:t>
      </w:r>
      <w:r>
        <w:rPr>
          <w:rFonts w:hint="eastAsia" w:ascii="仿宋_GB2312"/>
          <w:color w:val="auto"/>
          <w:szCs w:val="32"/>
          <w:highlight w:val="none"/>
          <w:lang w:val="en-US" w:eastAsia="zh-CN"/>
        </w:rPr>
        <w:t>效益</w:t>
      </w:r>
      <w:r>
        <w:rPr>
          <w:rFonts w:hint="eastAsia" w:ascii="仿宋_GB2312"/>
          <w:color w:val="auto"/>
          <w:szCs w:val="32"/>
          <w:highlight w:val="none"/>
        </w:rPr>
        <w:t>。项目建设对于推进于田县</w:t>
      </w:r>
      <w:r>
        <w:rPr>
          <w:rFonts w:hint="eastAsia" w:ascii="仿宋_GB2312"/>
          <w:color w:val="auto"/>
          <w:szCs w:val="32"/>
          <w:highlight w:val="none"/>
          <w:lang w:val="en-US" w:eastAsia="zh-CN"/>
        </w:rPr>
        <w:t>防风固沙与特色种植经济发展</w:t>
      </w:r>
      <w:r>
        <w:rPr>
          <w:rFonts w:hint="eastAsia" w:ascii="仿宋_GB2312"/>
          <w:color w:val="auto"/>
          <w:szCs w:val="32"/>
          <w:highlight w:val="none"/>
        </w:rPr>
        <w:t>有重要意义。该项目以农业增效、农民增收、</w:t>
      </w:r>
      <w:r>
        <w:rPr>
          <w:rFonts w:hint="eastAsia" w:ascii="仿宋_GB2312"/>
          <w:color w:val="auto"/>
          <w:szCs w:val="32"/>
          <w:highlight w:val="none"/>
          <w:lang w:val="en-US" w:eastAsia="zh-CN"/>
        </w:rPr>
        <w:t>县域周边环境</w:t>
      </w:r>
      <w:r>
        <w:rPr>
          <w:rFonts w:hint="eastAsia" w:ascii="仿宋_GB2312"/>
          <w:color w:val="auto"/>
          <w:szCs w:val="32"/>
          <w:highlight w:val="none"/>
        </w:rPr>
        <w:t>增美为核心，以深化和提升</w:t>
      </w:r>
      <w:r>
        <w:rPr>
          <w:rFonts w:hint="eastAsia" w:ascii="仿宋_GB2312"/>
          <w:color w:val="auto"/>
          <w:szCs w:val="32"/>
          <w:highlight w:val="none"/>
          <w:lang w:val="en-US" w:eastAsia="zh-CN"/>
        </w:rPr>
        <w:t>防风固沙</w:t>
      </w:r>
      <w:r>
        <w:rPr>
          <w:rFonts w:hint="eastAsia" w:ascii="仿宋_GB2312"/>
          <w:color w:val="auto"/>
          <w:szCs w:val="32"/>
          <w:highlight w:val="none"/>
        </w:rPr>
        <w:t>整治工程，着力推进“生态经济体系、生态</w:t>
      </w:r>
      <w:r>
        <w:rPr>
          <w:rFonts w:hint="eastAsia" w:ascii="仿宋_GB2312"/>
          <w:color w:val="auto"/>
          <w:szCs w:val="32"/>
          <w:highlight w:val="none"/>
          <w:lang w:val="en-US" w:eastAsia="zh-CN"/>
        </w:rPr>
        <w:t>宜居</w:t>
      </w:r>
      <w:r>
        <w:rPr>
          <w:rFonts w:hint="eastAsia" w:ascii="仿宋_GB2312"/>
          <w:color w:val="auto"/>
          <w:szCs w:val="32"/>
          <w:highlight w:val="none"/>
        </w:rPr>
        <w:t>体系、生态文化体系、生态环境体系”等四大体系建设，带动</w:t>
      </w:r>
      <w:r>
        <w:rPr>
          <w:rFonts w:hint="eastAsia" w:ascii="仿宋_GB2312"/>
          <w:color w:val="auto"/>
          <w:szCs w:val="32"/>
          <w:highlight w:val="none"/>
          <w:lang w:val="en-US" w:eastAsia="zh-CN"/>
        </w:rPr>
        <w:t>农业</w:t>
      </w:r>
      <w:r>
        <w:rPr>
          <w:rFonts w:hint="eastAsia" w:ascii="仿宋_GB2312"/>
          <w:color w:val="auto"/>
          <w:szCs w:val="32"/>
          <w:highlight w:val="none"/>
        </w:rPr>
        <w:t>经济一体化快速发展，整体提升</w:t>
      </w:r>
      <w:r>
        <w:rPr>
          <w:rFonts w:hint="eastAsia" w:ascii="仿宋_GB2312"/>
          <w:color w:val="auto"/>
          <w:szCs w:val="32"/>
          <w:highlight w:val="none"/>
          <w:lang w:val="en-US" w:eastAsia="zh-CN"/>
        </w:rPr>
        <w:t>全县域防风固沙</w:t>
      </w:r>
      <w:r>
        <w:rPr>
          <w:rFonts w:hint="eastAsia" w:ascii="仿宋_GB2312"/>
          <w:color w:val="auto"/>
          <w:szCs w:val="32"/>
          <w:highlight w:val="none"/>
        </w:rPr>
        <w:t>水平。</w:t>
      </w:r>
    </w:p>
    <w:p w14:paraId="253EE92E">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3A0CB98E">
      <w:pPr>
        <w:pStyle w:val="54"/>
        <w:spacing w:line="560" w:lineRule="exact"/>
        <w:ind w:left="3" w:right="3" w:firstLine="560"/>
        <w:rPr>
          <w:rFonts w:ascii="仿宋_GB2312"/>
          <w:color w:val="auto"/>
          <w:szCs w:val="32"/>
          <w:highlight w:val="yellow"/>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个，三级指标1</w:t>
      </w:r>
      <w:r>
        <w:rPr>
          <w:rFonts w:hint="eastAsia" w:ascii="仿宋_GB2312"/>
          <w:color w:val="auto"/>
          <w:szCs w:val="32"/>
          <w:highlight w:val="none"/>
          <w:lang w:val="en-US" w:eastAsia="zh-CN"/>
        </w:rPr>
        <w:t>4</w:t>
      </w:r>
      <w:r>
        <w:rPr>
          <w:rFonts w:hint="eastAsia" w:ascii="仿宋_GB2312"/>
          <w:color w:val="auto"/>
          <w:szCs w:val="32"/>
          <w:highlight w:val="none"/>
        </w:rPr>
        <w:t>个。</w:t>
      </w:r>
    </w:p>
    <w:p w14:paraId="1927FBBD">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6859EF76">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（一）绩效自评工作开展范围</w:t>
      </w:r>
    </w:p>
    <w:p w14:paraId="49142B16">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1DABA1C6">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（二）绩效自评工作对象</w:t>
      </w:r>
    </w:p>
    <w:p w14:paraId="6821579E">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rPr>
        <w:t>于田县木尕拉镇红柳大芸种植基地建设项目</w:t>
      </w:r>
      <w:r>
        <w:rPr>
          <w:color w:val="auto"/>
          <w:highlight w:val="none"/>
        </w:rPr>
        <w:t>资金的使用管理、项目产出、综合效益等进行评价。</w:t>
      </w:r>
    </w:p>
    <w:p w14:paraId="354C0ADB">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（三）绩效自评工作方式</w:t>
      </w:r>
    </w:p>
    <w:p w14:paraId="7455750E">
      <w:pPr>
        <w:pStyle w:val="35"/>
        <w:rPr>
          <w:color w:val="auto"/>
          <w:highlight w:val="none"/>
        </w:rPr>
      </w:pPr>
      <w:r>
        <w:rPr>
          <w:rFonts w:hint="eastAsia"/>
          <w:color w:val="auto"/>
          <w:highlight w:val="none"/>
        </w:rPr>
        <w:t>1.前期准备</w:t>
      </w:r>
    </w:p>
    <w:p w14:paraId="0BEAD8F6">
      <w:pPr>
        <w:pStyle w:val="54"/>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0C5A6B61">
      <w:pPr>
        <w:pStyle w:val="54"/>
        <w:spacing w:line="540" w:lineRule="exact"/>
        <w:ind w:left="3" w:right="3" w:firstLine="560"/>
        <w:rPr>
          <w:color w:val="auto"/>
          <w:highlight w:val="none"/>
        </w:rPr>
      </w:pPr>
      <w:r>
        <w:rPr>
          <w:rFonts w:hint="eastAsia"/>
          <w:color w:val="auto"/>
          <w:highlight w:val="none"/>
        </w:rPr>
        <w:t xml:space="preserve">组     长：程永杰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木尕拉镇党委书记</w:t>
      </w:r>
    </w:p>
    <w:p w14:paraId="4203BE27">
      <w:pPr>
        <w:pStyle w:val="54"/>
        <w:spacing w:line="540" w:lineRule="exact"/>
        <w:ind w:left="3" w:right="3" w:firstLine="560"/>
        <w:rPr>
          <w:color w:val="auto"/>
          <w:highlight w:val="none"/>
        </w:rPr>
      </w:pPr>
      <w:r>
        <w:rPr>
          <w:rFonts w:hint="eastAsia"/>
          <w:color w:val="auto"/>
          <w:highlight w:val="none"/>
        </w:rPr>
        <w:t>副组长：麦托合提·麦麦提敏                    木尕拉镇政府镇长</w:t>
      </w:r>
    </w:p>
    <w:p w14:paraId="4DC1D447">
      <w:pPr>
        <w:pStyle w:val="54"/>
        <w:spacing w:line="540" w:lineRule="exact"/>
        <w:ind w:left="3080" w:leftChars="175" w:right="3" w:hanging="2520" w:hangingChars="900"/>
        <w:rPr>
          <w:rFonts w:hint="default" w:eastAsia="仿宋_GB2312"/>
          <w:color w:val="auto"/>
          <w:highlight w:val="none"/>
          <w:lang w:val="en-US" w:eastAsia="zh-CN"/>
        </w:rPr>
      </w:pPr>
      <w:r>
        <w:rPr>
          <w:rFonts w:hint="eastAsia"/>
          <w:color w:val="auto"/>
          <w:highlight w:val="none"/>
        </w:rPr>
        <w:t>成    员：</w:t>
      </w:r>
      <w:r>
        <w:rPr>
          <w:rFonts w:hint="eastAsia"/>
          <w:color w:val="auto"/>
          <w:highlight w:val="none"/>
          <w:lang w:val="en-US" w:eastAsia="zh-CN"/>
        </w:rPr>
        <w:t>买买提艾莎·如孜</w:t>
      </w:r>
      <w:r>
        <w:rPr>
          <w:rFonts w:hint="eastAsia"/>
          <w:color w:val="auto"/>
          <w:highlight w:val="none"/>
        </w:rPr>
        <w:t xml:space="preserve">          </w:t>
      </w:r>
      <w:r>
        <w:rPr>
          <w:rFonts w:hint="eastAsia"/>
          <w:color w:val="auto"/>
          <w:highlight w:val="none"/>
          <w:lang w:val="en-US" w:eastAsia="zh-CN"/>
        </w:rPr>
        <w:t xml:space="preserve">              木尕拉镇人大主席</w:t>
      </w:r>
    </w:p>
    <w:p w14:paraId="0CD69AC8">
      <w:pPr>
        <w:pStyle w:val="54"/>
        <w:spacing w:line="540" w:lineRule="exact"/>
        <w:ind w:right="3" w:firstLine="1680" w:firstLineChars="600"/>
        <w:rPr>
          <w:rFonts w:hint="eastAsia" w:eastAsia="仿宋_GB2312"/>
          <w:color w:val="auto"/>
          <w:highlight w:val="none"/>
          <w:lang w:val="en-US" w:eastAsia="zh-CN"/>
        </w:rPr>
      </w:pPr>
      <w:r>
        <w:rPr>
          <w:rFonts w:hint="eastAsia"/>
          <w:color w:val="auto"/>
          <w:highlight w:val="none"/>
        </w:rPr>
        <w:t xml:space="preserve">左 鹏                                   </w:t>
      </w:r>
      <w:r>
        <w:rPr>
          <w:rFonts w:hint="eastAsia"/>
          <w:color w:val="auto"/>
          <w:highlight w:val="none"/>
          <w:lang w:val="en-US" w:eastAsia="zh-CN"/>
        </w:rPr>
        <w:t xml:space="preserve">            木尕拉镇党委</w:t>
      </w:r>
      <w:r>
        <w:rPr>
          <w:rFonts w:hint="eastAsia"/>
          <w:color w:val="auto"/>
          <w:highlight w:val="none"/>
        </w:rPr>
        <w:t>副书记</w:t>
      </w:r>
      <w:r>
        <w:rPr>
          <w:rFonts w:hint="eastAsia"/>
          <w:color w:val="auto"/>
          <w:highlight w:val="none"/>
          <w:lang w:val="en-US" w:eastAsia="zh-CN"/>
        </w:rPr>
        <w:t xml:space="preserve"> </w:t>
      </w:r>
    </w:p>
    <w:p w14:paraId="3BEF60C6">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郑昕元</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纪检书记</w:t>
      </w:r>
    </w:p>
    <w:p w14:paraId="1F330FE2">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 xml:space="preserve">阿力木江·买吐送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3F10F005">
      <w:pPr>
        <w:pStyle w:val="54"/>
        <w:spacing w:line="540" w:lineRule="exact"/>
        <w:ind w:left="0" w:leftChars="0" w:right="3" w:firstLine="1680" w:firstLineChars="600"/>
        <w:rPr>
          <w:rFonts w:hint="eastAsia"/>
          <w:color w:val="auto"/>
          <w:highlight w:val="none"/>
        </w:rPr>
      </w:pPr>
      <w:r>
        <w:rPr>
          <w:rFonts w:hint="eastAsia"/>
          <w:color w:val="auto"/>
          <w:highlight w:val="none"/>
        </w:rPr>
        <w:t xml:space="preserve">高 云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6415695D">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 xml:space="preserve">帕提古丽·伊敏                            </w:t>
      </w:r>
      <w:r>
        <w:rPr>
          <w:rFonts w:hint="eastAsia"/>
          <w:color w:val="auto"/>
          <w:highlight w:val="none"/>
        </w:rPr>
        <w:t>木尕拉镇</w:t>
      </w:r>
      <w:r>
        <w:rPr>
          <w:rFonts w:hint="eastAsia"/>
          <w:color w:val="auto"/>
          <w:highlight w:val="none"/>
          <w:lang w:val="en-US" w:eastAsia="zh-CN"/>
        </w:rPr>
        <w:t>财政所所长</w:t>
      </w:r>
    </w:p>
    <w:p w14:paraId="07226290">
      <w:pPr>
        <w:pStyle w:val="54"/>
        <w:spacing w:line="560" w:lineRule="exact"/>
        <w:ind w:right="3"/>
        <w:rPr>
          <w:color w:val="auto"/>
          <w:highlight w:val="none"/>
        </w:rPr>
      </w:pPr>
    </w:p>
    <w:p w14:paraId="66DFA08A">
      <w:pPr>
        <w:pStyle w:val="54"/>
        <w:spacing w:line="560" w:lineRule="exact"/>
        <w:ind w:left="3" w:right="3" w:firstLine="560"/>
        <w:rPr>
          <w:color w:val="auto"/>
          <w:highlight w:val="none"/>
        </w:rPr>
      </w:pPr>
      <w:r>
        <w:rPr>
          <w:rFonts w:hint="eastAsia"/>
          <w:color w:val="auto"/>
          <w:highlight w:val="none"/>
          <w:lang w:val="en-US" w:eastAsia="zh-CN"/>
        </w:rPr>
        <w:t>项目</w:t>
      </w:r>
      <w:r>
        <w:rPr>
          <w:rFonts w:hint="eastAsia"/>
          <w:color w:val="auto"/>
          <w:highlight w:val="none"/>
        </w:rPr>
        <w:t>办负责项目的计划制定、实施，督查、指导相关单位共同做好项目管理工作。切实把该项目作为基础设施建设的重要举措来抓，加强领导，明确分工，落实责任，密切配合，形成合力，推动该项目顺利实施。由木尕拉镇人民政府牵头，负责整个项目的统筹安排和经费使用管理工作，实现分级管理制度。</w:t>
      </w:r>
    </w:p>
    <w:p w14:paraId="44F39A40">
      <w:pPr>
        <w:pStyle w:val="35"/>
        <w:rPr>
          <w:color w:val="auto"/>
          <w:highlight w:val="none"/>
        </w:rPr>
      </w:pPr>
      <w:r>
        <w:rPr>
          <w:rFonts w:hint="eastAsia"/>
          <w:color w:val="auto"/>
          <w:highlight w:val="none"/>
        </w:rPr>
        <w:t>2.组织实施</w:t>
      </w:r>
    </w:p>
    <w:p w14:paraId="0E485CCE">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5820205A">
      <w:pPr>
        <w:pStyle w:val="35"/>
        <w:rPr>
          <w:color w:val="auto"/>
          <w:highlight w:val="none"/>
        </w:rPr>
      </w:pPr>
      <w:r>
        <w:rPr>
          <w:rFonts w:hint="eastAsia"/>
          <w:color w:val="auto"/>
          <w:highlight w:val="none"/>
        </w:rPr>
        <w:t>3.分析评价。</w:t>
      </w:r>
    </w:p>
    <w:p w14:paraId="70717470">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53A6B3CC">
      <w:pPr>
        <w:pStyle w:val="54"/>
        <w:spacing w:line="560" w:lineRule="exact"/>
        <w:ind w:left="3" w:right="3" w:firstLine="560"/>
        <w:rPr>
          <w:color w:val="auto"/>
          <w:highlight w:val="none"/>
        </w:rPr>
      </w:pPr>
      <w:r>
        <w:rPr>
          <w:color w:val="auto"/>
          <w:highlight w:val="none"/>
        </w:rPr>
        <w:t>（1）绩效自评指标体系</w:t>
      </w:r>
    </w:p>
    <w:p w14:paraId="04F7CC35">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25</w:t>
      </w:r>
      <w:r>
        <w:rPr>
          <w:color w:val="auto"/>
          <w:highlight w:val="none"/>
        </w:rPr>
        <w:t>分、质量指标</w:t>
      </w:r>
      <w:r>
        <w:rPr>
          <w:rFonts w:hint="eastAsia"/>
          <w:color w:val="auto"/>
          <w:highlight w:val="none"/>
          <w:lang w:val="en-US" w:eastAsia="zh-CN"/>
        </w:rPr>
        <w:t>5</w:t>
      </w:r>
      <w:r>
        <w:rPr>
          <w:color w:val="auto"/>
          <w:highlight w:val="none"/>
        </w:rPr>
        <w:t>分，时效指标1</w:t>
      </w:r>
      <w:r>
        <w:rPr>
          <w:rFonts w:hint="eastAsia"/>
          <w:color w:val="auto"/>
          <w:highlight w:val="none"/>
          <w:lang w:val="en-US" w:eastAsia="zh-CN"/>
        </w:rPr>
        <w:t>2</w:t>
      </w:r>
      <w:r>
        <w:rPr>
          <w:color w:val="auto"/>
          <w:highlight w:val="none"/>
        </w:rPr>
        <w:t>分、成本指标</w:t>
      </w:r>
      <w:r>
        <w:rPr>
          <w:rFonts w:hint="eastAsia"/>
          <w:color w:val="auto"/>
          <w:highlight w:val="none"/>
          <w:lang w:val="en-US" w:eastAsia="zh-CN"/>
        </w:rPr>
        <w:t>8</w:t>
      </w:r>
      <w:r>
        <w:rPr>
          <w:color w:val="auto"/>
          <w:highlight w:val="none"/>
        </w:rPr>
        <w:t>分、效益指标</w:t>
      </w:r>
      <w:r>
        <w:rPr>
          <w:rFonts w:hint="eastAsia"/>
          <w:color w:val="auto"/>
          <w:highlight w:val="none"/>
          <w:lang w:val="en-US" w:eastAsia="zh-CN"/>
        </w:rPr>
        <w:t>30</w:t>
      </w:r>
      <w:r>
        <w:rPr>
          <w:color w:val="auto"/>
          <w:highlight w:val="none"/>
        </w:rPr>
        <w:t>分、</w:t>
      </w:r>
      <w:r>
        <w:rPr>
          <w:rFonts w:hint="eastAsia"/>
          <w:color w:val="auto"/>
          <w:highlight w:val="none"/>
          <w:lang w:val="en-US" w:eastAsia="zh-CN"/>
        </w:rPr>
        <w:t>服务对象</w:t>
      </w:r>
      <w:r>
        <w:rPr>
          <w:color w:val="auto"/>
          <w:highlight w:val="none"/>
        </w:rPr>
        <w:t>满意度指标1</w:t>
      </w:r>
      <w:r>
        <w:rPr>
          <w:rFonts w:hint="eastAsia"/>
          <w:color w:val="auto"/>
          <w:highlight w:val="none"/>
          <w:lang w:val="en-US" w:eastAsia="zh-CN"/>
        </w:rPr>
        <w:t>0</w:t>
      </w:r>
      <w:r>
        <w:rPr>
          <w:color w:val="auto"/>
          <w:highlight w:val="none"/>
        </w:rPr>
        <w:t>分、预算资金执行率10分，满分100分。</w:t>
      </w:r>
    </w:p>
    <w:p w14:paraId="6376DE15">
      <w:pPr>
        <w:pStyle w:val="54"/>
        <w:spacing w:line="560" w:lineRule="exact"/>
        <w:ind w:left="3" w:right="3" w:firstLine="560"/>
        <w:rPr>
          <w:color w:val="auto"/>
          <w:highlight w:val="none"/>
        </w:rPr>
      </w:pPr>
      <w:r>
        <w:rPr>
          <w:color w:val="auto"/>
          <w:highlight w:val="none"/>
        </w:rPr>
        <w:t>（2）绩效自评方法</w:t>
      </w:r>
    </w:p>
    <w:p w14:paraId="776D95D9">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A8E53D6">
      <w:pPr>
        <w:pStyle w:val="54"/>
        <w:spacing w:line="560" w:lineRule="exact"/>
        <w:ind w:left="3" w:right="3" w:firstLine="560"/>
        <w:rPr>
          <w:color w:val="auto"/>
          <w:highlight w:val="none"/>
        </w:rPr>
      </w:pPr>
      <w:r>
        <w:rPr>
          <w:color w:val="auto"/>
          <w:highlight w:val="none"/>
        </w:rPr>
        <w:t>（3）绩效自评标准</w:t>
      </w:r>
    </w:p>
    <w:p w14:paraId="6A1F4F47">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5CDB1EC">
      <w:pPr>
        <w:pStyle w:val="54"/>
        <w:spacing w:line="560" w:lineRule="exact"/>
        <w:ind w:left="3" w:right="3" w:firstLine="560"/>
        <w:rPr>
          <w:color w:val="auto"/>
          <w:highlight w:val="none"/>
        </w:rPr>
      </w:pPr>
      <w:r>
        <w:rPr>
          <w:color w:val="auto"/>
          <w:highlight w:val="none"/>
        </w:rPr>
        <w:t>（4）绩效自评等级</w:t>
      </w:r>
    </w:p>
    <w:p w14:paraId="4FCFF8B2">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28579FD4">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6C7D59D5">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（一）资金投入情况分析</w:t>
      </w:r>
    </w:p>
    <w:p w14:paraId="6EA14CA2">
      <w:pPr>
        <w:pStyle w:val="35"/>
        <w:rPr>
          <w:color w:val="auto"/>
          <w:highlight w:val="none"/>
        </w:rPr>
      </w:pPr>
      <w:r>
        <w:rPr>
          <w:rFonts w:hint="eastAsia"/>
          <w:color w:val="auto"/>
          <w:highlight w:val="none"/>
        </w:rPr>
        <w:t>1.项目资金到位情况分析</w:t>
      </w:r>
    </w:p>
    <w:p w14:paraId="3C3CE278">
      <w:pPr>
        <w:pStyle w:val="54"/>
        <w:spacing w:line="560" w:lineRule="exact"/>
        <w:ind w:left="0" w:leftChars="0" w:right="3" w:firstLine="560"/>
        <w:rPr>
          <w:color w:val="auto"/>
          <w:highlight w:val="none"/>
        </w:rPr>
      </w:pPr>
      <w:r>
        <w:rPr>
          <w:rFonts w:hint="eastAsia"/>
          <w:color w:val="auto"/>
          <w:highlight w:val="none"/>
        </w:rPr>
        <w:t>于田县木尕拉镇红柳大芸种植基地建设项目预算安排总额为</w:t>
      </w:r>
      <w:r>
        <w:rPr>
          <w:rFonts w:hint="eastAsia"/>
          <w:color w:val="auto"/>
          <w:highlight w:val="none"/>
          <w:lang w:val="en-US" w:eastAsia="zh-CN"/>
        </w:rPr>
        <w:t>700</w:t>
      </w:r>
      <w:r>
        <w:rPr>
          <w:rFonts w:hint="eastAsia"/>
          <w:color w:val="auto"/>
          <w:highlight w:val="none"/>
        </w:rPr>
        <w:t>万元，其中：乡村振兴衔接资金</w:t>
      </w:r>
      <w:r>
        <w:rPr>
          <w:rFonts w:hint="eastAsia" w:eastAsia="楷体_GB2312"/>
          <w:color w:val="auto"/>
          <w:highlight w:val="none"/>
          <w:lang w:val="en-US" w:eastAsia="zh-CN"/>
        </w:rPr>
        <w:t>700</w:t>
      </w:r>
      <w:r>
        <w:rPr>
          <w:rFonts w:hint="eastAsia"/>
          <w:color w:val="auto"/>
          <w:highlight w:val="none"/>
        </w:rPr>
        <w:t>万元。预算资金到位率为100%。</w:t>
      </w:r>
    </w:p>
    <w:p w14:paraId="657CDC65">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2E307BDA">
      <w:pPr>
        <w:pStyle w:val="54"/>
        <w:spacing w:line="560" w:lineRule="exact"/>
        <w:ind w:left="0" w:leftChars="0" w:right="3" w:firstLine="560"/>
        <w:rPr>
          <w:color w:val="auto"/>
          <w:highlight w:val="none"/>
        </w:rPr>
      </w:pPr>
      <w:r>
        <w:rPr>
          <w:rFonts w:hint="eastAsia"/>
          <w:color w:val="auto"/>
          <w:highlight w:val="none"/>
        </w:rPr>
        <w:t>于田县木尕拉镇红柳大芸种植基地建设项目预算投入资金</w:t>
      </w:r>
      <w:r>
        <w:rPr>
          <w:rFonts w:hint="eastAsia"/>
          <w:color w:val="auto"/>
          <w:highlight w:val="none"/>
          <w:lang w:val="en-US" w:eastAsia="zh-CN"/>
        </w:rPr>
        <w:t>700</w:t>
      </w:r>
      <w:r>
        <w:rPr>
          <w:rFonts w:hint="eastAsia"/>
          <w:color w:val="auto"/>
          <w:highlight w:val="none"/>
        </w:rPr>
        <w:t>万元，经财务决算，项目实际完成投资共</w:t>
      </w:r>
      <w:r>
        <w:rPr>
          <w:rFonts w:hint="eastAsia"/>
          <w:color w:val="auto"/>
          <w:highlight w:val="none"/>
          <w:lang w:val="en-US" w:eastAsia="zh-CN"/>
        </w:rPr>
        <w:t>634.49</w:t>
      </w:r>
      <w:r>
        <w:rPr>
          <w:rFonts w:hint="eastAsia"/>
          <w:color w:val="auto"/>
          <w:highlight w:val="none"/>
        </w:rPr>
        <w:t>万元，其中：工程投资</w:t>
      </w:r>
      <w:r>
        <w:rPr>
          <w:rFonts w:hint="eastAsia"/>
          <w:color w:val="auto"/>
          <w:highlight w:val="none"/>
          <w:lang w:val="en-US" w:eastAsia="zh-CN"/>
        </w:rPr>
        <w:t>587.11</w:t>
      </w:r>
      <w:r>
        <w:rPr>
          <w:rFonts w:hint="eastAsia"/>
          <w:color w:val="auto"/>
          <w:highlight w:val="none"/>
        </w:rPr>
        <w:t xml:space="preserve">万元，待摊投资 </w:t>
      </w:r>
      <w:r>
        <w:rPr>
          <w:rFonts w:hint="eastAsia"/>
          <w:color w:val="auto"/>
          <w:highlight w:val="none"/>
          <w:lang w:val="en-US" w:eastAsia="zh-CN"/>
        </w:rPr>
        <w:t>47.38</w:t>
      </w:r>
      <w:r>
        <w:rPr>
          <w:rFonts w:hint="eastAsia"/>
          <w:color w:val="auto"/>
          <w:highlight w:val="none"/>
        </w:rPr>
        <w:t>万元；实际工程</w:t>
      </w:r>
      <w:r>
        <w:rPr>
          <w:rFonts w:hint="eastAsia"/>
          <w:color w:val="auto"/>
          <w:highlight w:val="none"/>
          <w:lang w:val="en-US" w:eastAsia="zh-CN"/>
        </w:rPr>
        <w:t>节</w:t>
      </w:r>
      <w:r>
        <w:rPr>
          <w:rFonts w:hint="eastAsia"/>
          <w:color w:val="auto"/>
          <w:highlight w:val="none"/>
        </w:rPr>
        <w:t>概资金</w:t>
      </w:r>
      <w:r>
        <w:rPr>
          <w:rFonts w:hint="eastAsia"/>
          <w:color w:val="auto"/>
          <w:highlight w:val="none"/>
          <w:lang w:val="en-US" w:eastAsia="zh-CN"/>
        </w:rPr>
        <w:t>65.51</w:t>
      </w:r>
      <w:r>
        <w:rPr>
          <w:rFonts w:hint="eastAsia"/>
          <w:color w:val="auto"/>
          <w:highlight w:val="none"/>
        </w:rPr>
        <w:t>万元。截至202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月31日，项目实际支出</w:t>
      </w:r>
      <w:r>
        <w:rPr>
          <w:rFonts w:hint="eastAsia"/>
          <w:color w:val="auto"/>
          <w:highlight w:val="none"/>
          <w:lang w:val="en-US" w:eastAsia="zh-CN"/>
        </w:rPr>
        <w:t>634.49</w:t>
      </w:r>
      <w:r>
        <w:rPr>
          <w:rFonts w:hint="eastAsia"/>
          <w:color w:val="auto"/>
          <w:highlight w:val="none"/>
        </w:rPr>
        <w:t>万元，预算资金执行率</w:t>
      </w:r>
      <w:r>
        <w:rPr>
          <w:rFonts w:hint="eastAsia"/>
          <w:color w:val="auto"/>
          <w:highlight w:val="none"/>
          <w:lang w:val="en-US" w:eastAsia="zh-CN"/>
        </w:rPr>
        <w:t>90.64</w:t>
      </w:r>
      <w:r>
        <w:rPr>
          <w:rFonts w:hint="eastAsia"/>
          <w:color w:val="auto"/>
          <w:highlight w:val="none"/>
        </w:rPr>
        <w:t>%。</w:t>
      </w:r>
    </w:p>
    <w:p w14:paraId="7039449E">
      <w:pPr>
        <w:pStyle w:val="35"/>
        <w:rPr>
          <w:color w:val="auto"/>
          <w:highlight w:val="none"/>
        </w:rPr>
      </w:pPr>
      <w:r>
        <w:rPr>
          <w:rFonts w:hint="eastAsia"/>
          <w:color w:val="auto"/>
          <w:highlight w:val="none"/>
        </w:rPr>
        <w:t>3.项目资金管理情况分析</w:t>
      </w:r>
    </w:p>
    <w:p w14:paraId="500BE82D">
      <w:pPr>
        <w:pStyle w:val="54"/>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26EFE6F2">
      <w:pPr>
        <w:pStyle w:val="54"/>
        <w:spacing w:line="560" w:lineRule="exact"/>
        <w:ind w:leftChars="0" w:right="3" w:firstLine="562"/>
        <w:rPr>
          <w:b/>
          <w:color w:val="auto"/>
          <w:highlight w:val="none"/>
        </w:rPr>
      </w:pPr>
      <w:r>
        <w:rPr>
          <w:rFonts w:hint="eastAsia"/>
          <w:b/>
          <w:color w:val="auto"/>
          <w:highlight w:val="none"/>
        </w:rPr>
        <w:t>4.项目管理情况分析</w:t>
      </w:r>
    </w:p>
    <w:p w14:paraId="6F3B7927">
      <w:pPr>
        <w:pStyle w:val="54"/>
        <w:spacing w:line="580" w:lineRule="exact"/>
        <w:ind w:left="0" w:leftChars="0" w:right="3" w:firstLine="560"/>
        <w:rPr>
          <w:color w:val="auto"/>
          <w:highlight w:val="none"/>
        </w:rPr>
      </w:pPr>
      <w:r>
        <w:rPr>
          <w:rFonts w:hint="eastAsia"/>
          <w:color w:val="auto"/>
          <w:highlight w:val="none"/>
        </w:rPr>
        <w:t>在项目实施中，于田县木尕拉镇人民政府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38D34033">
      <w:pPr>
        <w:spacing w:line="580" w:lineRule="exact"/>
        <w:ind w:firstLine="546" w:firstLineChars="200"/>
        <w:rPr>
          <w:rStyle w:val="21"/>
          <w:rFonts w:ascii="楷体_GB2312" w:hAnsi="楷体" w:cs="Times New Roman"/>
          <w:spacing w:val="-4"/>
          <w:sz w:val="28"/>
          <w:szCs w:val="32"/>
          <w:highlight w:val="yellow"/>
        </w:rPr>
      </w:pPr>
      <w:r>
        <w:rPr>
          <w:rStyle w:val="21"/>
          <w:rFonts w:hint="eastAsia" w:ascii="楷体_GB2312" w:hAnsi="楷体" w:cs="Times New Roman"/>
          <w:spacing w:val="-4"/>
          <w:sz w:val="28"/>
          <w:szCs w:val="32"/>
          <w:highlight w:val="none"/>
        </w:rPr>
        <w:t>（二）绩效目标完成情况分析</w:t>
      </w:r>
    </w:p>
    <w:p w14:paraId="765DD9A5">
      <w:pPr>
        <w:pStyle w:val="54"/>
        <w:spacing w:line="580" w:lineRule="exact"/>
        <w:ind w:left="3" w:right="3" w:firstLine="560"/>
        <w:rPr>
          <w:color w:val="auto"/>
          <w:highlight w:val="none"/>
        </w:rPr>
      </w:pPr>
      <w:r>
        <w:rPr>
          <w:color w:val="auto"/>
          <w:highlight w:val="none"/>
        </w:rPr>
        <w:t>本项目在20</w:t>
      </w:r>
      <w:r>
        <w:rPr>
          <w:rFonts w:hint="eastAsia"/>
          <w:color w:val="auto"/>
          <w:highlight w:val="none"/>
          <w:lang w:val="en-US" w:eastAsia="zh-CN"/>
        </w:rPr>
        <w:t>24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月底，工程实际完成2000亩沙漠土地平整，滴灌管网及相应的配套设施，配套井</w:t>
      </w:r>
      <w:r>
        <w:rPr>
          <w:rFonts w:hint="eastAsia"/>
          <w:color w:val="auto"/>
          <w:highlight w:val="none"/>
          <w:lang w:val="en-US" w:eastAsia="zh-CN"/>
        </w:rPr>
        <w:t>3</w:t>
      </w:r>
      <w:r>
        <w:rPr>
          <w:rFonts w:hint="eastAsia"/>
          <w:color w:val="auto"/>
          <w:highlight w:val="none"/>
        </w:rPr>
        <w:t>座，电力设施5公里，砂石路5公里及配套设施，以及采购红柳大芸苗木60万棵。该工程已完成竣工验收。通过于田县木尕拉镇红柳大芸种植基地建设项目实施，完善</w:t>
      </w:r>
      <w:r>
        <w:rPr>
          <w:rFonts w:hint="eastAsia"/>
          <w:color w:val="auto"/>
          <w:highlight w:val="none"/>
          <w:lang w:val="en-US" w:eastAsia="zh-CN"/>
        </w:rPr>
        <w:t>农业水利</w:t>
      </w:r>
      <w:r>
        <w:rPr>
          <w:rFonts w:hint="eastAsia"/>
          <w:color w:val="auto"/>
          <w:highlight w:val="none"/>
        </w:rPr>
        <w:t>基础设施</w:t>
      </w:r>
      <w:r>
        <w:rPr>
          <w:rFonts w:hint="eastAsia"/>
          <w:color w:val="auto"/>
          <w:highlight w:val="none"/>
          <w:lang w:val="en-US" w:eastAsia="zh-CN"/>
        </w:rPr>
        <w:t>建设</w:t>
      </w:r>
      <w:r>
        <w:rPr>
          <w:rFonts w:hint="eastAsia"/>
          <w:color w:val="auto"/>
          <w:highlight w:val="none"/>
        </w:rPr>
        <w:t>，促进</w:t>
      </w:r>
      <w:r>
        <w:rPr>
          <w:rFonts w:hint="eastAsia"/>
          <w:color w:val="auto"/>
          <w:highlight w:val="none"/>
          <w:lang w:val="en-US" w:eastAsia="zh-CN"/>
        </w:rPr>
        <w:t>沙漠</w:t>
      </w:r>
      <w:r>
        <w:rPr>
          <w:rFonts w:hint="eastAsia"/>
          <w:color w:val="auto"/>
          <w:highlight w:val="none"/>
        </w:rPr>
        <w:t>区域</w:t>
      </w:r>
      <w:r>
        <w:rPr>
          <w:rFonts w:hint="eastAsia"/>
          <w:color w:val="auto"/>
          <w:highlight w:val="none"/>
          <w:lang w:val="en-US" w:eastAsia="zh-CN"/>
        </w:rPr>
        <w:t>土地</w:t>
      </w:r>
      <w:r>
        <w:rPr>
          <w:rFonts w:hint="eastAsia"/>
          <w:color w:val="auto"/>
          <w:highlight w:val="none"/>
        </w:rPr>
        <w:t>开发力度和</w:t>
      </w:r>
      <w:r>
        <w:rPr>
          <w:rFonts w:hint="eastAsia"/>
          <w:color w:val="auto"/>
          <w:highlight w:val="none"/>
          <w:lang w:val="en-US" w:eastAsia="zh-CN"/>
        </w:rPr>
        <w:t>基础设施</w:t>
      </w:r>
      <w:r>
        <w:rPr>
          <w:rFonts w:hint="eastAsia"/>
          <w:color w:val="auto"/>
          <w:highlight w:val="none"/>
        </w:rPr>
        <w:t>的建设，有力推动</w:t>
      </w:r>
      <w:r>
        <w:rPr>
          <w:rFonts w:hint="eastAsia"/>
          <w:color w:val="auto"/>
          <w:highlight w:val="none"/>
          <w:lang w:val="en-US" w:eastAsia="zh-CN"/>
        </w:rPr>
        <w:t>特色中药材种植</w:t>
      </w:r>
      <w:r>
        <w:rPr>
          <w:rFonts w:hint="eastAsia"/>
          <w:color w:val="auto"/>
          <w:highlight w:val="none"/>
        </w:rPr>
        <w:t>经济</w:t>
      </w:r>
      <w:r>
        <w:rPr>
          <w:rFonts w:hint="eastAsia"/>
          <w:color w:val="auto"/>
          <w:highlight w:val="none"/>
          <w:lang w:val="en-US" w:eastAsia="zh-CN"/>
        </w:rPr>
        <w:t>的</w:t>
      </w:r>
      <w:r>
        <w:rPr>
          <w:rFonts w:hint="eastAsia"/>
          <w:color w:val="auto"/>
          <w:highlight w:val="none"/>
        </w:rPr>
        <w:t>发展，且有利于</w:t>
      </w:r>
      <w:r>
        <w:rPr>
          <w:rFonts w:hint="eastAsia"/>
          <w:color w:val="auto"/>
          <w:highlight w:val="none"/>
          <w:lang w:val="en-US" w:eastAsia="zh-CN"/>
        </w:rPr>
        <w:t>帮助</w:t>
      </w:r>
      <w:r>
        <w:rPr>
          <w:rFonts w:hint="eastAsia"/>
          <w:color w:val="auto"/>
          <w:highlight w:val="none"/>
        </w:rPr>
        <w:t>村民的</w:t>
      </w:r>
      <w:r>
        <w:rPr>
          <w:rFonts w:hint="eastAsia"/>
          <w:color w:val="auto"/>
          <w:highlight w:val="none"/>
          <w:lang w:val="en-US" w:eastAsia="zh-CN"/>
        </w:rPr>
        <w:t>就业增收条件</w:t>
      </w:r>
      <w:r>
        <w:rPr>
          <w:rFonts w:hint="eastAsia"/>
          <w:color w:val="auto"/>
          <w:highlight w:val="none"/>
        </w:rPr>
        <w:t>，</w:t>
      </w:r>
      <w:r>
        <w:rPr>
          <w:rFonts w:hint="eastAsia"/>
          <w:color w:val="auto"/>
          <w:highlight w:val="none"/>
          <w:lang w:val="en-US" w:eastAsia="zh-CN"/>
        </w:rPr>
        <w:t>提升农牧民群众</w:t>
      </w:r>
      <w:r>
        <w:rPr>
          <w:rFonts w:hint="eastAsia"/>
          <w:color w:val="auto"/>
          <w:highlight w:val="none"/>
        </w:rPr>
        <w:t>幸福感，使其成为</w:t>
      </w:r>
      <w:r>
        <w:rPr>
          <w:rFonts w:hint="eastAsia"/>
          <w:color w:val="auto"/>
          <w:highlight w:val="none"/>
          <w:lang w:val="en-US" w:eastAsia="zh-CN"/>
        </w:rPr>
        <w:t>发展特色种植产业的基地，提升</w:t>
      </w:r>
      <w:r>
        <w:rPr>
          <w:rFonts w:hint="eastAsia"/>
          <w:color w:val="auto"/>
          <w:highlight w:val="none"/>
        </w:rPr>
        <w:t>经济发展</w:t>
      </w:r>
      <w:r>
        <w:rPr>
          <w:rFonts w:hint="eastAsia"/>
          <w:color w:val="auto"/>
          <w:highlight w:val="none"/>
          <w:lang w:val="en-US" w:eastAsia="zh-CN"/>
        </w:rPr>
        <w:t>效益的重要保障</w:t>
      </w:r>
      <w:r>
        <w:rPr>
          <w:rFonts w:hint="eastAsia"/>
          <w:color w:val="auto"/>
          <w:highlight w:val="none"/>
        </w:rPr>
        <w:t>。项目建设对于推进于田县</w:t>
      </w:r>
      <w:r>
        <w:rPr>
          <w:rFonts w:hint="eastAsia"/>
          <w:color w:val="auto"/>
          <w:highlight w:val="none"/>
          <w:lang w:val="en-US" w:eastAsia="zh-CN"/>
        </w:rPr>
        <w:t>防风固沙与特色种植产业经济发展具有</w:t>
      </w:r>
      <w:r>
        <w:rPr>
          <w:rFonts w:hint="eastAsia"/>
          <w:color w:val="auto"/>
          <w:highlight w:val="none"/>
        </w:rPr>
        <w:t>有重要意义。</w:t>
      </w:r>
    </w:p>
    <w:p w14:paraId="16A3C62B">
      <w:pPr>
        <w:pStyle w:val="54"/>
        <w:ind w:left="0" w:leftChars="0" w:right="0" w:rightChars="0" w:firstLine="560"/>
        <w:rPr>
          <w:color w:val="auto"/>
          <w:highlight w:val="none"/>
        </w:rPr>
      </w:pPr>
      <w:r>
        <w:rPr>
          <w:color w:val="auto"/>
          <w:highlight w:val="none"/>
        </w:rPr>
        <w:t>本</w:t>
      </w:r>
      <w:r>
        <w:rPr>
          <w:rFonts w:hint="eastAsia"/>
          <w:color w:val="auto"/>
          <w:highlight w:val="none"/>
        </w:rPr>
        <w:t>项</w:t>
      </w:r>
      <w:r>
        <w:rPr>
          <w:rFonts w:hint="eastAsia" w:ascii="仿宋_GB2312"/>
          <w:color w:val="auto"/>
          <w:szCs w:val="32"/>
          <w:highlight w:val="none"/>
        </w:rPr>
        <w:t>目共设置一级指标3个，二级指标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个，三级指标1</w:t>
      </w:r>
      <w:r>
        <w:rPr>
          <w:rFonts w:hint="eastAsia" w:ascii="仿宋_GB2312"/>
          <w:color w:val="auto"/>
          <w:szCs w:val="32"/>
          <w:highlight w:val="none"/>
          <w:lang w:val="en-US" w:eastAsia="zh-CN"/>
        </w:rPr>
        <w:t>4</w:t>
      </w:r>
      <w:r>
        <w:rPr>
          <w:rFonts w:hint="eastAsia" w:ascii="仿宋_GB2312"/>
          <w:color w:val="auto"/>
          <w:szCs w:val="32"/>
          <w:highlight w:val="none"/>
        </w:rPr>
        <w:t>个</w:t>
      </w:r>
      <w:r>
        <w:rPr>
          <w:rFonts w:hint="eastAsia"/>
          <w:color w:val="auto"/>
          <w:highlight w:val="none"/>
        </w:rPr>
        <w:t>，指标完成率为</w:t>
      </w:r>
      <w:r>
        <w:rPr>
          <w:rFonts w:hint="eastAsia"/>
          <w:color w:val="auto"/>
          <w:highlight w:val="none"/>
          <w:lang w:val="en-US" w:eastAsia="zh-CN"/>
        </w:rPr>
        <w:t>57.14</w:t>
      </w:r>
      <w:r>
        <w:rPr>
          <w:rFonts w:hint="eastAsia"/>
          <w:color w:val="auto"/>
          <w:highlight w:val="none"/>
        </w:rPr>
        <w:t>%，指标完成情况分析如下：</w:t>
      </w:r>
    </w:p>
    <w:p w14:paraId="4DD80689">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0BC05BB8">
      <w:pPr>
        <w:pStyle w:val="54"/>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05CFCCB0">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土地平整面积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2000亩</w:t>
      </w:r>
      <w:r>
        <w:rPr>
          <w:rFonts w:hint="eastAsia"/>
          <w:color w:val="auto"/>
          <w:highlight w:val="none"/>
        </w:rPr>
        <w:t>，全年实际值为</w:t>
      </w:r>
      <w:r>
        <w:rPr>
          <w:rFonts w:hint="eastAsia"/>
          <w:color w:val="auto"/>
          <w:highlight w:val="none"/>
          <w:lang w:val="en-US" w:eastAsia="zh-CN"/>
        </w:rPr>
        <w:t>2000亩</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 xml:space="preserve">分。 </w:t>
      </w:r>
      <w:r>
        <w:rPr>
          <w:color w:val="auto"/>
          <w:highlight w:val="none"/>
        </w:rPr>
        <w:t xml:space="preserve">             </w:t>
      </w:r>
    </w:p>
    <w:p w14:paraId="1D55D1F9">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配套井数量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2座</w:t>
      </w:r>
      <w:r>
        <w:rPr>
          <w:rFonts w:hint="eastAsia"/>
          <w:color w:val="auto"/>
          <w:highlight w:val="none"/>
        </w:rPr>
        <w:t>,全年实际值为</w:t>
      </w:r>
      <w:r>
        <w:rPr>
          <w:rFonts w:hint="eastAsia"/>
          <w:color w:val="auto"/>
          <w:highlight w:val="none"/>
          <w:lang w:val="en-US" w:eastAsia="zh-CN"/>
        </w:rPr>
        <w:t>3座</w:t>
      </w:r>
      <w:r>
        <w:rPr>
          <w:rFonts w:hint="eastAsia"/>
          <w:color w:val="auto"/>
          <w:highlight w:val="none"/>
        </w:rPr>
        <w:t>，指标完成率为</w:t>
      </w:r>
      <w:r>
        <w:rPr>
          <w:rFonts w:hint="eastAsia"/>
          <w:color w:val="auto"/>
          <w:highlight w:val="none"/>
          <w:lang w:val="en-US" w:eastAsia="zh-CN"/>
        </w:rPr>
        <w:t>50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2.5</w:t>
      </w:r>
      <w:r>
        <w:rPr>
          <w:rFonts w:hint="eastAsia"/>
          <w:color w:val="auto"/>
          <w:highlight w:val="none"/>
        </w:rPr>
        <w:t>分。偏差原因：由于供水需求量大，覆盖面积广，后期备案增加了1口井，改进措施：加强项目管理，加强预算和前期核算工作。</w:t>
      </w:r>
    </w:p>
    <w:p w14:paraId="40C56842">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采购红柳大芸苗木数量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60万棵</w:t>
      </w:r>
      <w:r>
        <w:rPr>
          <w:rFonts w:hint="eastAsia"/>
          <w:color w:val="auto"/>
          <w:highlight w:val="none"/>
        </w:rPr>
        <w:t>,全年实际值为</w:t>
      </w:r>
      <w:r>
        <w:rPr>
          <w:rFonts w:hint="eastAsia"/>
          <w:color w:val="auto"/>
          <w:highlight w:val="none"/>
          <w:lang w:val="en-US" w:eastAsia="zh-CN"/>
        </w:rPr>
        <w:t>60万棵</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B0808CD">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新建电力设施数量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5公里</w:t>
      </w:r>
      <w:r>
        <w:rPr>
          <w:rFonts w:hint="eastAsia"/>
          <w:color w:val="auto"/>
          <w:highlight w:val="none"/>
        </w:rPr>
        <w:t>,全年实际值为</w:t>
      </w:r>
      <w:r>
        <w:rPr>
          <w:rFonts w:hint="eastAsia"/>
          <w:color w:val="auto"/>
          <w:highlight w:val="none"/>
          <w:lang w:val="en-US" w:eastAsia="zh-CN"/>
        </w:rPr>
        <w:t>5公里</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83F7255">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新建砂石路数量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5公里</w:t>
      </w:r>
      <w:r>
        <w:rPr>
          <w:rFonts w:hint="eastAsia"/>
          <w:color w:val="auto"/>
          <w:highlight w:val="none"/>
        </w:rPr>
        <w:t>,全年实际值为</w:t>
      </w:r>
      <w:r>
        <w:rPr>
          <w:rFonts w:hint="eastAsia"/>
          <w:color w:val="auto"/>
          <w:highlight w:val="none"/>
          <w:lang w:val="en-US" w:eastAsia="zh-CN"/>
        </w:rPr>
        <w:t>5公里</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32460824">
      <w:pPr>
        <w:pStyle w:val="54"/>
        <w:spacing w:line="560" w:lineRule="exact"/>
        <w:ind w:left="640" w:leftChars="200" w:right="0" w:rightChars="0" w:firstLine="0" w:firstLineChars="0"/>
        <w:rPr>
          <w:color w:val="auto"/>
          <w:highlight w:val="none"/>
        </w:rPr>
      </w:pPr>
      <w:r>
        <w:rPr>
          <w:rFonts w:hint="eastAsia"/>
          <w:color w:val="auto"/>
          <w:highlight w:val="none"/>
        </w:rPr>
        <w:t>2.</w:t>
      </w:r>
      <w:r>
        <w:rPr>
          <w:color w:val="auto"/>
          <w:highlight w:val="none"/>
        </w:rPr>
        <w:t>项目完成</w:t>
      </w:r>
      <w:r>
        <w:rPr>
          <w:rFonts w:hint="eastAsia"/>
          <w:color w:val="auto"/>
          <w:highlight w:val="none"/>
        </w:rPr>
        <w:t>质量</w:t>
      </w:r>
    </w:p>
    <w:p w14:paraId="3EF3D004">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“项目（工程）验收合格率</w:t>
      </w:r>
      <w:r>
        <w:rPr>
          <w:rFonts w:hint="eastAsia"/>
          <w:color w:val="auto"/>
          <w:highlight w:val="none"/>
        </w:rPr>
        <w:t>”指标，预期指标值为100%,全年实际值为100% ，指标完成率为100%。所设分值</w:t>
      </w:r>
      <w:r>
        <w:rPr>
          <w:color w:val="auto"/>
          <w:highlight w:val="none"/>
        </w:rPr>
        <w:t>5</w:t>
      </w:r>
      <w:r>
        <w:rPr>
          <w:rFonts w:hint="eastAsia"/>
          <w:color w:val="auto"/>
          <w:highlight w:val="none"/>
        </w:rPr>
        <w:t>分，实际得分5分。</w:t>
      </w:r>
    </w:p>
    <w:p w14:paraId="75A81F58">
      <w:pPr>
        <w:pStyle w:val="54"/>
        <w:spacing w:line="560" w:lineRule="exact"/>
        <w:ind w:left="0" w:leftChars="0" w:right="0" w:rightChars="0" w:firstLine="560"/>
        <w:rPr>
          <w:rFonts w:hint="eastAsia" w:eastAsia="仿宋_GB2312"/>
          <w:color w:val="auto"/>
          <w:highlight w:val="none"/>
          <w:lang w:val="en-US" w:eastAsia="zh-CN"/>
        </w:rPr>
      </w:pPr>
      <w:r>
        <w:rPr>
          <w:rFonts w:hint="eastAsia"/>
          <w:color w:val="auto"/>
          <w:highlight w:val="none"/>
          <w:lang w:val="en-US" w:eastAsia="zh-CN"/>
        </w:rPr>
        <w:t>3.</w:t>
      </w:r>
      <w:r>
        <w:rPr>
          <w:color w:val="auto"/>
          <w:highlight w:val="none"/>
        </w:rPr>
        <w:t>项目完成</w:t>
      </w:r>
      <w:r>
        <w:rPr>
          <w:rFonts w:hint="eastAsia"/>
          <w:color w:val="auto"/>
          <w:highlight w:val="none"/>
          <w:lang w:val="en-US" w:eastAsia="zh-CN"/>
        </w:rPr>
        <w:t>时效</w:t>
      </w:r>
    </w:p>
    <w:p w14:paraId="1AFC9965">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”指标，预期指标值为100%,全年实际值为</w:t>
      </w:r>
      <w:r>
        <w:rPr>
          <w:rFonts w:hint="eastAsia"/>
          <w:color w:val="auto"/>
          <w:highlight w:val="none"/>
          <w:lang w:val="en-US" w:eastAsia="zh-CN"/>
        </w:rPr>
        <w:t>90.64</w:t>
      </w:r>
      <w:r>
        <w:rPr>
          <w:rFonts w:hint="eastAsia"/>
          <w:color w:val="auto"/>
          <w:highlight w:val="none"/>
        </w:rPr>
        <w:t>%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3.62</w:t>
      </w:r>
      <w:r>
        <w:rPr>
          <w:rFonts w:hint="eastAsia"/>
          <w:color w:val="auto"/>
          <w:highlight w:val="none"/>
        </w:rPr>
        <w:t>分。偏差原因：项目已完工，相关评估决算已完成，工程节概资金65.51万元。改进措施：加强项目建设资金管理。</w:t>
      </w:r>
    </w:p>
    <w:p w14:paraId="684F9B68">
      <w:pPr>
        <w:pStyle w:val="54"/>
        <w:spacing w:line="560" w:lineRule="exact"/>
        <w:ind w:left="0" w:leftChars="0" w:right="0" w:rightChars="0" w:firstLine="560"/>
        <w:rPr>
          <w:rFonts w:hint="eastAsia"/>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2</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月，指标完成率为</w:t>
      </w:r>
      <w:r>
        <w:rPr>
          <w:rFonts w:hint="eastAsia"/>
          <w:color w:val="auto"/>
          <w:highlight w:val="none"/>
          <w:lang w:val="en-US" w:eastAsia="zh-CN"/>
        </w:rPr>
        <w:t>50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2</w:t>
      </w:r>
      <w:r>
        <w:rPr>
          <w:rFonts w:hint="eastAsia"/>
          <w:color w:val="auto"/>
          <w:highlight w:val="none"/>
        </w:rPr>
        <w:t>分</w:t>
      </w:r>
      <w:r>
        <w:rPr>
          <w:rFonts w:hint="eastAsia"/>
          <w:color w:val="auto"/>
          <w:highlight w:val="none"/>
          <w:lang w:eastAsia="zh-CN"/>
        </w:rPr>
        <w:t>。</w:t>
      </w:r>
      <w:r>
        <w:rPr>
          <w:rFonts w:hint="eastAsia"/>
          <w:color w:val="auto"/>
          <w:highlight w:val="none"/>
        </w:rPr>
        <w:t>偏差原因：由于办理前期手续，导致未按期开工，改进措施：加强项目管理，加强施工进度。</w:t>
      </w:r>
    </w:p>
    <w:p w14:paraId="64E27FA5">
      <w:pPr>
        <w:pStyle w:val="54"/>
        <w:spacing w:line="560" w:lineRule="exact"/>
        <w:ind w:left="0" w:leftChars="0" w:right="0" w:rightChars="0" w:firstLine="560"/>
        <w:rPr>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5</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 ，指标完成率为</w:t>
      </w:r>
      <w:r>
        <w:rPr>
          <w:rFonts w:hint="eastAsia"/>
          <w:color w:val="auto"/>
          <w:highlight w:val="none"/>
          <w:lang w:val="en-US" w:eastAsia="zh-CN"/>
        </w:rPr>
        <w:t>75</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3</w:t>
      </w:r>
      <w:r>
        <w:rPr>
          <w:rFonts w:hint="eastAsia"/>
          <w:color w:val="auto"/>
          <w:highlight w:val="none"/>
        </w:rPr>
        <w:t>分。</w:t>
      </w:r>
    </w:p>
    <w:p w14:paraId="3E2EEDF3">
      <w:pPr>
        <w:pStyle w:val="54"/>
        <w:spacing w:line="560" w:lineRule="exact"/>
        <w:ind w:left="0" w:leftChars="0" w:right="0" w:rightChars="0" w:firstLine="560"/>
        <w:rPr>
          <w:color w:val="auto"/>
          <w:highlight w:val="none"/>
        </w:rPr>
      </w:pPr>
      <w:r>
        <w:rPr>
          <w:rFonts w:hint="eastAsia"/>
          <w:color w:val="auto"/>
          <w:highlight w:val="none"/>
        </w:rPr>
        <w:t>4.项目完成成本</w:t>
      </w:r>
    </w:p>
    <w:p w14:paraId="3BB02B29">
      <w:pPr>
        <w:pStyle w:val="54"/>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w:t>
      </w:r>
      <w:r>
        <w:rPr>
          <w:rFonts w:hint="eastAsia"/>
          <w:color w:val="auto"/>
          <w:highlight w:val="none"/>
          <w:lang w:val="en-US" w:eastAsia="zh-CN"/>
        </w:rPr>
        <w:t>性招标</w:t>
      </w:r>
      <w:r>
        <w:rPr>
          <w:rFonts w:hint="eastAsia"/>
          <w:color w:val="auto"/>
          <w:highlight w:val="none"/>
        </w:rPr>
        <w:t>的方式有效降低了项目执行成本，具体指标设置及完成情况如下：</w:t>
      </w:r>
    </w:p>
    <w:p w14:paraId="3D098C57">
      <w:pPr>
        <w:pStyle w:val="35"/>
        <w:rPr>
          <w:b/>
          <w:color w:val="auto"/>
          <w:highlight w:val="none"/>
        </w:rPr>
      </w:pPr>
      <w:r>
        <w:rPr>
          <w:rFonts w:hint="eastAsia"/>
          <w:color w:val="auto"/>
          <w:highlight w:val="none"/>
        </w:rPr>
        <w:t>“工程费用”指标，预期指标值为</w:t>
      </w:r>
      <w:r>
        <w:rPr>
          <w:rFonts w:hint="eastAsia"/>
          <w:color w:val="auto"/>
          <w:highlight w:val="none"/>
          <w:lang w:eastAsia="zh-CN"/>
        </w:rPr>
        <w:t>小于于等于</w:t>
      </w:r>
      <w:r>
        <w:rPr>
          <w:rFonts w:hint="eastAsia"/>
          <w:color w:val="auto"/>
          <w:highlight w:val="none"/>
          <w:lang w:val="en-US" w:eastAsia="zh-CN"/>
        </w:rPr>
        <w:t>619.82</w:t>
      </w:r>
      <w:r>
        <w:rPr>
          <w:rFonts w:hint="eastAsia"/>
          <w:color w:val="auto"/>
          <w:highlight w:val="none"/>
        </w:rPr>
        <w:t>万元, 全年实际值为</w:t>
      </w:r>
      <w:r>
        <w:rPr>
          <w:rFonts w:hint="eastAsia"/>
          <w:color w:val="auto"/>
          <w:highlight w:val="none"/>
          <w:lang w:val="en-US" w:eastAsia="zh-CN"/>
        </w:rPr>
        <w:t>587.11</w:t>
      </w:r>
      <w:r>
        <w:rPr>
          <w:rFonts w:hint="eastAsia"/>
          <w:color w:val="auto"/>
          <w:highlight w:val="none"/>
        </w:rPr>
        <w:t>万元，指标完成率为</w:t>
      </w:r>
      <w:r>
        <w:rPr>
          <w:rFonts w:hint="eastAsia"/>
          <w:color w:val="auto"/>
          <w:highlight w:val="none"/>
          <w:lang w:val="en-US" w:eastAsia="zh-CN"/>
        </w:rPr>
        <w:t>94.72</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3.78</w:t>
      </w:r>
      <w:r>
        <w:rPr>
          <w:rFonts w:hint="eastAsia"/>
          <w:color w:val="auto"/>
          <w:highlight w:val="none"/>
        </w:rPr>
        <w:t>。偏差原因：项目已完工，相关评估决算已完成，工程节概资金65.51万元。改进措施：加强项目建设资金管理。</w:t>
      </w:r>
    </w:p>
    <w:p w14:paraId="6A15968B">
      <w:pPr>
        <w:pStyle w:val="35"/>
        <w:rPr>
          <w:b/>
          <w:color w:val="auto"/>
          <w:highlight w:val="none"/>
        </w:rPr>
      </w:pPr>
      <w:r>
        <w:rPr>
          <w:rFonts w:hint="eastAsia"/>
          <w:color w:val="auto"/>
          <w:highlight w:val="none"/>
        </w:rPr>
        <w:t>“工程建设其他费用”指标，预期指标值为</w:t>
      </w:r>
      <w:r>
        <w:rPr>
          <w:rFonts w:hint="eastAsia"/>
          <w:color w:val="auto"/>
          <w:highlight w:val="none"/>
          <w:lang w:eastAsia="zh-CN"/>
        </w:rPr>
        <w:t>小于于等于</w:t>
      </w:r>
      <w:r>
        <w:rPr>
          <w:rFonts w:hint="eastAsia"/>
          <w:color w:val="auto"/>
          <w:highlight w:val="none"/>
          <w:lang w:val="en-US" w:eastAsia="zh-CN"/>
        </w:rPr>
        <w:t>80.18</w:t>
      </w:r>
      <w:r>
        <w:rPr>
          <w:rFonts w:hint="eastAsia"/>
          <w:color w:val="auto"/>
          <w:highlight w:val="none"/>
        </w:rPr>
        <w:t>万元, 全年实际值为</w:t>
      </w:r>
      <w:r>
        <w:rPr>
          <w:rFonts w:hint="eastAsia"/>
          <w:color w:val="auto"/>
          <w:highlight w:val="none"/>
          <w:lang w:val="en-US" w:eastAsia="zh-CN"/>
        </w:rPr>
        <w:t>47.38</w:t>
      </w:r>
      <w:r>
        <w:rPr>
          <w:rFonts w:hint="eastAsia"/>
          <w:color w:val="auto"/>
          <w:highlight w:val="none"/>
        </w:rPr>
        <w:t>万元，指标完成率为</w:t>
      </w:r>
      <w:r>
        <w:rPr>
          <w:rFonts w:hint="eastAsia"/>
          <w:color w:val="auto"/>
          <w:highlight w:val="none"/>
          <w:lang w:val="en-US" w:eastAsia="zh-CN"/>
        </w:rPr>
        <w:t>59.09</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2.35</w:t>
      </w:r>
      <w:r>
        <w:rPr>
          <w:rFonts w:hint="eastAsia"/>
          <w:color w:val="auto"/>
          <w:highlight w:val="none"/>
        </w:rPr>
        <w:t>分。偏差原因：项目已完工，相关评估决算已完成，工程节概资金65.51万元。改进措施：加强项目建设资金管理。</w:t>
      </w:r>
    </w:p>
    <w:p w14:paraId="3A0508D5">
      <w:pPr>
        <w:pStyle w:val="54"/>
        <w:spacing w:line="580" w:lineRule="exact"/>
        <w:ind w:left="0" w:leftChars="0" w:right="0" w:rightChars="0" w:firstLine="562"/>
        <w:rPr>
          <w:rFonts w:hint="eastAsia"/>
          <w:b/>
          <w:color w:val="auto"/>
          <w:highlight w:val="none"/>
        </w:rPr>
      </w:pPr>
      <w:r>
        <w:rPr>
          <w:rFonts w:hint="eastAsia"/>
          <w:b/>
          <w:color w:val="auto"/>
          <w:highlight w:val="none"/>
        </w:rPr>
        <w:t>2.效益指标完成情况分析</w:t>
      </w:r>
    </w:p>
    <w:p w14:paraId="306D421D">
      <w:pPr>
        <w:pStyle w:val="54"/>
        <w:spacing w:line="560" w:lineRule="exact"/>
        <w:ind w:left="0" w:leftChars="0" w:right="0" w:rightChars="0" w:firstLine="560"/>
        <w:rPr>
          <w:color w:val="auto"/>
          <w:highlight w:val="none"/>
        </w:rPr>
      </w:pPr>
      <w:r>
        <w:rPr>
          <w:color w:val="auto"/>
          <w:highlight w:val="none"/>
        </w:rPr>
        <w:t>2.1项目实施的</w:t>
      </w:r>
      <w:r>
        <w:rPr>
          <w:rFonts w:hint="eastAsia"/>
          <w:color w:val="auto"/>
          <w:highlight w:val="none"/>
        </w:rPr>
        <w:t>社会效益</w:t>
      </w:r>
      <w:r>
        <w:rPr>
          <w:color w:val="auto"/>
          <w:highlight w:val="none"/>
        </w:rPr>
        <w:t>分析</w:t>
      </w:r>
    </w:p>
    <w:p w14:paraId="5502890A">
      <w:pPr>
        <w:pStyle w:val="54"/>
        <w:spacing w:line="560" w:lineRule="exact"/>
        <w:ind w:left="0" w:leftChars="0" w:right="0" w:rightChars="0" w:firstLine="560"/>
        <w:rPr>
          <w:color w:val="auto"/>
          <w:highlight w:val="none"/>
        </w:rPr>
      </w:pPr>
      <w:r>
        <w:rPr>
          <w:rFonts w:hint="eastAsia"/>
          <w:color w:val="auto"/>
          <w:highlight w:val="none"/>
        </w:rPr>
        <w:t>“改善环境”指标，指标预期值为</w:t>
      </w:r>
      <w:r>
        <w:rPr>
          <w:rFonts w:hint="eastAsia"/>
          <w:color w:val="auto"/>
          <w:highlight w:val="none"/>
          <w:lang w:val="en-US" w:eastAsia="zh-CN"/>
        </w:rPr>
        <w:t>有效改善</w:t>
      </w:r>
      <w:r>
        <w:rPr>
          <w:rFonts w:hint="eastAsia"/>
          <w:color w:val="auto"/>
          <w:highlight w:val="none"/>
        </w:rPr>
        <w:t>，实际完成值为</w:t>
      </w:r>
      <w:r>
        <w:rPr>
          <w:rFonts w:hint="eastAsia"/>
          <w:color w:val="auto"/>
          <w:highlight w:val="none"/>
          <w:lang w:val="en-US" w:eastAsia="zh-CN"/>
        </w:rPr>
        <w:t>有效改善</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7886E88E">
      <w:pPr>
        <w:pStyle w:val="35"/>
        <w:rPr>
          <w:rFonts w:hint="eastAsia" w:ascii="Times New Roman" w:hAnsi="Times New Roman" w:eastAsia="仿宋_GB2312" w:cs="Times New Roman"/>
          <w:b/>
          <w:color w:val="auto"/>
          <w:kern w:val="2"/>
          <w:sz w:val="28"/>
          <w:szCs w:val="22"/>
          <w:highlight w:val="none"/>
          <w:lang w:val="en-US" w:eastAsia="zh-CN" w:bidi="ar-SA"/>
        </w:rPr>
      </w:pPr>
      <w:r>
        <w:rPr>
          <w:color w:val="auto"/>
          <w:highlight w:val="none"/>
        </w:rPr>
        <w:t>2.</w:t>
      </w:r>
      <w:r>
        <w:rPr>
          <w:rFonts w:hint="eastAsia"/>
          <w:color w:val="auto"/>
          <w:highlight w:val="none"/>
          <w:lang w:val="en-US" w:eastAsia="zh-CN"/>
        </w:rPr>
        <w:t>2</w:t>
      </w:r>
      <w:r>
        <w:rPr>
          <w:color w:val="auto"/>
          <w:highlight w:val="none"/>
        </w:rPr>
        <w:t>项目实施的</w:t>
      </w:r>
      <w:r>
        <w:rPr>
          <w:rFonts w:hint="eastAsia"/>
          <w:color w:val="auto"/>
          <w:highlight w:val="none"/>
          <w:lang w:val="en-US" w:eastAsia="zh-CN"/>
        </w:rPr>
        <w:t>生态</w:t>
      </w:r>
      <w:r>
        <w:rPr>
          <w:rFonts w:hint="eastAsia"/>
          <w:color w:val="auto"/>
          <w:highlight w:val="none"/>
        </w:rPr>
        <w:t>效益</w:t>
      </w:r>
      <w:r>
        <w:rPr>
          <w:color w:val="auto"/>
          <w:highlight w:val="none"/>
        </w:rPr>
        <w:t>分析</w:t>
      </w:r>
    </w:p>
    <w:p w14:paraId="2E279402">
      <w:pPr>
        <w:pStyle w:val="35"/>
        <w:rPr>
          <w:rFonts w:hint="eastAsia" w:ascii="Times New Roman" w:hAnsi="Times New Roman" w:eastAsia="仿宋_GB2312" w:cs="Times New Roman"/>
          <w:b/>
          <w:color w:val="auto"/>
          <w:kern w:val="2"/>
          <w:sz w:val="28"/>
          <w:szCs w:val="22"/>
          <w:highlight w:val="none"/>
          <w:lang w:val="en-US" w:eastAsia="zh-CN" w:bidi="ar-SA"/>
        </w:rPr>
      </w:pPr>
      <w:r>
        <w:rPr>
          <w:rFonts w:hint="eastAsia"/>
          <w:color w:val="auto"/>
          <w:highlight w:val="none"/>
        </w:rPr>
        <w:t>“改善</w:t>
      </w:r>
      <w:r>
        <w:rPr>
          <w:rFonts w:hint="eastAsia"/>
          <w:color w:val="auto"/>
          <w:highlight w:val="none"/>
          <w:lang w:val="en-US" w:eastAsia="zh-CN"/>
        </w:rPr>
        <w:t>当地生态</w:t>
      </w:r>
      <w:r>
        <w:rPr>
          <w:rFonts w:hint="eastAsia"/>
          <w:color w:val="auto"/>
          <w:highlight w:val="none"/>
        </w:rPr>
        <w:t>环境、</w:t>
      </w:r>
      <w:r>
        <w:rPr>
          <w:rFonts w:hint="eastAsia"/>
          <w:color w:val="auto"/>
          <w:highlight w:val="none"/>
          <w:lang w:val="en-US" w:eastAsia="zh-CN"/>
        </w:rPr>
        <w:t>减少沙尘暴</w:t>
      </w:r>
      <w:r>
        <w:rPr>
          <w:rFonts w:hint="eastAsia"/>
          <w:color w:val="auto"/>
          <w:highlight w:val="none"/>
        </w:rPr>
        <w:t>”指标，指标预期值为</w:t>
      </w:r>
      <w:r>
        <w:rPr>
          <w:rFonts w:hint="eastAsia"/>
          <w:color w:val="auto"/>
          <w:highlight w:val="none"/>
          <w:lang w:val="en-US" w:eastAsia="zh-CN"/>
        </w:rPr>
        <w:t>有效改善</w:t>
      </w:r>
      <w:r>
        <w:rPr>
          <w:rFonts w:hint="eastAsia"/>
          <w:color w:val="auto"/>
          <w:highlight w:val="none"/>
        </w:rPr>
        <w:t>，实际完成值为</w:t>
      </w:r>
      <w:r>
        <w:rPr>
          <w:rFonts w:hint="eastAsia"/>
          <w:color w:val="auto"/>
          <w:highlight w:val="none"/>
          <w:lang w:val="en-US" w:eastAsia="zh-CN"/>
        </w:rPr>
        <w:t>有效改善</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4592488B">
      <w:pPr>
        <w:pStyle w:val="35"/>
        <w:rPr>
          <w:color w:val="auto"/>
          <w:highlight w:val="none"/>
        </w:rPr>
      </w:pPr>
      <w:r>
        <w:rPr>
          <w:rFonts w:hint="eastAsia" w:ascii="Times New Roman" w:hAnsi="Times New Roman" w:eastAsia="仿宋_GB2312" w:cs="Times New Roman"/>
          <w:b/>
          <w:color w:val="auto"/>
          <w:kern w:val="2"/>
          <w:sz w:val="28"/>
          <w:szCs w:val="22"/>
          <w:highlight w:val="none"/>
          <w:lang w:val="en-US" w:eastAsia="zh-CN" w:bidi="ar-SA"/>
        </w:rPr>
        <w:t>3.满意度指标完成情况分析</w:t>
      </w:r>
    </w:p>
    <w:p w14:paraId="2BD28E2B">
      <w:pPr>
        <w:spacing w:line="560" w:lineRule="exact"/>
        <w:ind w:firstLine="544" w:firstLineChars="200"/>
        <w:rPr>
          <w:rFonts w:ascii="仿宋_GB2312" w:hAnsi="Times New Roman" w:eastAsia="仿宋_GB2312" w:cs="Times New Roman"/>
          <w:bCs/>
          <w:spacing w:val="-4"/>
          <w:sz w:val="28"/>
          <w:szCs w:val="28"/>
          <w:highlight w:val="none"/>
        </w:rPr>
      </w:pPr>
      <w:r>
        <w:rPr>
          <w:rFonts w:hint="eastAsia" w:ascii="仿宋_GB2312" w:hAnsi="Times New Roman" w:eastAsia="仿宋_GB2312" w:cs="Times New Roman"/>
          <w:bCs/>
          <w:spacing w:val="-4"/>
          <w:sz w:val="28"/>
          <w:szCs w:val="28"/>
          <w:highlight w:val="none"/>
        </w:rPr>
        <w:t>“项目</w:t>
      </w:r>
      <w:r>
        <w:rPr>
          <w:rFonts w:hint="eastAsia" w:ascii="仿宋_GB2312" w:hAnsi="Times New Roman" w:eastAsia="仿宋_GB2312" w:cs="Times New Roman"/>
          <w:bCs/>
          <w:spacing w:val="-4"/>
          <w:sz w:val="28"/>
          <w:szCs w:val="28"/>
          <w:highlight w:val="none"/>
          <w:lang w:val="en-US" w:eastAsia="zh-CN"/>
        </w:rPr>
        <w:t>受益村</w:t>
      </w:r>
      <w:r>
        <w:rPr>
          <w:rFonts w:hint="eastAsia" w:ascii="仿宋_GB2312" w:hAnsi="Times New Roman" w:eastAsia="仿宋_GB2312" w:cs="Times New Roman"/>
          <w:bCs/>
          <w:spacing w:val="-4"/>
          <w:sz w:val="28"/>
          <w:szCs w:val="28"/>
          <w:highlight w:val="none"/>
        </w:rPr>
        <w:t>民满意度”指标，指标预期指标值为</w:t>
      </w:r>
      <w:r>
        <w:rPr>
          <w:rFonts w:hint="eastAsia" w:ascii="仿宋_GB2312" w:hAnsi="Times New Roman" w:eastAsia="仿宋_GB2312" w:cs="Times New Roman"/>
          <w:bCs/>
          <w:spacing w:val="-4"/>
          <w:sz w:val="28"/>
          <w:szCs w:val="28"/>
          <w:highlight w:val="none"/>
          <w:lang w:eastAsia="zh-CN"/>
        </w:rPr>
        <w:t>大于等于</w:t>
      </w:r>
      <w:r>
        <w:rPr>
          <w:rFonts w:hint="eastAsia" w:ascii="仿宋_GB2312" w:hAnsi="Times New Roman" w:eastAsia="仿宋_GB2312" w:cs="Times New Roman"/>
          <w:bCs/>
          <w:spacing w:val="-4"/>
          <w:sz w:val="28"/>
          <w:szCs w:val="28"/>
          <w:highlight w:val="none"/>
        </w:rPr>
        <w:t>95%，实际完成值为95%，指标完成率为100.00%。所设分值10分，实际得分10分。</w:t>
      </w:r>
    </w:p>
    <w:p w14:paraId="20ED2551">
      <w:pPr>
        <w:pStyle w:val="31"/>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14:paraId="2BD4AA7A">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08FBFEFC">
      <w:pPr>
        <w:pStyle w:val="54"/>
        <w:spacing w:line="560" w:lineRule="exact"/>
        <w:ind w:left="3" w:right="3" w:firstLine="552"/>
        <w:rPr>
          <w:rFonts w:ascii="仿宋_GB2312"/>
          <w:color w:val="auto"/>
          <w:spacing w:val="-4"/>
          <w:szCs w:val="32"/>
          <w:highlight w:val="none"/>
        </w:rPr>
      </w:pPr>
      <w:r>
        <w:rPr>
          <w:rFonts w:hint="eastAsia" w:ascii="仿宋_GB2312"/>
          <w:color w:val="auto"/>
          <w:spacing w:val="-4"/>
          <w:szCs w:val="32"/>
          <w:highlight w:val="none"/>
        </w:rPr>
        <w:t>1.</w:t>
      </w:r>
      <w:r>
        <w:rPr>
          <w:rFonts w:hint="eastAsia" w:ascii="仿宋_GB2312"/>
          <w:color w:val="auto"/>
          <w:spacing w:val="-4"/>
          <w:szCs w:val="32"/>
          <w:highlight w:val="none"/>
          <w:lang w:val="en-US" w:eastAsia="zh-CN"/>
        </w:rPr>
        <w:t>时效指标-</w:t>
      </w:r>
      <w:r>
        <w:rPr>
          <w:rFonts w:hint="eastAsia"/>
          <w:color w:val="auto"/>
          <w:highlight w:val="none"/>
        </w:rPr>
        <w:t>“</w:t>
      </w:r>
      <w:r>
        <w:rPr>
          <w:rFonts w:hint="eastAsia"/>
          <w:color w:val="auto"/>
          <w:highlight w:val="none"/>
          <w:lang w:val="en-US" w:eastAsia="zh-CN"/>
        </w:rPr>
        <w:t>项目开工时间</w:t>
      </w:r>
      <w:r>
        <w:rPr>
          <w:rFonts w:hint="eastAsia"/>
          <w:color w:val="auto"/>
          <w:highlight w:val="none"/>
        </w:rPr>
        <w:t>”指标，预期指标值为</w:t>
      </w:r>
      <w:r>
        <w:rPr>
          <w:rFonts w:hint="eastAsia"/>
          <w:color w:val="auto"/>
          <w:highlight w:val="none"/>
          <w:lang w:val="en-US" w:eastAsia="zh-CN"/>
        </w:rPr>
        <w:t>2024年2月</w:t>
      </w:r>
      <w:r>
        <w:rPr>
          <w:rFonts w:hint="eastAsia"/>
          <w:color w:val="auto"/>
          <w:highlight w:val="none"/>
          <w:lang w:eastAsia="zh-CN"/>
        </w:rPr>
        <w:t>，</w:t>
      </w:r>
      <w:r>
        <w:rPr>
          <w:rFonts w:hint="eastAsia"/>
          <w:color w:val="auto"/>
          <w:highlight w:val="none"/>
        </w:rPr>
        <w:t>全年实际值为</w:t>
      </w:r>
      <w:r>
        <w:rPr>
          <w:rFonts w:hint="eastAsia"/>
          <w:color w:val="auto"/>
          <w:highlight w:val="none"/>
          <w:lang w:val="en-US" w:eastAsia="zh-CN"/>
        </w:rPr>
        <w:t>2024年4月</w:t>
      </w:r>
      <w:r>
        <w:rPr>
          <w:rFonts w:hint="eastAsia" w:ascii="仿宋_GB2312"/>
          <w:color w:val="auto"/>
          <w:spacing w:val="-4"/>
          <w:szCs w:val="32"/>
          <w:highlight w:val="none"/>
        </w:rPr>
        <w:t>。</w:t>
      </w:r>
    </w:p>
    <w:p w14:paraId="11114C84">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偏差原因：由于办理前期手续，导致未按期开工，改进措施：加强项目管理，加强施工进度。</w:t>
      </w:r>
    </w:p>
    <w:p w14:paraId="44203E49">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2.数量指标-</w:t>
      </w:r>
      <w:r>
        <w:rPr>
          <w:rFonts w:hint="eastAsia"/>
          <w:color w:val="auto"/>
          <w:highlight w:val="none"/>
        </w:rPr>
        <w:t>“</w:t>
      </w:r>
      <w:r>
        <w:rPr>
          <w:rFonts w:hint="eastAsia"/>
          <w:color w:val="auto"/>
          <w:highlight w:val="none"/>
          <w:lang w:val="en-US" w:eastAsia="zh-CN"/>
        </w:rPr>
        <w:t>配套井数量</w:t>
      </w:r>
      <w:r>
        <w:rPr>
          <w:rFonts w:hint="eastAsia"/>
          <w:color w:val="auto"/>
          <w:highlight w:val="none"/>
        </w:rPr>
        <w:t>（</w:t>
      </w:r>
      <w:r>
        <w:rPr>
          <w:rFonts w:hint="eastAsia"/>
          <w:color w:val="auto"/>
          <w:highlight w:val="none"/>
          <w:lang w:val="en-US" w:eastAsia="zh-CN"/>
        </w:rPr>
        <w:t>座</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2座</w:t>
      </w:r>
      <w:r>
        <w:rPr>
          <w:rFonts w:hint="eastAsia"/>
          <w:color w:val="auto"/>
          <w:highlight w:val="none"/>
        </w:rPr>
        <w:t>,全年实际值为</w:t>
      </w:r>
      <w:r>
        <w:rPr>
          <w:rFonts w:hint="eastAsia"/>
          <w:color w:val="auto"/>
          <w:highlight w:val="none"/>
          <w:lang w:val="en-US" w:eastAsia="zh-CN"/>
        </w:rPr>
        <w:t>3座</w:t>
      </w:r>
      <w:r>
        <w:rPr>
          <w:rFonts w:hint="eastAsia"/>
          <w:color w:val="auto"/>
          <w:highlight w:val="none"/>
        </w:rPr>
        <w:t>。</w:t>
      </w:r>
    </w:p>
    <w:p w14:paraId="6A6D4AFB">
      <w:pPr>
        <w:pStyle w:val="54"/>
        <w:spacing w:line="560" w:lineRule="exact"/>
        <w:ind w:left="3" w:right="3" w:firstLine="552"/>
        <w:rPr>
          <w:rFonts w:hint="eastAsia"/>
          <w:color w:val="auto"/>
          <w:highlight w:val="none"/>
        </w:rPr>
      </w:pPr>
      <w:r>
        <w:rPr>
          <w:rFonts w:hint="eastAsia"/>
          <w:color w:val="auto"/>
          <w:highlight w:val="none"/>
        </w:rPr>
        <w:t>偏差原因：由于供水需求量大，覆盖面积广，后期备案增加了1口井，改进措施：加强项目管理，加强预算和前期核算工作</w:t>
      </w:r>
      <w:r>
        <w:rPr>
          <w:rFonts w:hint="eastAsia"/>
          <w:color w:val="auto"/>
          <w:highlight w:val="none"/>
          <w:lang w:eastAsia="zh-CN"/>
        </w:rPr>
        <w:t>，</w:t>
      </w:r>
      <w:r>
        <w:rPr>
          <w:rFonts w:hint="eastAsia"/>
          <w:color w:val="auto"/>
          <w:highlight w:val="none"/>
          <w:lang w:val="en-US" w:eastAsia="zh-CN"/>
        </w:rPr>
        <w:t>精准计算前期</w:t>
      </w:r>
      <w:r>
        <w:rPr>
          <w:rFonts w:hint="eastAsia"/>
          <w:color w:val="auto"/>
          <w:highlight w:val="none"/>
        </w:rPr>
        <w:t>。</w:t>
      </w:r>
    </w:p>
    <w:p w14:paraId="4E21C205">
      <w:pPr>
        <w:pStyle w:val="54"/>
        <w:numPr>
          <w:ilvl w:val="0"/>
          <w:numId w:val="1"/>
        </w:numPr>
        <w:spacing w:line="560" w:lineRule="exact"/>
        <w:ind w:left="3" w:right="3" w:firstLine="552"/>
        <w:rPr>
          <w:rFonts w:hint="eastAsia"/>
          <w:color w:val="auto"/>
          <w:highlight w:val="none"/>
          <w:lang w:eastAsia="zh-CN"/>
        </w:rPr>
      </w:pPr>
      <w:r>
        <w:rPr>
          <w:rFonts w:hint="eastAsia"/>
          <w:color w:val="auto"/>
          <w:highlight w:val="none"/>
          <w:lang w:val="en-US" w:eastAsia="zh-CN"/>
        </w:rPr>
        <w:t>成本指标-</w:t>
      </w:r>
      <w:r>
        <w:rPr>
          <w:rFonts w:hint="eastAsia"/>
          <w:color w:val="auto"/>
          <w:highlight w:val="none"/>
        </w:rPr>
        <w:t>“工程费用”指标，预期指标值为</w:t>
      </w:r>
      <w:r>
        <w:rPr>
          <w:rFonts w:hint="eastAsia"/>
          <w:color w:val="auto"/>
          <w:highlight w:val="none"/>
          <w:lang w:eastAsia="zh-CN"/>
        </w:rPr>
        <w:t>小于于等于</w:t>
      </w:r>
      <w:r>
        <w:rPr>
          <w:rFonts w:hint="eastAsia"/>
          <w:color w:val="auto"/>
          <w:highlight w:val="none"/>
          <w:lang w:val="en-US" w:eastAsia="zh-CN"/>
        </w:rPr>
        <w:t>619.82</w:t>
      </w:r>
      <w:r>
        <w:rPr>
          <w:rFonts w:hint="eastAsia"/>
          <w:color w:val="auto"/>
          <w:highlight w:val="none"/>
        </w:rPr>
        <w:t>万元, 全年实际值为</w:t>
      </w:r>
      <w:r>
        <w:rPr>
          <w:rFonts w:hint="eastAsia"/>
          <w:color w:val="auto"/>
          <w:highlight w:val="none"/>
          <w:lang w:val="en-US" w:eastAsia="zh-CN"/>
        </w:rPr>
        <w:t>587.11</w:t>
      </w:r>
      <w:r>
        <w:rPr>
          <w:rFonts w:hint="eastAsia"/>
          <w:color w:val="auto"/>
          <w:highlight w:val="none"/>
        </w:rPr>
        <w:t>万元</w:t>
      </w:r>
      <w:r>
        <w:rPr>
          <w:rFonts w:hint="eastAsia"/>
          <w:color w:val="auto"/>
          <w:highlight w:val="none"/>
          <w:lang w:eastAsia="zh-CN"/>
        </w:rPr>
        <w:t>。</w:t>
      </w:r>
    </w:p>
    <w:p w14:paraId="13ACCAF9">
      <w:pPr>
        <w:pStyle w:val="54"/>
        <w:numPr>
          <w:ilvl w:val="0"/>
          <w:numId w:val="0"/>
        </w:numPr>
        <w:spacing w:line="560" w:lineRule="exact"/>
        <w:ind w:right="3" w:rightChars="1" w:firstLine="840" w:firstLineChars="300"/>
        <w:rPr>
          <w:rFonts w:hint="eastAsia" w:ascii="仿宋_GB2312" w:eastAsia="仿宋_GB2312"/>
          <w:color w:val="auto"/>
          <w:spacing w:val="-4"/>
          <w:szCs w:val="32"/>
          <w:highlight w:val="none"/>
          <w:lang w:val="en-US" w:eastAsia="zh-CN"/>
        </w:rPr>
      </w:pPr>
      <w:r>
        <w:rPr>
          <w:rFonts w:hint="eastAsia"/>
          <w:color w:val="auto"/>
          <w:highlight w:val="none"/>
          <w:lang w:eastAsia="zh-CN"/>
        </w:rPr>
        <w:t>偏差原因：项目已完工，相关评估决算已完成，工程节概资金65.51万元。改进措施：加强项目建设资金管理。</w:t>
      </w:r>
    </w:p>
    <w:p w14:paraId="7114B0DC">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58F2847F">
      <w:pPr>
        <w:pStyle w:val="54"/>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项目本次评价通过文件研读、实地调研、数据采集、问卷调查方式下，全面了解于田县木尕拉镇红柳大芸种植基地建设项目资金的使用效率和效果，从而得出以下综合评价结论：在绩效目标方面，本项目</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7</w:t>
      </w:r>
      <w:r>
        <w:rPr>
          <w:rFonts w:hint="eastAsia" w:ascii="仿宋_GB2312"/>
          <w:color w:val="auto"/>
          <w:szCs w:val="32"/>
          <w:highlight w:val="none"/>
        </w:rPr>
        <w:t>个，三级指标</w:t>
      </w:r>
      <w:r>
        <w:rPr>
          <w:rFonts w:hint="eastAsia" w:ascii="仿宋_GB2312"/>
          <w:color w:val="auto"/>
          <w:szCs w:val="32"/>
          <w:highlight w:val="none"/>
          <w:lang w:val="en-US" w:eastAsia="zh-CN"/>
        </w:rPr>
        <w:t>14</w:t>
      </w:r>
      <w:r>
        <w:rPr>
          <w:rFonts w:hint="eastAsia" w:ascii="仿宋_GB2312"/>
          <w:color w:val="auto"/>
          <w:szCs w:val="32"/>
          <w:highlight w:val="none"/>
        </w:rPr>
        <w:t>个,</w:t>
      </w:r>
      <w:r>
        <w:rPr>
          <w:rFonts w:hint="eastAsia" w:ascii="仿宋_GB2312"/>
          <w:color w:val="auto"/>
          <w:highlight w:val="none"/>
        </w:rPr>
        <w:t>其中已完成三级指标</w:t>
      </w:r>
      <w:r>
        <w:rPr>
          <w:rFonts w:hint="eastAsia" w:ascii="仿宋_GB2312"/>
          <w:color w:val="auto"/>
          <w:highlight w:val="none"/>
          <w:lang w:val="en-US" w:eastAsia="zh-CN"/>
        </w:rPr>
        <w:t>8</w:t>
      </w:r>
      <w:r>
        <w:rPr>
          <w:rFonts w:hint="eastAsia" w:ascii="仿宋_GB2312"/>
          <w:color w:val="auto"/>
          <w:highlight w:val="none"/>
        </w:rPr>
        <w:t>个，指标完成率为</w:t>
      </w:r>
      <w:r>
        <w:rPr>
          <w:rFonts w:hint="eastAsia" w:ascii="仿宋_GB2312"/>
          <w:color w:val="auto"/>
          <w:highlight w:val="none"/>
          <w:lang w:val="en-US" w:eastAsia="zh-CN"/>
        </w:rPr>
        <w:t>57.14</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资金财务管理制度》、《于田县木尕拉镇人民政府财务管理制度》执行，保障了资金使用规范、安全，无挪用、截留资金的情况发生。在项目管理方面，制定了《</w:t>
      </w:r>
      <w:r>
        <w:rPr>
          <w:rFonts w:hint="eastAsia" w:ascii="仿宋_GB2312"/>
          <w:color w:val="auto"/>
          <w:highlight w:val="none"/>
          <w:lang w:eastAsia="zh-CN"/>
        </w:rPr>
        <w:t>于田县木尕拉镇红柳大芸种植基地建设项目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00EF1923">
      <w:pPr>
        <w:pStyle w:val="54"/>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91.31</w:t>
      </w:r>
      <w:r>
        <w:rPr>
          <w:rFonts w:hint="eastAsia" w:ascii="仿宋_GB2312"/>
          <w:color w:val="auto"/>
          <w:highlight w:val="none"/>
        </w:rPr>
        <w:t>分，评价等级为优。</w:t>
      </w:r>
    </w:p>
    <w:p w14:paraId="1F78C8FB">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89DFF7C">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17A70E7">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（二）指标佐证材料说明</w:t>
      </w:r>
    </w:p>
    <w:p w14:paraId="5E322102">
      <w:pPr>
        <w:pStyle w:val="54"/>
        <w:spacing w:line="560" w:lineRule="exact"/>
        <w:ind w:left="3" w:right="3" w:firstLine="560"/>
        <w:rPr>
          <w:rFonts w:ascii="仿宋_GB2312"/>
          <w:color w:val="auto"/>
          <w:highlight w:val="yellow"/>
        </w:rPr>
      </w:pPr>
      <w:r>
        <w:rPr>
          <w:rFonts w:hint="eastAsia" w:ascii="仿宋_GB2312"/>
          <w:color w:val="auto"/>
          <w:highlight w:val="none"/>
        </w:rPr>
        <w:t>项目状况：于田县木尕拉镇人民政府</w:t>
      </w:r>
      <w:r>
        <w:rPr>
          <w:rFonts w:hint="eastAsia" w:ascii="仿宋_GB2312"/>
          <w:color w:val="auto"/>
          <w:highlight w:val="none"/>
          <w:lang w:val="en-US" w:eastAsia="zh-CN"/>
        </w:rPr>
        <w:t>委托设计院</w:t>
      </w:r>
      <w:r>
        <w:rPr>
          <w:rFonts w:hint="eastAsia" w:ascii="仿宋_GB2312"/>
          <w:color w:val="auto"/>
          <w:highlight w:val="none"/>
        </w:rPr>
        <w:t>负责项目的实施方案</w:t>
      </w:r>
      <w:r>
        <w:rPr>
          <w:rFonts w:hint="eastAsia" w:ascii="仿宋_GB2312"/>
          <w:color w:val="auto"/>
          <w:highlight w:val="none"/>
          <w:lang w:val="en-US" w:eastAsia="zh-CN"/>
        </w:rPr>
        <w:t>编制</w:t>
      </w:r>
      <w:r>
        <w:rPr>
          <w:rFonts w:hint="eastAsia" w:ascii="仿宋_GB2312"/>
          <w:color w:val="auto"/>
          <w:highlight w:val="none"/>
        </w:rPr>
        <w:t>，并由</w:t>
      </w:r>
      <w:r>
        <w:rPr>
          <w:rFonts w:hint="eastAsia" w:ascii="仿宋_GB2312"/>
          <w:color w:val="auto"/>
          <w:szCs w:val="32"/>
          <w:highlight w:val="none"/>
        </w:rPr>
        <w:t>于田县</w:t>
      </w:r>
      <w:r>
        <w:rPr>
          <w:rFonts w:hint="eastAsia" w:ascii="仿宋_GB2312"/>
          <w:color w:val="auto"/>
          <w:szCs w:val="32"/>
          <w:highlight w:val="none"/>
          <w:lang w:val="en-US" w:eastAsia="zh-CN"/>
        </w:rPr>
        <w:t>林业和草原局审核</w:t>
      </w:r>
      <w:r>
        <w:rPr>
          <w:rFonts w:hint="eastAsia" w:ascii="仿宋_GB2312"/>
          <w:color w:val="auto"/>
          <w:szCs w:val="32"/>
          <w:highlight w:val="none"/>
        </w:rPr>
        <w:t>下发的《关于于田县木尕拉镇红柳大芸种植基地建设项目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林草项</w:t>
      </w:r>
      <w:r>
        <w:rPr>
          <w:rFonts w:hint="eastAsia" w:ascii="仿宋_GB2312"/>
          <w:color w:val="auto"/>
          <w:szCs w:val="32"/>
          <w:highlight w:val="none"/>
        </w:rPr>
        <w:t>[20</w:t>
      </w:r>
      <w:r>
        <w:rPr>
          <w:rFonts w:hint="eastAsia" w:ascii="仿宋_GB2312"/>
          <w:color w:val="auto"/>
          <w:szCs w:val="32"/>
          <w:highlight w:val="none"/>
          <w:lang w:val="en-US" w:eastAsia="zh-CN"/>
        </w:rPr>
        <w:t>24</w:t>
      </w:r>
      <w:r>
        <w:rPr>
          <w:rFonts w:hint="eastAsia" w:ascii="仿宋_GB2312"/>
          <w:color w:val="auto"/>
          <w:szCs w:val="32"/>
          <w:highlight w:val="none"/>
        </w:rPr>
        <w:t>]</w:t>
      </w:r>
      <w:r>
        <w:rPr>
          <w:rFonts w:hint="eastAsia" w:ascii="仿宋_GB2312"/>
          <w:color w:val="auto"/>
          <w:szCs w:val="32"/>
          <w:highlight w:val="none"/>
          <w:lang w:val="en-US" w:eastAsia="zh-CN"/>
        </w:rPr>
        <w:t>20</w:t>
      </w:r>
      <w:r>
        <w:rPr>
          <w:rFonts w:hint="eastAsia" w:ascii="仿宋_GB2312"/>
          <w:color w:val="auto"/>
          <w:szCs w:val="32"/>
          <w:highlight w:val="none"/>
        </w:rPr>
        <w:t>号</w:t>
      </w:r>
      <w:r>
        <w:rPr>
          <w:rFonts w:hint="eastAsia" w:ascii="仿宋_GB2312"/>
          <w:color w:val="auto"/>
          <w:highlight w:val="none"/>
        </w:rPr>
        <w:t>）。</w:t>
      </w:r>
    </w:p>
    <w:p w14:paraId="3D273BF4">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资金状况：预算资金来源为以乡村振兴衔接资金，文件依据：</w:t>
      </w:r>
      <w:r>
        <w:rPr>
          <w:rFonts w:hint="eastAsia" w:ascii="仿宋_GB2312"/>
          <w:color w:val="auto"/>
          <w:highlight w:val="none"/>
          <w:lang w:val="en-US" w:eastAsia="zh-CN"/>
        </w:rPr>
        <w:t>和地财农</w:t>
      </w:r>
      <w:r>
        <w:rPr>
          <w:rFonts w:hint="eastAsia" w:ascii="仿宋_GB2312"/>
          <w:color w:val="auto"/>
          <w:szCs w:val="32"/>
          <w:highlight w:val="none"/>
        </w:rPr>
        <w:t>[</w:t>
      </w:r>
      <w:r>
        <w:rPr>
          <w:rFonts w:hint="eastAsia" w:ascii="仿宋_GB2312"/>
          <w:color w:val="auto"/>
          <w:highlight w:val="none"/>
          <w:lang w:val="en-US" w:eastAsia="zh-CN"/>
        </w:rPr>
        <w:t>2023</w:t>
      </w:r>
      <w:r>
        <w:rPr>
          <w:rFonts w:hint="eastAsia" w:ascii="仿宋_GB2312"/>
          <w:color w:val="auto"/>
          <w:szCs w:val="32"/>
          <w:highlight w:val="none"/>
        </w:rPr>
        <w:t>]</w:t>
      </w:r>
      <w:r>
        <w:rPr>
          <w:rFonts w:hint="eastAsia" w:ascii="仿宋_GB2312"/>
          <w:color w:val="auto"/>
          <w:highlight w:val="none"/>
          <w:lang w:val="en-US" w:eastAsia="zh-CN"/>
        </w:rPr>
        <w:t>48号资金到位文件，</w:t>
      </w:r>
      <w:r>
        <w:rPr>
          <w:rFonts w:hint="eastAsia" w:ascii="仿宋_GB2312"/>
          <w:color w:val="auto"/>
          <w:highlight w:val="none"/>
        </w:rPr>
        <w:t>关于对</w:t>
      </w:r>
      <w:r>
        <w:rPr>
          <w:rFonts w:hint="eastAsia" w:ascii="仿宋" w:hAnsi="仿宋" w:eastAsia="仿宋" w:cs="仿宋"/>
          <w:bCs/>
          <w:color w:val="auto"/>
          <w:kern w:val="0"/>
          <w:highlight w:val="none"/>
          <w:lang w:eastAsia="zh-CN"/>
        </w:rPr>
        <w:t>于田县木尕拉镇红柳大芸种植基地建设项目</w:t>
      </w:r>
      <w:r>
        <w:rPr>
          <w:rFonts w:hint="eastAsia" w:ascii="仿宋" w:hAnsi="仿宋" w:eastAsia="仿宋" w:cs="仿宋"/>
          <w:bCs/>
          <w:color w:val="auto"/>
          <w:kern w:val="0"/>
          <w:highlight w:val="none"/>
        </w:rPr>
        <w:t>实施</w:t>
      </w:r>
      <w:r>
        <w:rPr>
          <w:rFonts w:hint="eastAsia" w:ascii="仿宋_GB2312"/>
          <w:color w:val="auto"/>
          <w:highlight w:val="none"/>
        </w:rPr>
        <w:t>方案的批复》</w:t>
      </w:r>
      <w:r>
        <w:rPr>
          <w:rFonts w:hint="eastAsia" w:ascii="仿宋_GB2312"/>
          <w:color w:val="auto"/>
          <w:szCs w:val="32"/>
          <w:highlight w:val="none"/>
        </w:rPr>
        <w:t>（于</w:t>
      </w:r>
      <w:r>
        <w:rPr>
          <w:rFonts w:hint="eastAsia" w:ascii="仿宋_GB2312"/>
          <w:color w:val="auto"/>
          <w:szCs w:val="32"/>
          <w:highlight w:val="none"/>
          <w:lang w:val="en-US" w:eastAsia="zh-CN"/>
        </w:rPr>
        <w:t>林草项</w:t>
      </w:r>
      <w:bookmarkStart w:id="0" w:name="OLE_LINK1"/>
      <w:r>
        <w:rPr>
          <w:rFonts w:hint="eastAsia" w:ascii="仿宋_GB2312"/>
          <w:color w:val="auto"/>
          <w:szCs w:val="32"/>
          <w:highlight w:val="none"/>
        </w:rPr>
        <w:t>[</w:t>
      </w:r>
      <w:bookmarkEnd w:id="0"/>
      <w:r>
        <w:rPr>
          <w:rFonts w:hint="eastAsia" w:ascii="仿宋_GB2312"/>
          <w:color w:val="auto"/>
          <w:szCs w:val="32"/>
          <w:highlight w:val="none"/>
        </w:rPr>
        <w:t>20</w:t>
      </w:r>
      <w:r>
        <w:rPr>
          <w:rFonts w:hint="eastAsia" w:ascii="仿宋_GB2312"/>
          <w:color w:val="auto"/>
          <w:szCs w:val="32"/>
          <w:highlight w:val="none"/>
          <w:lang w:val="en-US" w:eastAsia="zh-CN"/>
        </w:rPr>
        <w:t>24</w:t>
      </w:r>
      <w:r>
        <w:rPr>
          <w:rFonts w:hint="eastAsia" w:ascii="仿宋_GB2312"/>
          <w:color w:val="auto"/>
          <w:szCs w:val="32"/>
          <w:highlight w:val="none"/>
        </w:rPr>
        <w:t>]</w:t>
      </w:r>
      <w:r>
        <w:rPr>
          <w:rFonts w:hint="eastAsia" w:ascii="仿宋_GB2312"/>
          <w:color w:val="auto"/>
          <w:szCs w:val="32"/>
          <w:highlight w:val="none"/>
          <w:lang w:val="en-US" w:eastAsia="zh-CN"/>
        </w:rPr>
        <w:t>20</w:t>
      </w:r>
      <w:r>
        <w:rPr>
          <w:rFonts w:hint="eastAsia" w:ascii="仿宋_GB2312"/>
          <w:color w:val="auto"/>
          <w:szCs w:val="32"/>
          <w:highlight w:val="none"/>
        </w:rPr>
        <w:t>号</w:t>
      </w:r>
      <w:r>
        <w:rPr>
          <w:rFonts w:hint="eastAsia" w:ascii="仿宋_GB2312"/>
          <w:color w:val="auto"/>
          <w:highlight w:val="none"/>
        </w:rPr>
        <w:t>）。</w:t>
      </w:r>
    </w:p>
    <w:p w14:paraId="3BE381F3">
      <w:pPr>
        <w:pStyle w:val="54"/>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3</w:t>
      </w:r>
      <w:r>
        <w:rPr>
          <w:rFonts w:hint="eastAsia" w:ascii="仿宋_GB2312"/>
          <w:color w:val="auto"/>
          <w:highlight w:val="none"/>
        </w:rPr>
        <w:t>月</w:t>
      </w:r>
      <w:r>
        <w:rPr>
          <w:rFonts w:hint="eastAsia" w:ascii="仿宋_GB2312"/>
          <w:color w:val="auto"/>
          <w:highlight w:val="none"/>
          <w:lang w:val="en-US" w:eastAsia="zh-CN"/>
        </w:rPr>
        <w:t>15</w:t>
      </w:r>
      <w:r>
        <w:rPr>
          <w:rFonts w:hint="eastAsia" w:ascii="仿宋_GB2312"/>
          <w:color w:val="auto"/>
          <w:highlight w:val="none"/>
        </w:rPr>
        <w:t>日发布招标公告进行招标，202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w:t>
      </w:r>
      <w:r>
        <w:rPr>
          <w:rFonts w:hint="eastAsia" w:ascii="仿宋_GB2312"/>
          <w:color w:val="auto"/>
          <w:highlight w:val="none"/>
          <w:lang w:val="en-US" w:eastAsia="zh-CN"/>
        </w:rPr>
        <w:t>2</w:t>
      </w:r>
      <w:r>
        <w:rPr>
          <w:rFonts w:hint="eastAsia" w:ascii="仿宋_GB2312"/>
          <w:color w:val="auto"/>
          <w:highlight w:val="none"/>
        </w:rPr>
        <w:t>日完工。</w:t>
      </w:r>
    </w:p>
    <w:p w14:paraId="37D8D5C1">
      <w:pPr>
        <w:pStyle w:val="54"/>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6</w:t>
      </w:r>
      <w:r>
        <w:rPr>
          <w:rFonts w:hint="eastAsia" w:ascii="仿宋_GB2312"/>
          <w:color w:val="auto"/>
          <w:highlight w:val="none"/>
        </w:rPr>
        <w:t>月</w:t>
      </w:r>
      <w:r>
        <w:rPr>
          <w:rFonts w:hint="eastAsia" w:ascii="仿宋_GB2312"/>
          <w:color w:val="auto"/>
          <w:highlight w:val="none"/>
          <w:lang w:val="en-US" w:eastAsia="zh-CN"/>
        </w:rPr>
        <w:t>27</w:t>
      </w:r>
      <w:r>
        <w:rPr>
          <w:rFonts w:hint="eastAsia" w:ascii="仿宋_GB2312"/>
          <w:color w:val="auto"/>
          <w:highlight w:val="none"/>
        </w:rPr>
        <w:t>日由于田县</w:t>
      </w:r>
      <w:r>
        <w:rPr>
          <w:rFonts w:hint="eastAsia" w:ascii="仿宋_GB2312"/>
          <w:color w:val="auto"/>
          <w:highlight w:val="none"/>
          <w:lang w:val="en-US" w:eastAsia="zh-CN"/>
        </w:rPr>
        <w:t>林业和草原局</w:t>
      </w:r>
      <w:r>
        <w:rPr>
          <w:rFonts w:hint="eastAsia" w:ascii="仿宋_GB2312"/>
          <w:color w:val="auto"/>
          <w:highlight w:val="none"/>
          <w:lang w:eastAsia="zh-CN"/>
        </w:rPr>
        <w:t>，</w:t>
      </w:r>
      <w:r>
        <w:rPr>
          <w:rFonts w:hint="eastAsia" w:ascii="仿宋_GB2312"/>
          <w:color w:val="auto"/>
          <w:highlight w:val="none"/>
          <w:lang w:val="en-US" w:eastAsia="zh-CN"/>
        </w:rPr>
        <w:t>水利</w:t>
      </w:r>
      <w:r>
        <w:rPr>
          <w:rFonts w:hint="eastAsia" w:ascii="仿宋_GB2312"/>
          <w:color w:val="auto"/>
          <w:highlight w:val="none"/>
          <w:lang w:eastAsia="zh-CN"/>
        </w:rPr>
        <w:t>局，</w:t>
      </w:r>
      <w:r>
        <w:rPr>
          <w:rFonts w:hint="eastAsia" w:ascii="仿宋_GB2312"/>
          <w:color w:val="auto"/>
          <w:highlight w:val="none"/>
          <w:lang w:val="en-US" w:eastAsia="zh-CN"/>
        </w:rPr>
        <w:t>乡村振兴局，发改委、财政</w:t>
      </w:r>
      <w:r>
        <w:rPr>
          <w:rFonts w:hint="eastAsia" w:ascii="仿宋_GB2312"/>
          <w:color w:val="auto"/>
          <w:highlight w:val="none"/>
          <w:lang w:eastAsia="zh-CN"/>
        </w:rPr>
        <w:t>局</w:t>
      </w:r>
      <w:r>
        <w:rPr>
          <w:rFonts w:hint="eastAsia" w:ascii="仿宋_GB2312"/>
          <w:color w:val="auto"/>
          <w:highlight w:val="none"/>
        </w:rPr>
        <w:t>、</w:t>
      </w:r>
      <w:r>
        <w:rPr>
          <w:rFonts w:hint="eastAsia" w:ascii="仿宋_GB2312"/>
          <w:color w:val="auto"/>
          <w:highlight w:val="none"/>
          <w:lang w:val="en-US" w:eastAsia="zh-CN"/>
        </w:rPr>
        <w:t>档案局</w:t>
      </w:r>
      <w:r>
        <w:rPr>
          <w:rFonts w:hint="eastAsia" w:ascii="仿宋_GB2312"/>
          <w:color w:val="auto"/>
          <w:highlight w:val="none"/>
        </w:rPr>
        <w:t>和参建单位联合竣工验收结果状况：合格。</w:t>
      </w:r>
    </w:p>
    <w:p w14:paraId="75B282B8">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6A669714">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于田县木尕拉镇红柳大芸种植基地建设项目</w:t>
      </w:r>
      <w:r>
        <w:rPr>
          <w:rFonts w:hint="eastAsia" w:ascii="仿宋_GB2312" w:hAnsi="Times New Roman" w:eastAsia="仿宋_GB2312" w:cs="Times New Roman"/>
          <w:sz w:val="28"/>
          <w:highlight w:val="none"/>
        </w:rPr>
        <w:t>资金安排、使用过程中严格执行乡村振兴项目资金管理制度，确保乡村振兴</w:t>
      </w:r>
      <w:r>
        <w:rPr>
          <w:rFonts w:hint="eastAsia" w:ascii="仿宋_GB2312" w:hAnsi="Times New Roman" w:eastAsia="仿宋_GB2312" w:cs="Times New Roman"/>
          <w:sz w:val="28"/>
          <w:highlight w:val="none"/>
          <w:lang w:val="en-US" w:eastAsia="zh-CN"/>
        </w:rPr>
        <w:t>的</w:t>
      </w:r>
      <w:r>
        <w:rPr>
          <w:rFonts w:hint="eastAsia" w:ascii="仿宋_GB2312" w:hAnsi="Times New Roman" w:eastAsia="仿宋_GB2312" w:cs="Times New Roman"/>
          <w:sz w:val="28"/>
          <w:highlight w:val="none"/>
        </w:rPr>
        <w:t>项目正常运行为构建长效稳定奠定物质基础。</w:t>
      </w:r>
    </w:p>
    <w:p w14:paraId="76DE5D02">
      <w:pPr>
        <w:spacing w:line="560" w:lineRule="exact"/>
        <w:ind w:firstLine="562" w:firstLineChars="200"/>
        <w:rPr>
          <w:rStyle w:val="21"/>
          <w:rFonts w:ascii="楷体_GB2312"/>
          <w:sz w:val="28"/>
          <w:highlight w:val="none"/>
        </w:rPr>
      </w:pPr>
      <w:r>
        <w:rPr>
          <w:rStyle w:val="21"/>
          <w:rFonts w:hint="eastAsia" w:ascii="楷体_GB2312"/>
          <w:sz w:val="28"/>
          <w:highlight w:val="none"/>
        </w:rPr>
        <w:t>（四）存在的问题</w:t>
      </w:r>
    </w:p>
    <w:p w14:paraId="4E046B3E">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val="en-US" w:eastAsia="zh-CN"/>
        </w:rPr>
        <w:t>于田县木尕拉镇红柳大芸种植基地建设项目前期手续办理审批缓慢的问题，由于各单位年初业务繁忙，出具各类材料需要一定时间，导致办理材料缓慢，招投标后滞，开工缓慢</w:t>
      </w:r>
      <w:r>
        <w:rPr>
          <w:rFonts w:hint="eastAsia" w:ascii="仿宋_GB2312" w:hAnsi="Times New Roman" w:eastAsia="仿宋_GB2312" w:cs="Times New Roman"/>
          <w:sz w:val="28"/>
          <w:highlight w:val="none"/>
        </w:rPr>
        <w:t>。</w:t>
      </w:r>
    </w:p>
    <w:p w14:paraId="18CA6255">
      <w:pPr>
        <w:spacing w:line="560" w:lineRule="exact"/>
        <w:ind w:firstLine="562" w:firstLineChars="200"/>
        <w:rPr>
          <w:rStyle w:val="21"/>
          <w:rFonts w:ascii="楷体_GB2312"/>
          <w:sz w:val="28"/>
          <w:highlight w:val="none"/>
        </w:rPr>
      </w:pPr>
      <w:r>
        <w:rPr>
          <w:rStyle w:val="21"/>
          <w:rFonts w:hint="eastAsia" w:ascii="楷体_GB2312"/>
          <w:sz w:val="28"/>
          <w:highlight w:val="none"/>
        </w:rPr>
        <w:t>（五）建议</w:t>
      </w:r>
    </w:p>
    <w:p w14:paraId="49E86FA6">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rPr>
        <w:t>后续要加强项目监督</w:t>
      </w:r>
      <w:r>
        <w:rPr>
          <w:rFonts w:hint="eastAsia" w:ascii="仿宋_GB2312" w:hAnsi="Times New Roman" w:eastAsia="仿宋_GB2312" w:cs="Times New Roman"/>
          <w:sz w:val="28"/>
          <w:highlight w:val="none"/>
          <w:lang w:val="en-US" w:eastAsia="zh-CN"/>
        </w:rPr>
        <w:t>管理</w:t>
      </w:r>
      <w:r>
        <w:rPr>
          <w:rFonts w:hint="eastAsia" w:ascii="仿宋_GB2312" w:hAnsi="Times New Roman" w:eastAsia="仿宋_GB2312" w:cs="Times New Roman"/>
          <w:sz w:val="28"/>
          <w:highlight w:val="none"/>
        </w:rPr>
        <w:t>力度，严格执行乡村振兴项目管理制度，确保乡村振兴项目正常运行。建立健全资产管理体制和运行机制，持续发挥资产扶持效益，确保资产运行安全，管理高效；为构建长效稳定的乡村振兴环境奠定物质基础。</w:t>
      </w:r>
    </w:p>
    <w:p w14:paraId="4796CB5F">
      <w:pPr>
        <w:spacing w:line="560" w:lineRule="exact"/>
        <w:ind w:firstLine="562" w:firstLineChars="200"/>
        <w:rPr>
          <w:rStyle w:val="21"/>
          <w:rFonts w:ascii="楷体_GB2312"/>
          <w:sz w:val="28"/>
          <w:highlight w:val="none"/>
        </w:rPr>
      </w:pPr>
      <w:r>
        <w:rPr>
          <w:rStyle w:val="21"/>
          <w:rFonts w:hint="eastAsia" w:ascii="楷体_GB2312"/>
          <w:sz w:val="28"/>
          <w:highlight w:val="none"/>
        </w:rPr>
        <w:t>（六）项目绩效公告公示情况</w:t>
      </w:r>
    </w:p>
    <w:p w14:paraId="078A03A4">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w:t>
      </w:r>
      <w:r>
        <w:rPr>
          <w:rFonts w:hint="eastAsia" w:ascii="仿宋_GB2312"/>
          <w:color w:val="auto"/>
          <w:highlight w:val="none"/>
          <w:lang w:val="en-US" w:eastAsia="zh-CN"/>
        </w:rPr>
        <w:t>张贴</w:t>
      </w:r>
      <w:r>
        <w:rPr>
          <w:rFonts w:hint="eastAsia" w:ascii="仿宋_GB2312"/>
          <w:color w:val="auto"/>
          <w:highlight w:val="none"/>
        </w:rPr>
        <w:t>公示向社会</w:t>
      </w:r>
      <w:r>
        <w:rPr>
          <w:rFonts w:hint="eastAsia" w:ascii="仿宋_GB2312"/>
          <w:color w:val="auto"/>
          <w:highlight w:val="none"/>
          <w:lang w:val="en-US" w:eastAsia="zh-CN"/>
        </w:rPr>
        <w:t>群众</w:t>
      </w:r>
      <w:r>
        <w:rPr>
          <w:rFonts w:hint="eastAsia" w:ascii="仿宋_GB2312"/>
          <w:color w:val="auto"/>
          <w:highlight w:val="none"/>
        </w:rPr>
        <w:t>公开，接受社会</w:t>
      </w:r>
      <w:r>
        <w:rPr>
          <w:rFonts w:hint="eastAsia" w:ascii="仿宋_GB2312"/>
          <w:color w:val="auto"/>
          <w:highlight w:val="none"/>
          <w:lang w:val="en-US" w:eastAsia="zh-CN"/>
        </w:rPr>
        <w:t>群众的</w:t>
      </w:r>
      <w:r>
        <w:rPr>
          <w:rFonts w:hint="eastAsia" w:ascii="仿宋_GB2312"/>
          <w:color w:val="auto"/>
          <w:highlight w:val="none"/>
        </w:rPr>
        <w:t>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14B7A40C">
        <w:pPr>
          <w:pStyle w:val="15"/>
          <w:jc w:val="center"/>
        </w:pPr>
        <w:r>
          <w:fldChar w:fldCharType="begin"/>
        </w:r>
        <w:r>
          <w:instrText xml:space="preserve">PAGE   \* MERGEFORMAT</w:instrText>
        </w:r>
        <w:r>
          <w:fldChar w:fldCharType="separate"/>
        </w:r>
        <w:r>
          <w:rPr>
            <w:lang w:val="zh-CN"/>
          </w:rPr>
          <w:t>1</w:t>
        </w:r>
        <w:r>
          <w:fldChar w:fldCharType="end"/>
        </w:r>
      </w:p>
    </w:sdtContent>
  </w:sdt>
  <w:p w14:paraId="03474223">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9E6CB">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D1647"/>
    <w:multiLevelType w:val="singleLevel"/>
    <w:tmpl w:val="9F2D1647"/>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3FBF"/>
    <w:rsid w:val="00407329"/>
    <w:rsid w:val="0042774A"/>
    <w:rsid w:val="00433105"/>
    <w:rsid w:val="0043529B"/>
    <w:rsid w:val="00444004"/>
    <w:rsid w:val="004447F6"/>
    <w:rsid w:val="00452A7B"/>
    <w:rsid w:val="004765F9"/>
    <w:rsid w:val="004B2577"/>
    <w:rsid w:val="004D19E3"/>
    <w:rsid w:val="004E156F"/>
    <w:rsid w:val="004F278C"/>
    <w:rsid w:val="004F71F5"/>
    <w:rsid w:val="00502531"/>
    <w:rsid w:val="005033D8"/>
    <w:rsid w:val="00545496"/>
    <w:rsid w:val="005469CF"/>
    <w:rsid w:val="00550BD8"/>
    <w:rsid w:val="00561ADC"/>
    <w:rsid w:val="005B4348"/>
    <w:rsid w:val="005B7749"/>
    <w:rsid w:val="005D7C18"/>
    <w:rsid w:val="005F7D5D"/>
    <w:rsid w:val="00600873"/>
    <w:rsid w:val="00601C6E"/>
    <w:rsid w:val="00607547"/>
    <w:rsid w:val="00642C18"/>
    <w:rsid w:val="00661281"/>
    <w:rsid w:val="00661CC0"/>
    <w:rsid w:val="00696A43"/>
    <w:rsid w:val="006C2EB3"/>
    <w:rsid w:val="006F23BE"/>
    <w:rsid w:val="00702BA4"/>
    <w:rsid w:val="00704F2C"/>
    <w:rsid w:val="00713A95"/>
    <w:rsid w:val="007658DB"/>
    <w:rsid w:val="00783147"/>
    <w:rsid w:val="007C501F"/>
    <w:rsid w:val="007F690F"/>
    <w:rsid w:val="0080022F"/>
    <w:rsid w:val="0081784A"/>
    <w:rsid w:val="008703E2"/>
    <w:rsid w:val="00886219"/>
    <w:rsid w:val="00897839"/>
    <w:rsid w:val="008A3305"/>
    <w:rsid w:val="008A49C0"/>
    <w:rsid w:val="008B044F"/>
    <w:rsid w:val="008B4230"/>
    <w:rsid w:val="008B6B8E"/>
    <w:rsid w:val="008C3F3B"/>
    <w:rsid w:val="0091422D"/>
    <w:rsid w:val="0093300C"/>
    <w:rsid w:val="00941946"/>
    <w:rsid w:val="0094736A"/>
    <w:rsid w:val="0095335C"/>
    <w:rsid w:val="00956D07"/>
    <w:rsid w:val="00995842"/>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A4"/>
    <w:rsid w:val="00DC00CB"/>
    <w:rsid w:val="00DE5C9F"/>
    <w:rsid w:val="00E20066"/>
    <w:rsid w:val="00E215D5"/>
    <w:rsid w:val="00E231E6"/>
    <w:rsid w:val="00E35D4C"/>
    <w:rsid w:val="00E36AF4"/>
    <w:rsid w:val="00E417AF"/>
    <w:rsid w:val="00E5760D"/>
    <w:rsid w:val="00E62F01"/>
    <w:rsid w:val="00E65E86"/>
    <w:rsid w:val="00E66C44"/>
    <w:rsid w:val="00E70807"/>
    <w:rsid w:val="00E72FF5"/>
    <w:rsid w:val="00E952C7"/>
    <w:rsid w:val="00EB734B"/>
    <w:rsid w:val="00EE2F0B"/>
    <w:rsid w:val="00F326A5"/>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736731"/>
    <w:rsid w:val="01A36CEE"/>
    <w:rsid w:val="023D5371"/>
    <w:rsid w:val="027F63AE"/>
    <w:rsid w:val="0325119A"/>
    <w:rsid w:val="046B096A"/>
    <w:rsid w:val="04BF4CB7"/>
    <w:rsid w:val="04E00A6C"/>
    <w:rsid w:val="04EA72FB"/>
    <w:rsid w:val="05437E33"/>
    <w:rsid w:val="05B820E5"/>
    <w:rsid w:val="05C25A64"/>
    <w:rsid w:val="05F873C5"/>
    <w:rsid w:val="06043040"/>
    <w:rsid w:val="0624235D"/>
    <w:rsid w:val="0674200F"/>
    <w:rsid w:val="069350E4"/>
    <w:rsid w:val="071163A2"/>
    <w:rsid w:val="078E1984"/>
    <w:rsid w:val="09122105"/>
    <w:rsid w:val="09320078"/>
    <w:rsid w:val="099A3488"/>
    <w:rsid w:val="0A14277E"/>
    <w:rsid w:val="0A2C3DE4"/>
    <w:rsid w:val="0A446A78"/>
    <w:rsid w:val="0A7040FF"/>
    <w:rsid w:val="0AD23243"/>
    <w:rsid w:val="0AF36AD9"/>
    <w:rsid w:val="0B091BAB"/>
    <w:rsid w:val="0B5D0F4E"/>
    <w:rsid w:val="0C9056DF"/>
    <w:rsid w:val="0D3716DE"/>
    <w:rsid w:val="0DB4343E"/>
    <w:rsid w:val="0DC50F98"/>
    <w:rsid w:val="0F97689C"/>
    <w:rsid w:val="0FA14A05"/>
    <w:rsid w:val="0FB8469B"/>
    <w:rsid w:val="10201226"/>
    <w:rsid w:val="10C57A75"/>
    <w:rsid w:val="1151736E"/>
    <w:rsid w:val="11D80923"/>
    <w:rsid w:val="11E73444"/>
    <w:rsid w:val="11F44487"/>
    <w:rsid w:val="12287FF3"/>
    <w:rsid w:val="12866486"/>
    <w:rsid w:val="132976D6"/>
    <w:rsid w:val="135C30B0"/>
    <w:rsid w:val="13A045BD"/>
    <w:rsid w:val="141875ED"/>
    <w:rsid w:val="1442443F"/>
    <w:rsid w:val="14523BDA"/>
    <w:rsid w:val="162A5F70"/>
    <w:rsid w:val="16786D8E"/>
    <w:rsid w:val="17526E1E"/>
    <w:rsid w:val="17A84B25"/>
    <w:rsid w:val="17D6183A"/>
    <w:rsid w:val="18B71A64"/>
    <w:rsid w:val="1A234C7E"/>
    <w:rsid w:val="1B62698C"/>
    <w:rsid w:val="1B90020D"/>
    <w:rsid w:val="1C954FC9"/>
    <w:rsid w:val="1CBB0515"/>
    <w:rsid w:val="1DF256D0"/>
    <w:rsid w:val="1E4725ED"/>
    <w:rsid w:val="1F3504A2"/>
    <w:rsid w:val="1F8C05C5"/>
    <w:rsid w:val="1FD0538F"/>
    <w:rsid w:val="1FEE39F6"/>
    <w:rsid w:val="204121A1"/>
    <w:rsid w:val="206474E1"/>
    <w:rsid w:val="20885025"/>
    <w:rsid w:val="20925BC1"/>
    <w:rsid w:val="21304794"/>
    <w:rsid w:val="21421357"/>
    <w:rsid w:val="21A50045"/>
    <w:rsid w:val="21C01FC7"/>
    <w:rsid w:val="22602296"/>
    <w:rsid w:val="231C63E7"/>
    <w:rsid w:val="23377FF5"/>
    <w:rsid w:val="23F863C1"/>
    <w:rsid w:val="24577D9F"/>
    <w:rsid w:val="245B4C98"/>
    <w:rsid w:val="253D3738"/>
    <w:rsid w:val="262C5472"/>
    <w:rsid w:val="263E0D0F"/>
    <w:rsid w:val="26FA2A83"/>
    <w:rsid w:val="28135D8C"/>
    <w:rsid w:val="28604CF3"/>
    <w:rsid w:val="2926098E"/>
    <w:rsid w:val="297124F0"/>
    <w:rsid w:val="2A7F41CD"/>
    <w:rsid w:val="2A9E46AE"/>
    <w:rsid w:val="2AC45C7E"/>
    <w:rsid w:val="2AFD4B9D"/>
    <w:rsid w:val="2B016451"/>
    <w:rsid w:val="2B11642F"/>
    <w:rsid w:val="2B483BDB"/>
    <w:rsid w:val="2B803191"/>
    <w:rsid w:val="2BEF7C4A"/>
    <w:rsid w:val="2BFE6C33"/>
    <w:rsid w:val="2DA22198"/>
    <w:rsid w:val="2DF33037"/>
    <w:rsid w:val="2E383E55"/>
    <w:rsid w:val="2E54551A"/>
    <w:rsid w:val="2E742CC2"/>
    <w:rsid w:val="2E767CEB"/>
    <w:rsid w:val="2EAC278D"/>
    <w:rsid w:val="2EC54364"/>
    <w:rsid w:val="2F124362"/>
    <w:rsid w:val="2FED5C8C"/>
    <w:rsid w:val="300656CD"/>
    <w:rsid w:val="30DA0BA0"/>
    <w:rsid w:val="31FB7B74"/>
    <w:rsid w:val="320415E3"/>
    <w:rsid w:val="32C46296"/>
    <w:rsid w:val="332F3F51"/>
    <w:rsid w:val="335847DE"/>
    <w:rsid w:val="3364758B"/>
    <w:rsid w:val="339570B9"/>
    <w:rsid w:val="34156198"/>
    <w:rsid w:val="346409FF"/>
    <w:rsid w:val="35AA5315"/>
    <w:rsid w:val="372F515E"/>
    <w:rsid w:val="37452596"/>
    <w:rsid w:val="375600DD"/>
    <w:rsid w:val="375871A2"/>
    <w:rsid w:val="38136AE8"/>
    <w:rsid w:val="383A2245"/>
    <w:rsid w:val="38E4611E"/>
    <w:rsid w:val="3919044F"/>
    <w:rsid w:val="39871296"/>
    <w:rsid w:val="3A4B3943"/>
    <w:rsid w:val="3A687A98"/>
    <w:rsid w:val="3B2E21A8"/>
    <w:rsid w:val="3BE92741"/>
    <w:rsid w:val="3C7D70DA"/>
    <w:rsid w:val="3CD3075D"/>
    <w:rsid w:val="3D2402FF"/>
    <w:rsid w:val="3D380530"/>
    <w:rsid w:val="3D5E1131"/>
    <w:rsid w:val="3E0E1B79"/>
    <w:rsid w:val="3E982E81"/>
    <w:rsid w:val="3EB850CA"/>
    <w:rsid w:val="3FEA3A2F"/>
    <w:rsid w:val="408849DF"/>
    <w:rsid w:val="40D64F3C"/>
    <w:rsid w:val="4133059C"/>
    <w:rsid w:val="413E720B"/>
    <w:rsid w:val="416A6F9C"/>
    <w:rsid w:val="4174622E"/>
    <w:rsid w:val="41D01D50"/>
    <w:rsid w:val="41D51F7A"/>
    <w:rsid w:val="426A289B"/>
    <w:rsid w:val="42726E7A"/>
    <w:rsid w:val="432F5109"/>
    <w:rsid w:val="436E06D9"/>
    <w:rsid w:val="43AD0DDB"/>
    <w:rsid w:val="43E64511"/>
    <w:rsid w:val="44F11970"/>
    <w:rsid w:val="44FD32E9"/>
    <w:rsid w:val="450C05A0"/>
    <w:rsid w:val="45AC2BBB"/>
    <w:rsid w:val="46AB12E9"/>
    <w:rsid w:val="46B143FB"/>
    <w:rsid w:val="489F355F"/>
    <w:rsid w:val="490C5A11"/>
    <w:rsid w:val="492D3872"/>
    <w:rsid w:val="49886878"/>
    <w:rsid w:val="49A3515D"/>
    <w:rsid w:val="4B092D88"/>
    <w:rsid w:val="4B1307BF"/>
    <w:rsid w:val="4BBC6310"/>
    <w:rsid w:val="4C330C89"/>
    <w:rsid w:val="4C434013"/>
    <w:rsid w:val="4CB35B87"/>
    <w:rsid w:val="4DB01095"/>
    <w:rsid w:val="4E9B2184"/>
    <w:rsid w:val="4ECA68F0"/>
    <w:rsid w:val="4EEC5350"/>
    <w:rsid w:val="4F026A9E"/>
    <w:rsid w:val="4F0E4EA3"/>
    <w:rsid w:val="500D03F4"/>
    <w:rsid w:val="501F2FAD"/>
    <w:rsid w:val="50493837"/>
    <w:rsid w:val="50F75405"/>
    <w:rsid w:val="51970DCF"/>
    <w:rsid w:val="53A91B52"/>
    <w:rsid w:val="53E26203"/>
    <w:rsid w:val="54174C1E"/>
    <w:rsid w:val="54694136"/>
    <w:rsid w:val="55AB4CFC"/>
    <w:rsid w:val="566A57D0"/>
    <w:rsid w:val="56BC14CC"/>
    <w:rsid w:val="57040EC7"/>
    <w:rsid w:val="57B40121"/>
    <w:rsid w:val="57CC0B47"/>
    <w:rsid w:val="57D16450"/>
    <w:rsid w:val="58541C04"/>
    <w:rsid w:val="5A346B49"/>
    <w:rsid w:val="5A3C6825"/>
    <w:rsid w:val="5A442951"/>
    <w:rsid w:val="5B5D3CAE"/>
    <w:rsid w:val="5BC91F40"/>
    <w:rsid w:val="5C7D248A"/>
    <w:rsid w:val="5CE74F49"/>
    <w:rsid w:val="5D0274F4"/>
    <w:rsid w:val="5D4C56C2"/>
    <w:rsid w:val="5D5440F0"/>
    <w:rsid w:val="5F4D1074"/>
    <w:rsid w:val="5F8B0AD9"/>
    <w:rsid w:val="5FB243FD"/>
    <w:rsid w:val="5FF86F82"/>
    <w:rsid w:val="608A742D"/>
    <w:rsid w:val="612E12B4"/>
    <w:rsid w:val="614C3496"/>
    <w:rsid w:val="615C0468"/>
    <w:rsid w:val="61B55E70"/>
    <w:rsid w:val="631244BB"/>
    <w:rsid w:val="63325C32"/>
    <w:rsid w:val="638311B1"/>
    <w:rsid w:val="63AE6093"/>
    <w:rsid w:val="63D85922"/>
    <w:rsid w:val="64001A54"/>
    <w:rsid w:val="647916AD"/>
    <w:rsid w:val="64A50F41"/>
    <w:rsid w:val="64EF6A61"/>
    <w:rsid w:val="655734E6"/>
    <w:rsid w:val="657168A7"/>
    <w:rsid w:val="65961FC0"/>
    <w:rsid w:val="65F904C7"/>
    <w:rsid w:val="66D43F30"/>
    <w:rsid w:val="67B12F99"/>
    <w:rsid w:val="68592339"/>
    <w:rsid w:val="68912E4E"/>
    <w:rsid w:val="694614B9"/>
    <w:rsid w:val="69E934E8"/>
    <w:rsid w:val="69E97C41"/>
    <w:rsid w:val="6A665AA7"/>
    <w:rsid w:val="6A7E2834"/>
    <w:rsid w:val="6B2230D1"/>
    <w:rsid w:val="6B4822F6"/>
    <w:rsid w:val="6BE95382"/>
    <w:rsid w:val="6CD67BA3"/>
    <w:rsid w:val="6D046BC7"/>
    <w:rsid w:val="6D13641E"/>
    <w:rsid w:val="6DC67C57"/>
    <w:rsid w:val="6DED7F18"/>
    <w:rsid w:val="6DF73EA8"/>
    <w:rsid w:val="6E39648E"/>
    <w:rsid w:val="6E4938EE"/>
    <w:rsid w:val="6F077459"/>
    <w:rsid w:val="701461CD"/>
    <w:rsid w:val="706C5DBD"/>
    <w:rsid w:val="70A252BC"/>
    <w:rsid w:val="71BA7F04"/>
    <w:rsid w:val="72660665"/>
    <w:rsid w:val="72E865A1"/>
    <w:rsid w:val="72EF04C8"/>
    <w:rsid w:val="730D4869"/>
    <w:rsid w:val="73A07546"/>
    <w:rsid w:val="73DB01FA"/>
    <w:rsid w:val="74702F2D"/>
    <w:rsid w:val="74E813F3"/>
    <w:rsid w:val="752641FD"/>
    <w:rsid w:val="75603B4D"/>
    <w:rsid w:val="75767500"/>
    <w:rsid w:val="76035AD7"/>
    <w:rsid w:val="763871F0"/>
    <w:rsid w:val="7742427D"/>
    <w:rsid w:val="779305BF"/>
    <w:rsid w:val="77DF1A43"/>
    <w:rsid w:val="78403E44"/>
    <w:rsid w:val="794762A8"/>
    <w:rsid w:val="79BB114F"/>
    <w:rsid w:val="7A1C3932"/>
    <w:rsid w:val="7B38751A"/>
    <w:rsid w:val="7BD608AD"/>
    <w:rsid w:val="7CE52B42"/>
    <w:rsid w:val="7D20786B"/>
    <w:rsid w:val="7DEC3FDC"/>
    <w:rsid w:val="7E173876"/>
    <w:rsid w:val="7F00709B"/>
    <w:rsid w:val="7F172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4">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5">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6">
    <w:name w:val="heading 3"/>
    <w:basedOn w:val="1"/>
    <w:next w:val="1"/>
    <w:link w:val="25"/>
    <w:qFormat/>
    <w:uiPriority w:val="9"/>
    <w:pPr>
      <w:keepNext/>
      <w:keepLines/>
      <w:spacing w:before="260" w:after="260" w:line="415" w:lineRule="auto"/>
      <w:outlineLvl w:val="2"/>
    </w:pPr>
    <w:rPr>
      <w:rFonts w:cs="宋体"/>
      <w:b/>
      <w:bCs/>
      <w:szCs w:val="32"/>
    </w:rPr>
  </w:style>
  <w:style w:type="paragraph" w:styleId="7">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8">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9">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64"/>
    <w:qFormat/>
    <w:uiPriority w:val="9"/>
    <w:pPr>
      <w:keepNext/>
      <w:keepLines/>
      <w:spacing w:before="240" w:after="64" w:line="320" w:lineRule="auto"/>
      <w:outlineLvl w:val="6"/>
    </w:pPr>
    <w:rPr>
      <w:b/>
      <w:bCs/>
      <w:sz w:val="24"/>
      <w:szCs w:val="24"/>
    </w:rPr>
  </w:style>
  <w:style w:type="paragraph" w:styleId="11">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firstLineChars="200"/>
    </w:pPr>
  </w:style>
  <w:style w:type="paragraph" w:customStyle="1" w:styleId="3">
    <w:name w:val="正文文本缩进1"/>
    <w:basedOn w:val="1"/>
    <w:qFormat/>
    <w:uiPriority w:val="0"/>
    <w:pPr>
      <w:spacing w:after="120"/>
      <w:ind w:left="420" w:leftChars="200"/>
    </w:pPr>
  </w:style>
  <w:style w:type="paragraph" w:styleId="13">
    <w:name w:val="annotation text"/>
    <w:basedOn w:val="1"/>
    <w:link w:val="69"/>
    <w:semiHidden/>
    <w:unhideWhenUsed/>
    <w:qFormat/>
    <w:uiPriority w:val="99"/>
    <w:pPr>
      <w:jc w:val="left"/>
    </w:p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3"/>
    <w:next w:val="13"/>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4"/>
    <w:qFormat/>
    <w:locked/>
    <w:uiPriority w:val="9"/>
    <w:rPr>
      <w:b/>
      <w:bCs/>
      <w:kern w:val="44"/>
      <w:sz w:val="44"/>
      <w:szCs w:val="44"/>
    </w:rPr>
  </w:style>
  <w:style w:type="character" w:customStyle="1" w:styleId="24">
    <w:name w:val="标题 2 字符"/>
    <w:basedOn w:val="20"/>
    <w:link w:val="5"/>
    <w:semiHidden/>
    <w:qFormat/>
    <w:locked/>
    <w:uiPriority w:val="9"/>
    <w:rPr>
      <w:rFonts w:hint="eastAsia" w:asciiTheme="majorHAnsi" w:hAnsiTheme="majorHAnsi" w:eastAsiaTheme="majorEastAsia" w:cstheme="majorBidi"/>
      <w:b/>
      <w:bCs/>
      <w:sz w:val="32"/>
      <w:szCs w:val="32"/>
    </w:rPr>
  </w:style>
  <w:style w:type="character" w:customStyle="1" w:styleId="25">
    <w:name w:val="标题 3 字符"/>
    <w:basedOn w:val="20"/>
    <w:link w:val="6"/>
    <w:semiHidden/>
    <w:qFormat/>
    <w:locked/>
    <w:uiPriority w:val="9"/>
    <w:rPr>
      <w:b/>
      <w:bCs/>
      <w:sz w:val="32"/>
      <w:szCs w:val="32"/>
    </w:rPr>
  </w:style>
  <w:style w:type="character" w:customStyle="1" w:styleId="26">
    <w:name w:val="标题 4 字符"/>
    <w:basedOn w:val="20"/>
    <w:link w:val="7"/>
    <w:semiHidden/>
    <w:qFormat/>
    <w:locked/>
    <w:uiPriority w:val="9"/>
    <w:rPr>
      <w:rFonts w:hint="eastAsia" w:asciiTheme="majorHAnsi" w:hAnsiTheme="majorHAnsi" w:eastAsiaTheme="majorEastAsia" w:cstheme="majorBidi"/>
      <w:b/>
      <w:bCs/>
      <w:sz w:val="28"/>
      <w:szCs w:val="28"/>
    </w:rPr>
  </w:style>
  <w:style w:type="character" w:customStyle="1" w:styleId="27">
    <w:name w:val="标题 5 字符"/>
    <w:basedOn w:val="20"/>
    <w:link w:val="8"/>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4"/>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5"/>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6"/>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7"/>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8"/>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字符"/>
    <w:basedOn w:val="20"/>
    <w:link w:val="9"/>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9"/>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字符"/>
    <w:basedOn w:val="20"/>
    <w:link w:val="10"/>
    <w:semiHidden/>
    <w:uiPriority w:val="9"/>
    <w:rPr>
      <w:rFonts w:asciiTheme="minorHAnsi" w:hAnsiTheme="minorHAnsi" w:eastAsiaTheme="minorEastAsia"/>
      <w:b/>
      <w:bCs/>
      <w:kern w:val="2"/>
      <w:sz w:val="24"/>
      <w:szCs w:val="24"/>
    </w:rPr>
  </w:style>
  <w:style w:type="character" w:customStyle="1" w:styleId="65">
    <w:name w:val="标题 8 字符"/>
    <w:basedOn w:val="20"/>
    <w:link w:val="11"/>
    <w:semiHidden/>
    <w:qFormat/>
    <w:uiPriority w:val="9"/>
    <w:rPr>
      <w:rFonts w:asciiTheme="majorHAnsi" w:hAnsiTheme="majorHAnsi" w:eastAsiaTheme="majorEastAsia" w:cstheme="majorBidi"/>
      <w:kern w:val="2"/>
      <w:sz w:val="24"/>
      <w:szCs w:val="24"/>
    </w:rPr>
  </w:style>
  <w:style w:type="character" w:customStyle="1" w:styleId="66">
    <w:name w:val="标题 9 字符"/>
    <w:basedOn w:val="20"/>
    <w:link w:val="12"/>
    <w:semiHidden/>
    <w:uiPriority w:val="9"/>
    <w:rPr>
      <w:rFonts w:asciiTheme="majorHAnsi" w:hAnsiTheme="majorHAnsi" w:eastAsiaTheme="majorEastAsia" w:cstheme="majorBidi"/>
      <w:kern w:val="2"/>
      <w:sz w:val="21"/>
      <w:szCs w:val="21"/>
    </w:rPr>
  </w:style>
  <w:style w:type="character" w:customStyle="1" w:styleId="67">
    <w:name w:val="页眉 字符"/>
    <w:basedOn w:val="20"/>
    <w:link w:val="16"/>
    <w:uiPriority w:val="99"/>
    <w:rPr>
      <w:rFonts w:asciiTheme="minorHAnsi" w:hAnsiTheme="minorHAnsi" w:eastAsiaTheme="minorEastAsia"/>
      <w:kern w:val="2"/>
      <w:sz w:val="18"/>
      <w:szCs w:val="18"/>
    </w:rPr>
  </w:style>
  <w:style w:type="character" w:customStyle="1" w:styleId="68">
    <w:name w:val="页脚 字符"/>
    <w:basedOn w:val="20"/>
    <w:link w:val="15"/>
    <w:uiPriority w:val="99"/>
    <w:rPr>
      <w:rFonts w:asciiTheme="minorHAnsi" w:hAnsiTheme="minorHAnsi" w:eastAsiaTheme="minorEastAsia"/>
      <w:kern w:val="2"/>
      <w:sz w:val="18"/>
      <w:szCs w:val="18"/>
    </w:rPr>
  </w:style>
  <w:style w:type="character" w:customStyle="1" w:styleId="69">
    <w:name w:val="批注文字 字符"/>
    <w:basedOn w:val="20"/>
    <w:link w:val="13"/>
    <w:semiHidden/>
    <w:uiPriority w:val="99"/>
    <w:rPr>
      <w:rFonts w:asciiTheme="minorHAnsi" w:hAnsiTheme="minorHAnsi" w:eastAsiaTheme="minorEastAsia"/>
      <w:kern w:val="2"/>
      <w:sz w:val="21"/>
      <w:szCs w:val="22"/>
    </w:rPr>
  </w:style>
  <w:style w:type="character" w:customStyle="1" w:styleId="70">
    <w:name w:val="批注主题 字符"/>
    <w:basedOn w:val="69"/>
    <w:link w:val="18"/>
    <w:semiHidden/>
    <w:uiPriority w:val="99"/>
    <w:rPr>
      <w:rFonts w:asciiTheme="minorHAnsi" w:hAnsiTheme="minorHAnsi" w:eastAsiaTheme="minorEastAsia"/>
      <w:b/>
      <w:bCs/>
      <w:kern w:val="2"/>
      <w:sz w:val="21"/>
      <w:szCs w:val="22"/>
    </w:rPr>
  </w:style>
  <w:style w:type="character" w:customStyle="1" w:styleId="71">
    <w:name w:val="批注框文本 字符"/>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13</Pages>
  <Words>6676</Words>
  <Characters>7102</Characters>
  <Lines>60</Lines>
  <Paragraphs>17</Paragraphs>
  <TotalTime>19</TotalTime>
  <ScaleCrop>false</ScaleCrop>
  <LinksUpToDate>false</LinksUpToDate>
  <CharactersWithSpaces>7427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2025-12-15T10:18:01Z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