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1B642613">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项目名称:于田县奥依托格拉克乡东侧红柳大芸基地附属设施建设项目</w:t>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项目负责人(签章):刘德刚</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于田县奥依托格拉克乡东侧红柳大芸基地附属设施建设项目</w:t>
      </w:r>
      <w:r>
        <w:rPr>
          <w:rFonts w:hint="eastAsia" w:ascii="仿宋_GB2312"/>
          <w:color w:val="auto"/>
          <w:szCs w:val="32"/>
          <w:highlight w:val="none"/>
        </w:rPr>
        <w:t>方案的批复》</w:t>
      </w:r>
      <w:r>
        <w:rPr>
          <w:rFonts w:hint="eastAsia" w:ascii="仿宋_GB2312"/>
          <w:color w:val="auto"/>
          <w:szCs w:val="32"/>
          <w:highlight w:val="none"/>
          <w:lang w:eastAsia="zh-CN"/>
        </w:rPr>
        <w:t>（</w:t>
      </w:r>
      <w:r>
        <w:rPr>
          <w:rFonts w:hint="eastAsia" w:ascii="仿宋_GB2312"/>
          <w:color w:val="auto"/>
          <w:szCs w:val="32"/>
          <w:highlight w:val="none"/>
        </w:rPr>
        <w:t>于发改项目【2024】33号</w:t>
      </w:r>
      <w:r>
        <w:rPr>
          <w:rFonts w:hint="eastAsia" w:ascii="仿宋_GB2312"/>
          <w:color w:val="auto"/>
          <w:szCs w:val="32"/>
          <w:highlight w:val="none"/>
          <w:lang w:eastAsia="zh-CN"/>
        </w:rPr>
        <w:t>）</w:t>
      </w:r>
      <w:r>
        <w:rPr>
          <w:rFonts w:hint="eastAsia" w:ascii="仿宋_GB2312"/>
          <w:color w:val="auto"/>
          <w:szCs w:val="32"/>
          <w:highlight w:val="none"/>
        </w:rPr>
        <w:t>文批复立项实施，</w:t>
      </w:r>
      <w:r>
        <w:rPr>
          <w:rFonts w:hint="eastAsia" w:ascii="仿宋_GB2312"/>
          <w:color w:val="auto"/>
          <w:szCs w:val="32"/>
          <w:highlight w:val="none"/>
          <w:lang w:eastAsia="zh-CN"/>
        </w:rPr>
        <w:t>于田县奥依托格拉克乡东侧红柳大芸基地附属设施建设项目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1024.57万元</w:t>
      </w:r>
      <w:r>
        <w:rPr>
          <w:rFonts w:hint="eastAsia" w:ascii="仿宋_GB2312"/>
          <w:color w:val="auto"/>
          <w:szCs w:val="32"/>
          <w:highlight w:val="none"/>
        </w:rPr>
        <w:t>，其中：</w:t>
      </w:r>
      <w:r>
        <w:rPr>
          <w:rFonts w:hint="eastAsia" w:ascii="仿宋_GB2312"/>
          <w:color w:val="auto"/>
          <w:szCs w:val="32"/>
          <w:highlight w:val="none"/>
          <w:lang w:val="en-US" w:eastAsia="zh-CN"/>
        </w:rPr>
        <w:t>中央财政衔接资金</w:t>
      </w:r>
      <w:r>
        <w:rPr>
          <w:rFonts w:hint="eastAsia" w:ascii="仿宋_GB2312"/>
          <w:color w:val="auto"/>
          <w:szCs w:val="32"/>
          <w:highlight w:val="none"/>
          <w:lang w:eastAsia="zh-CN"/>
        </w:rPr>
        <w:t>金</w:t>
      </w:r>
      <w:r>
        <w:rPr>
          <w:rFonts w:hint="eastAsia" w:ascii="仿宋_GB2312"/>
          <w:color w:val="auto"/>
          <w:szCs w:val="32"/>
          <w:highlight w:val="none"/>
          <w:lang w:val="en-US" w:eastAsia="zh-CN"/>
        </w:rPr>
        <w:t>1024.57万元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1A5EE42F">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以习近平新时代中国特色社会主义思想为指导，全面贯彻落实党的二十大精神，深入贯彻落实习近平生态文明思想和新发展理念，统筹推进山水林田湖草沙综合治理、系统治理、源头治理，不断丰富和完善新形势下防沙治沙工作思路，创建防沙治沙新格局、新样板，探索防沙治沙技术、模式、政策、机制等，优化沙区林草生产力布局，引导发展沙产业，与巩固拓展脱贫攻坚成果和农牧民增收致富相结合，加快沙区产业结构调整步伐，扎实推动生态文明建设，以点带面，稳步推进新时代防沙治沙高质量发展。</w:t>
      </w:r>
    </w:p>
    <w:p w14:paraId="6A298DE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zh-CN"/>
        </w:rPr>
        <w:t>本项目位于和田地区于田县，位于国家北方防沙带，符合《全国重要生态系统保护和修复重大工程总体规划(2021-2035年)》要求；根据项目区实际调研和勘察，于田县2024年防风固沙、营造人造灌木林1.207万亩，项目区位于于田县奥依托格拉克乡，目前地貌为未开发种植的沙地，为持续开展防沙治沙工程，实施好塔里木盆地周边防沙治沙工程、沙化土地封禁保护工程、防沙治沙综合示范区工程。急需对1.207万亩进行人工灌木造林，但造林需要灌溉，目前项目区距离水源比较远，距离灌溉渠道，现有井水、河水等水源较远，不能满足即将种植的1.207万亩灌木林取水灌溉需求，因此，经过于田县各部门及县领导协商解决，提出对本项目《于田县奥依托格拉克乡东侧红柳大芸基地附属设施建设项目》的实施，。</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eastAsia="zh-CN"/>
        </w:rPr>
        <w:t>由于上述原因开展于田县奥依托格拉克乡东侧红柳大芸基地附属设施建设项目</w:t>
      </w:r>
      <w:r>
        <w:rPr>
          <w:rFonts w:hint="eastAsia" w:ascii="仿宋_GB2312" w:hAnsi="Times New Roman" w:eastAsia="仿宋_GB2312" w:cs="Times New Roman"/>
          <w:color w:val="auto"/>
          <w:sz w:val="28"/>
          <w:szCs w:val="32"/>
          <w:highlight w:val="none"/>
        </w:rPr>
        <w:t>，本项</w:t>
      </w:r>
      <w:r>
        <w:rPr>
          <w:rFonts w:hint="eastAsia" w:ascii="仿宋_GB2312" w:hAnsi="Times New Roman" w:eastAsia="仿宋_GB2312" w:cs="Times New Roman"/>
          <w:color w:val="auto"/>
          <w:sz w:val="28"/>
          <w:szCs w:val="32"/>
          <w:highlight w:val="none"/>
          <w:lang w:val="zh-CN"/>
        </w:rPr>
        <w:t>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lang w:val="zh-CN"/>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lang w:val="zh-CN"/>
        </w:rPr>
        <w:t>负责实施，项目实施年限202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月。</w:t>
      </w:r>
    </w:p>
    <w:p w14:paraId="57702A4A">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于田县奥依托格拉克乡东侧红柳大芸基地附属设施建设项目根据于田县发展和改革委员会下发的《关于对于田县奥依托格拉克乡东侧红柳大芸基地附属设施建设项目实施方案的批复》（于发改项目【2024】33号）及该项目实施方案实施，建设地点：</w:t>
      </w:r>
      <w:r>
        <w:rPr>
          <w:rFonts w:hint="eastAsia" w:ascii="仿宋_GB2312" w:hAnsi="Times New Roman" w:eastAsia="仿宋_GB2312" w:cs="Times New Roman"/>
          <w:color w:val="auto"/>
          <w:sz w:val="28"/>
          <w:szCs w:val="32"/>
          <w:highlight w:val="none"/>
          <w:lang w:val="en-US" w:eastAsia="zh-CN"/>
        </w:rPr>
        <w:t>于田县奥依托格拉克乡，建设内容</w:t>
      </w:r>
      <w:r>
        <w:rPr>
          <w:rFonts w:hint="eastAsia" w:ascii="仿宋_GB2312" w:hAnsi="Times New Roman" w:eastAsia="仿宋_GB2312" w:cs="Times New Roman"/>
          <w:color w:val="auto"/>
          <w:sz w:val="28"/>
          <w:szCs w:val="32"/>
          <w:highlight w:val="none"/>
          <w:lang w:val="zh-CN"/>
        </w:rPr>
        <w:t>（1）新建深水井工程：新建深水井 14 眼（含泵房），井深 140m，潜水泵 14 台；新建井房 14 座，井房采用砖混结构，基础采用素混凝土基础，每座泵房建筑面积 9m2。（2）新建砂砾石田间道路：4米宽，共2条，田间道1长1.766km，田间道2长1.007km，田间道总长 2.773km。（3）建设 10kV 单回架空线路 17.3 千米，其中 10 千伏主干线 4.3 千米，导线采用JKLGYJ-10kV-240/30 型。分支线路架设 10 千伏线路 13 千米，导线采用JKLGYJ-10kV-150/25 型。电杆采用φ190×12×M×G 型。（4）新建专变 200kVA 柱上变 14 台,含计量 14 套和综合配电箱 14 套。新建分段断路器 2 台。（5））防护林灌溉管网工程：道路两侧防护林 2073.45 亩，林带宽度各 50 米，新建防护林灌溉管网 7 条，铺设 0.63MPa DN160PVC-U 地埋管网 27.65 千米，阀门井 13 座，排水井 14 座。通过项目的实施，优化土地利用结构、促进耕地保护、提高节约集约用地水平，有效改善项目区灌溉条件，有效的改善了项目区生态环境,是从根本上解决搬迁群众的脱贫发展问题。</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于田县奥依托格拉克乡东侧红柳大芸基地附属设施建设项目性质为</w:t>
      </w:r>
      <w:r>
        <w:rPr>
          <w:rFonts w:hint="eastAsia" w:ascii="仿宋_GB2312" w:hAnsi="Times New Roman" w:eastAsia="仿宋_GB2312" w:cs="Times New Roman"/>
          <w:color w:val="auto"/>
          <w:sz w:val="28"/>
          <w:szCs w:val="32"/>
          <w:highlight w:val="none"/>
          <w:lang w:val="en-US" w:eastAsia="zh-CN"/>
        </w:rPr>
        <w:t>资产收益类</w:t>
      </w:r>
      <w:r>
        <w:rPr>
          <w:rFonts w:hint="eastAsia" w:ascii="仿宋_GB2312" w:hAnsi="Times New Roman" w:eastAsia="仿宋_GB2312" w:cs="Times New Roman"/>
          <w:color w:val="auto"/>
          <w:sz w:val="28"/>
          <w:szCs w:val="32"/>
          <w:highlight w:val="none"/>
          <w:lang w:val="zh-CN" w:eastAsia="zh-CN"/>
        </w:rPr>
        <w:t>项目，属于乡村振兴衔接资金项目。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116ABEC9">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于田县奥依托格拉克乡东侧红柳大芸基地附属设施建设项目总投资</w:t>
      </w:r>
      <w:r>
        <w:rPr>
          <w:rFonts w:hint="eastAsia" w:ascii="仿宋_GB2312" w:hAnsi="Times New Roman" w:eastAsia="仿宋_GB2312" w:cs="Times New Roman"/>
          <w:color w:val="auto"/>
          <w:sz w:val="28"/>
          <w:szCs w:val="32"/>
          <w:highlight w:val="none"/>
          <w:lang w:val="en-US" w:eastAsia="zh-CN"/>
        </w:rPr>
        <w:t>1024.57万元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中央财政衔接资金金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：（1）新建深水井工程：新建深水井 14 眼（含泵房），井深 140m，潜水泵 14 台；新建井房 14 座，井房采用砖混结构，基础采用素混凝土基础，每座泵房建筑面积 9m2。（2）新建砂砾石田间道路：4米宽，共2条，田间道1长1.766km，田间道2长1.007km，田间道总长 2.773km。（3）建设 10kV 单回架空线路 17.3 千米，其中 10 千伏主干线 4.3 千米，导线采用JKLGYJ-10kV-240/30 型。分支线路架设 10 千伏线路 13 千米，导线采用JKLGYJ-10kV-150/25 型。电杆采用φ190×12×M×G 型。（4）新建专变 200kVA 柱上变 14 台,含计量 14 套和综合配电箱 14 套。新建分段断路器 2 台。（5））防护林灌溉管网工程：道路两侧防护林 2073.45 亩，林带宽度各 50 米，新建防护林灌溉管网 7 条，铺设 0.63MPa DN160PVC-U 地埋管网 27.65 千米，阀门井 13 座，排水井 14 座。通过实施本项目，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color w:val="auto"/>
          <w:szCs w:val="32"/>
          <w:highlight w:val="none"/>
          <w:lang w:eastAsia="zh-CN"/>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w:t>
      </w:r>
      <w:r>
        <w:rPr>
          <w:rFonts w:hint="eastAsia" w:ascii="仿宋_GB2312"/>
          <w:color w:val="auto"/>
          <w:szCs w:val="32"/>
          <w:highlight w:val="none"/>
          <w:lang w:val="en-US" w:eastAsia="zh-CN"/>
        </w:rPr>
        <w:t>16</w:t>
      </w:r>
      <w:r>
        <w:rPr>
          <w:rFonts w:hint="eastAsia" w:ascii="仿宋_GB2312"/>
          <w:color w:val="auto"/>
          <w:szCs w:val="32"/>
          <w:highlight w:val="none"/>
        </w:rPr>
        <w:t>个，其中已完成三级指标</w:t>
      </w:r>
      <w:r>
        <w:rPr>
          <w:rFonts w:hint="eastAsia" w:ascii="仿宋_GB2312"/>
          <w:color w:val="auto"/>
          <w:szCs w:val="32"/>
          <w:highlight w:val="none"/>
          <w:lang w:val="en-US" w:eastAsia="zh-CN"/>
        </w:rPr>
        <w:t>9</w:t>
      </w:r>
      <w:r>
        <w:rPr>
          <w:rFonts w:hint="eastAsia" w:ascii="仿宋_GB2312"/>
          <w:color w:val="auto"/>
          <w:szCs w:val="32"/>
          <w:highlight w:val="none"/>
        </w:rPr>
        <w:t>个</w:t>
      </w:r>
      <w:r>
        <w:rPr>
          <w:rFonts w:hint="eastAsia" w:ascii="仿宋_GB2312"/>
          <w:color w:val="auto"/>
          <w:szCs w:val="32"/>
          <w:highlight w:val="none"/>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于田县奥依托格拉克乡东侧红柳大芸基地附属设施建设项目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20</w:t>
      </w:r>
      <w:r>
        <w:rPr>
          <w:color w:val="auto"/>
          <w:highlight w:val="none"/>
        </w:rPr>
        <w:t>分、质量指标</w:t>
      </w:r>
      <w:r>
        <w:rPr>
          <w:rFonts w:hint="eastAsia"/>
          <w:color w:val="auto"/>
          <w:highlight w:val="none"/>
          <w:lang w:val="en-US" w:eastAsia="zh-CN"/>
        </w:rPr>
        <w:t>8</w:t>
      </w:r>
      <w:r>
        <w:rPr>
          <w:color w:val="auto"/>
          <w:highlight w:val="none"/>
        </w:rPr>
        <w:t>分，时效指标</w:t>
      </w:r>
      <w:r>
        <w:rPr>
          <w:rFonts w:hint="eastAsia"/>
          <w:color w:val="auto"/>
          <w:highlight w:val="none"/>
          <w:lang w:val="en-US" w:eastAsia="zh-CN"/>
        </w:rPr>
        <w:t>12</w:t>
      </w:r>
      <w:r>
        <w:rPr>
          <w:color w:val="auto"/>
          <w:highlight w:val="none"/>
        </w:rPr>
        <w:t>分、成本指标</w:t>
      </w:r>
      <w:r>
        <w:rPr>
          <w:rFonts w:hint="eastAsia"/>
          <w:color w:val="auto"/>
          <w:highlight w:val="none"/>
          <w:lang w:val="en-US" w:eastAsia="zh-CN"/>
        </w:rPr>
        <w:t>10</w:t>
      </w:r>
      <w:r>
        <w:rPr>
          <w:color w:val="auto"/>
          <w:highlight w:val="none"/>
        </w:rPr>
        <w:t>分、</w:t>
      </w:r>
      <w:r>
        <w:rPr>
          <w:rFonts w:hint="eastAsia"/>
          <w:color w:val="auto"/>
          <w:highlight w:val="none"/>
          <w:lang w:val="en-US" w:eastAsia="zh-CN"/>
        </w:rPr>
        <w:t>经济</w:t>
      </w:r>
      <w:r>
        <w:rPr>
          <w:color w:val="auto"/>
          <w:highlight w:val="none"/>
        </w:rPr>
        <w:t>效益指标</w:t>
      </w:r>
      <w:r>
        <w:rPr>
          <w:rFonts w:hint="eastAsia"/>
          <w:color w:val="auto"/>
          <w:highlight w:val="none"/>
          <w:lang w:val="en-US" w:eastAsia="zh-CN"/>
        </w:rPr>
        <w:t>10</w:t>
      </w:r>
      <w:r>
        <w:rPr>
          <w:color w:val="auto"/>
          <w:highlight w:val="none"/>
        </w:rPr>
        <w:t>分</w:t>
      </w:r>
      <w:r>
        <w:rPr>
          <w:rFonts w:hint="eastAsia"/>
          <w:color w:val="auto"/>
          <w:highlight w:val="none"/>
          <w:lang w:eastAsia="zh-CN"/>
        </w:rPr>
        <w:t>、</w:t>
      </w:r>
      <w:r>
        <w:rPr>
          <w:color w:val="auto"/>
          <w:highlight w:val="none"/>
        </w:rPr>
        <w:t>社会效益指标</w:t>
      </w:r>
      <w:r>
        <w:rPr>
          <w:rFonts w:hint="eastAsia"/>
          <w:color w:val="auto"/>
          <w:highlight w:val="none"/>
          <w:lang w:val="en-US" w:eastAsia="zh-CN"/>
        </w:rPr>
        <w:t>20</w:t>
      </w:r>
      <w:r>
        <w:rPr>
          <w:color w:val="auto"/>
          <w:highlight w:val="none"/>
        </w:rPr>
        <w:t>分</w:t>
      </w:r>
      <w:r>
        <w:rPr>
          <w:rFonts w:hint="eastAsia"/>
          <w:color w:val="auto"/>
          <w:highlight w:val="none"/>
          <w:lang w:eastAsia="zh-CN"/>
        </w:rPr>
        <w:t>、</w:t>
      </w:r>
      <w:r>
        <w:rPr>
          <w:color w:val="auto"/>
          <w:highlight w:val="none"/>
        </w:rPr>
        <w:t>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于田县奥依托格拉克乡东侧红柳大芸基地附属设施建设项目</w:t>
      </w:r>
      <w:r>
        <w:rPr>
          <w:rFonts w:hint="eastAsia"/>
          <w:color w:val="auto"/>
          <w:highlight w:val="none"/>
        </w:rPr>
        <w:t>预算安排总额为</w:t>
      </w:r>
      <w:r>
        <w:rPr>
          <w:rFonts w:hint="eastAsia"/>
          <w:color w:val="auto"/>
          <w:highlight w:val="none"/>
          <w:lang w:val="en-US" w:eastAsia="zh-CN"/>
        </w:rPr>
        <w:t>1024.57万元</w:t>
      </w:r>
      <w:r>
        <w:rPr>
          <w:rFonts w:hint="eastAsia"/>
          <w:color w:val="auto"/>
          <w:highlight w:val="none"/>
        </w:rPr>
        <w:t>，其中：</w:t>
      </w:r>
      <w:r>
        <w:rPr>
          <w:rFonts w:hint="eastAsia"/>
          <w:color w:val="auto"/>
          <w:highlight w:val="none"/>
          <w:lang w:val="en-US" w:eastAsia="zh-CN"/>
        </w:rPr>
        <w:t>中央财政扶贫衔接资金1024.57万元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rFonts w:hint="eastAsia"/>
          <w:color w:val="auto"/>
          <w:highlight w:val="none"/>
          <w:lang w:eastAsia="zh-CN"/>
        </w:rPr>
      </w:pPr>
      <w:r>
        <w:rPr>
          <w:rFonts w:hint="eastAsia"/>
          <w:color w:val="auto"/>
          <w:highlight w:val="none"/>
          <w:lang w:eastAsia="zh-CN"/>
        </w:rPr>
        <w:t>于田县奥依托格拉克乡东侧红柳大芸基地附属设施建设项目</w:t>
      </w:r>
      <w:r>
        <w:rPr>
          <w:rFonts w:hint="eastAsia"/>
          <w:color w:val="auto"/>
          <w:highlight w:val="none"/>
        </w:rPr>
        <w:t>预算投入资金</w:t>
      </w:r>
      <w:r>
        <w:rPr>
          <w:rFonts w:hint="eastAsia"/>
          <w:color w:val="auto"/>
          <w:highlight w:val="none"/>
          <w:lang w:val="en-US" w:eastAsia="zh-CN"/>
        </w:rPr>
        <w:t>1024.57万元</w:t>
      </w:r>
      <w:r>
        <w:rPr>
          <w:rFonts w:hint="eastAsia"/>
          <w:color w:val="auto"/>
          <w:highlight w:val="none"/>
          <w:lang w:eastAsia="zh-CN"/>
        </w:rPr>
        <w:t>，截至202</w:t>
      </w:r>
      <w:r>
        <w:rPr>
          <w:rFonts w:hint="eastAsia"/>
          <w:color w:val="auto"/>
          <w:highlight w:val="none"/>
          <w:lang w:val="en-US" w:eastAsia="zh-CN"/>
        </w:rPr>
        <w:t>4</w:t>
      </w:r>
      <w:r>
        <w:rPr>
          <w:rFonts w:hint="eastAsia"/>
          <w:color w:val="auto"/>
          <w:highlight w:val="none"/>
          <w:lang w:eastAsia="zh-CN"/>
        </w:rPr>
        <w:t>年12月31日，项目实际支出</w:t>
      </w:r>
      <w:r>
        <w:rPr>
          <w:rFonts w:hint="eastAsia"/>
          <w:color w:val="auto"/>
          <w:highlight w:val="none"/>
          <w:lang w:val="en-US" w:eastAsia="zh-CN"/>
        </w:rPr>
        <w:t>891.66</w:t>
      </w:r>
      <w:r>
        <w:rPr>
          <w:rFonts w:hint="eastAsia"/>
          <w:color w:val="auto"/>
          <w:highlight w:val="none"/>
          <w:lang w:eastAsia="zh-CN"/>
        </w:rPr>
        <w:t>万元，</w:t>
      </w:r>
      <w:r>
        <w:rPr>
          <w:rFonts w:hint="eastAsia"/>
          <w:color w:val="auto"/>
          <w:highlight w:val="none"/>
          <w:lang w:val="en-US" w:eastAsia="zh-CN"/>
        </w:rPr>
        <w:t>剩余资金待支付</w:t>
      </w:r>
      <w:r>
        <w:rPr>
          <w:rFonts w:hint="eastAsia"/>
          <w:color w:val="auto"/>
          <w:highlight w:val="none"/>
          <w:lang w:eastAsia="zh-CN"/>
        </w:rPr>
        <w:t>。预算资金执行率</w:t>
      </w:r>
      <w:r>
        <w:rPr>
          <w:rFonts w:hint="eastAsia"/>
          <w:color w:val="auto"/>
          <w:highlight w:val="none"/>
          <w:lang w:val="en-US" w:eastAsia="zh-CN"/>
        </w:rPr>
        <w:t>87.03</w:t>
      </w:r>
      <w:r>
        <w:rPr>
          <w:rFonts w:hint="eastAsia"/>
          <w:color w:val="auto"/>
          <w:highlight w:val="none"/>
          <w:lang w:eastAsia="zh-CN"/>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1AE602C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月底，（1）新建深水井工程：新建深水井 14 眼（含泵房），井深 140m，潜水泵 14 台；新建井房 14 座，井房采用砖混结构，基础采用素混凝土基础，每座泵房建筑面积 9m2。（2）新建砂砾石田间道路：4米宽，共2条，田间道1长1.766km，田间道2长1.007km，田间道总长 2.773km。（3）建设 10kV 单回架空线路 17.3 千米，其中 10 千伏主干线 4.3 千米，导线采用JKLGYJ-10kV-240/30 型。分支线路架设 10 千伏线路 13 千米，导线采用JKLGYJ-10kV-150/25 型。电杆采用φ190×12×M×G 型。（4）新建专变 200kVA 柱上变 14 台,含计量 14 套和综合配电箱 14 套。新建分段断路器 2 台。（5））防护林灌溉管网工程：道路两侧防护林 2073.45 亩，林带宽度各 50 米，新建防护林灌溉管网 7 条，铺设 0.63MPa DN160PVC-U 地埋管网 27.65 千米，阀门井 13 座，排水井 14 座。</w:t>
      </w:r>
      <w:r>
        <w:rPr>
          <w:rFonts w:hint="eastAsia" w:ascii="仿宋_GB2312" w:hAnsi="Times New Roman" w:eastAsia="仿宋_GB2312" w:cs="Times New Roman"/>
          <w:color w:val="auto"/>
          <w:sz w:val="28"/>
          <w:szCs w:val="32"/>
          <w:highlight w:val="none"/>
          <w:lang w:val="en-US" w:eastAsia="zh-CN"/>
        </w:rPr>
        <w:t>项目已完工但未验收</w:t>
      </w:r>
      <w:r>
        <w:rPr>
          <w:rFonts w:hint="eastAsia" w:ascii="仿宋_GB2312" w:hAnsi="Times New Roman" w:eastAsia="仿宋_GB2312" w:cs="Times New Roman"/>
          <w:color w:val="auto"/>
          <w:sz w:val="28"/>
          <w:szCs w:val="32"/>
          <w:highlight w:val="none"/>
          <w:lang w:val="zh-CN"/>
        </w:rPr>
        <w:t>。</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eastAsia="zh-CN"/>
        </w:rPr>
        <w:t>个，三级指标1</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lang w:val="zh-CN" w:eastAsia="zh-CN"/>
        </w:rPr>
        <w:t>个，其中已完成三级指标</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56.25</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“新建深水井数量”指标，预期指标值为</w:t>
      </w:r>
      <w:r>
        <w:rPr>
          <w:rFonts w:hint="eastAsia"/>
          <w:color w:val="auto"/>
          <w:highlight w:val="none"/>
          <w:lang w:eastAsia="zh-CN"/>
        </w:rPr>
        <w:t>大于等于</w:t>
      </w:r>
      <w:r>
        <w:rPr>
          <w:rFonts w:hint="eastAsia"/>
          <w:color w:val="auto"/>
          <w:highlight w:val="none"/>
          <w:lang w:val="en-US" w:eastAsia="zh-CN"/>
        </w:rPr>
        <w:t>14眼</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14眼</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“建设10kV单回架空线路长度”指标，预期指标值为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17.3千米</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17.3千米</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3614009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“新建专变200kVA柱上变数量”指标，预期指标值为</w:t>
      </w:r>
      <w:r>
        <w:rPr>
          <w:rFonts w:hint="eastAsia"/>
          <w:color w:val="auto"/>
          <w:highlight w:val="none"/>
          <w:lang w:eastAsia="zh-CN"/>
        </w:rPr>
        <w:t>大于等于</w:t>
      </w:r>
      <w:r>
        <w:rPr>
          <w:rFonts w:hint="eastAsia"/>
          <w:color w:val="auto"/>
          <w:highlight w:val="none"/>
          <w:lang w:val="en-US" w:eastAsia="zh-CN"/>
        </w:rPr>
        <w:t>14条</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14条</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703C55F7">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“新建防护林灌溉管网数量”指标，预期指标值为</w:t>
      </w:r>
      <w:r>
        <w:rPr>
          <w:rFonts w:hint="eastAsia"/>
          <w:color w:val="auto"/>
          <w:highlight w:val="none"/>
          <w:lang w:eastAsia="zh-CN"/>
        </w:rPr>
        <w:t>大于等于</w:t>
      </w:r>
      <w:r>
        <w:rPr>
          <w:rFonts w:hint="eastAsia"/>
          <w:color w:val="auto"/>
          <w:highlight w:val="none"/>
          <w:lang w:val="en-US" w:eastAsia="zh-CN"/>
        </w:rPr>
        <w:t>7条</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7条</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项目完成质量。</w:t>
      </w:r>
    </w:p>
    <w:p w14:paraId="65025BBE">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验收合格率”指标，预期指标值为100.00%,全年实际值为</w:t>
      </w:r>
      <w:r>
        <w:rPr>
          <w:rFonts w:hint="eastAsia"/>
          <w:color w:val="auto"/>
          <w:highlight w:val="none"/>
          <w:lang w:val="en-US" w:eastAsia="zh-CN"/>
        </w:rPr>
        <w:t>0</w:t>
      </w:r>
      <w:r>
        <w:rPr>
          <w:rFonts w:hint="eastAsia"/>
          <w:color w:val="auto"/>
          <w:highlight w:val="none"/>
        </w:rPr>
        <w:t>%，指标完成率为</w:t>
      </w:r>
      <w:r>
        <w:rPr>
          <w:rFonts w:hint="eastAsia"/>
          <w:color w:val="auto"/>
          <w:highlight w:val="none"/>
          <w:lang w:val="en-US" w:eastAsia="zh-CN"/>
        </w:rPr>
        <w:t>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0</w:t>
      </w:r>
      <w:r>
        <w:rPr>
          <w:rFonts w:hint="eastAsia"/>
          <w:color w:val="auto"/>
          <w:highlight w:val="none"/>
        </w:rPr>
        <w:t>分。</w:t>
      </w:r>
    </w:p>
    <w:p w14:paraId="62FB3748">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偏差原因：项目已完工暂未完成验收。</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改进措施：加快项目验收进度。</w:t>
      </w:r>
    </w:p>
    <w:p w14:paraId="3FC7DC11">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”指标，预期指标值为100.00%,全年实际值为100.00%，指标完成率为</w:t>
      </w:r>
      <w:r>
        <w:rPr>
          <w:rFonts w:hint="eastAsia"/>
          <w:color w:val="auto"/>
          <w:highlight w:val="none"/>
          <w:lang w:val="en-US" w:eastAsia="zh-CN"/>
        </w:rPr>
        <w:t>100.00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57E2B031">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74F293B0">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3.5</w:t>
      </w:r>
      <w:r>
        <w:rPr>
          <w:rFonts w:hint="eastAsia"/>
          <w:color w:val="auto"/>
          <w:highlight w:val="none"/>
        </w:rPr>
        <w:t>分。</w:t>
      </w:r>
    </w:p>
    <w:p w14:paraId="1DCE0D2C">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资金及时支付率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“工程</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908.71</w:t>
      </w:r>
      <w:r>
        <w:rPr>
          <w:rFonts w:hint="eastAsia"/>
          <w:color w:val="auto"/>
          <w:highlight w:val="none"/>
        </w:rPr>
        <w:t>万元, 全年实际值为</w:t>
      </w:r>
      <w:r>
        <w:rPr>
          <w:rFonts w:hint="eastAsia"/>
          <w:color w:val="auto"/>
          <w:highlight w:val="none"/>
          <w:lang w:val="en-US" w:eastAsia="zh-CN"/>
        </w:rPr>
        <w:t>838.07</w:t>
      </w:r>
      <w:r>
        <w:rPr>
          <w:rFonts w:hint="eastAsia"/>
          <w:color w:val="auto"/>
          <w:highlight w:val="none"/>
        </w:rPr>
        <w:t>万元，指标完成率为</w:t>
      </w:r>
      <w:r>
        <w:rPr>
          <w:rFonts w:hint="eastAsia"/>
          <w:color w:val="auto"/>
          <w:highlight w:val="none"/>
          <w:lang w:val="en-US" w:eastAsia="zh-CN"/>
        </w:rPr>
        <w:t>92.23%</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4.61</w:t>
      </w:r>
      <w:r>
        <w:rPr>
          <w:rFonts w:hint="eastAsia"/>
          <w:color w:val="auto"/>
          <w:highlight w:val="none"/>
        </w:rPr>
        <w:t>分。</w:t>
      </w:r>
    </w:p>
    <w:p w14:paraId="373806F9">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偏差原因：项目已完工暂未验收，剩余资金正在审批。</w:t>
      </w:r>
    </w:p>
    <w:p w14:paraId="484827E7">
      <w:pPr>
        <w:pStyle w:val="54"/>
        <w:spacing w:line="560" w:lineRule="exact"/>
        <w:ind w:left="0" w:leftChars="0" w:right="0" w:rightChars="0" w:firstLine="560"/>
        <w:rPr>
          <w:rFonts w:hint="eastAsia"/>
          <w:color w:val="auto"/>
          <w:highlight w:val="none"/>
        </w:rPr>
      </w:pPr>
      <w:r>
        <w:rPr>
          <w:rFonts w:hint="eastAsia"/>
          <w:color w:val="auto"/>
          <w:highlight w:val="none"/>
        </w:rPr>
        <w:t>改进措施：按照乡村振兴衔接资金项目管理办法，加快项目支付进度，完成决算编制。</w:t>
      </w:r>
    </w:p>
    <w:p w14:paraId="5DD3471B">
      <w:pPr>
        <w:pStyle w:val="54"/>
        <w:spacing w:line="560" w:lineRule="exact"/>
        <w:ind w:left="0" w:leftChars="0" w:right="0" w:rightChars="0" w:firstLine="560"/>
        <w:rPr>
          <w:rFonts w:hint="eastAsia"/>
          <w:color w:val="auto"/>
          <w:highlight w:val="none"/>
        </w:rPr>
      </w:pPr>
      <w:r>
        <w:rPr>
          <w:rFonts w:hint="eastAsia"/>
          <w:color w:val="auto"/>
          <w:highlight w:val="none"/>
        </w:rPr>
        <w:t>“其他</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115.86</w:t>
      </w:r>
      <w:r>
        <w:rPr>
          <w:rFonts w:hint="eastAsia"/>
          <w:color w:val="auto"/>
          <w:highlight w:val="none"/>
        </w:rPr>
        <w:t>万元, 全年实际值为</w:t>
      </w:r>
      <w:r>
        <w:rPr>
          <w:rFonts w:hint="eastAsia"/>
          <w:color w:val="auto"/>
          <w:highlight w:val="none"/>
          <w:lang w:eastAsia="zh-CN"/>
        </w:rPr>
        <w:t>小于等于</w:t>
      </w:r>
      <w:r>
        <w:rPr>
          <w:rFonts w:hint="eastAsia"/>
          <w:color w:val="auto"/>
          <w:highlight w:val="none"/>
          <w:lang w:val="en-US" w:eastAsia="zh-CN"/>
        </w:rPr>
        <w:t>53.59</w:t>
      </w:r>
      <w:r>
        <w:rPr>
          <w:rFonts w:hint="eastAsia"/>
          <w:color w:val="auto"/>
          <w:highlight w:val="none"/>
        </w:rPr>
        <w:t>万元，指标完成率为</w:t>
      </w:r>
      <w:r>
        <w:rPr>
          <w:rFonts w:hint="eastAsia"/>
          <w:color w:val="auto"/>
          <w:highlight w:val="none"/>
          <w:lang w:val="en-US" w:eastAsia="zh-CN"/>
        </w:rPr>
        <w:t>46.25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2.31</w:t>
      </w:r>
      <w:r>
        <w:rPr>
          <w:rFonts w:hint="eastAsia"/>
          <w:color w:val="auto"/>
          <w:highlight w:val="none"/>
        </w:rPr>
        <w:t>分。</w:t>
      </w:r>
    </w:p>
    <w:p w14:paraId="378FCBB6">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偏差原因：项目已完工暂未验收，剩余资金正在审批。</w:t>
      </w:r>
    </w:p>
    <w:p w14:paraId="6A4E0673">
      <w:pPr>
        <w:pStyle w:val="54"/>
        <w:spacing w:line="560" w:lineRule="exact"/>
        <w:ind w:left="0" w:leftChars="0" w:right="0" w:rightChars="0" w:firstLine="560"/>
        <w:rPr>
          <w:rFonts w:hint="eastAsia"/>
          <w:color w:val="auto"/>
          <w:highlight w:val="none"/>
        </w:rPr>
      </w:pPr>
      <w:r>
        <w:rPr>
          <w:rFonts w:hint="eastAsia"/>
          <w:color w:val="auto"/>
          <w:highlight w:val="none"/>
        </w:rPr>
        <w:t>改进措施：按照乡村振兴衔接资金项目管理办法，加快项目支付进度，完成决算编制。</w:t>
      </w:r>
    </w:p>
    <w:p w14:paraId="0074FF9D">
      <w:pPr>
        <w:pStyle w:val="35"/>
        <w:rPr>
          <w:color w:val="auto"/>
          <w:highlight w:val="none"/>
        </w:rPr>
      </w:pPr>
      <w:r>
        <w:rPr>
          <w:rFonts w:hint="eastAsia"/>
          <w:color w:val="auto"/>
          <w:highlight w:val="none"/>
        </w:rPr>
        <w:t>2.效益指标完成情况分析</w:t>
      </w:r>
    </w:p>
    <w:p w14:paraId="6C43BDC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项目实施的经济效益分析</w:t>
      </w:r>
    </w:p>
    <w:p w14:paraId="52D0C04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“带动增加脱贫人口全年总收入”指标，指标预期值为大于等于</w:t>
      </w:r>
      <w:r>
        <w:rPr>
          <w:rFonts w:hint="eastAsia"/>
          <w:color w:val="auto"/>
          <w:highlight w:val="none"/>
          <w:lang w:val="en-US" w:eastAsia="zh-CN"/>
        </w:rPr>
        <w:t>531.13</w:t>
      </w:r>
      <w:r>
        <w:rPr>
          <w:rFonts w:hint="default"/>
          <w:color w:val="auto"/>
          <w:highlight w:val="none"/>
          <w:lang w:val="en-US" w:eastAsia="zh-CN"/>
        </w:rPr>
        <w:t>万元，实际完成值为等于</w:t>
      </w:r>
      <w:r>
        <w:rPr>
          <w:rFonts w:hint="eastAsia"/>
          <w:color w:val="auto"/>
          <w:highlight w:val="none"/>
          <w:lang w:val="en-US" w:eastAsia="zh-CN"/>
        </w:rPr>
        <w:t>220.78</w:t>
      </w:r>
      <w:r>
        <w:rPr>
          <w:rFonts w:hint="default"/>
          <w:color w:val="auto"/>
          <w:highlight w:val="none"/>
          <w:lang w:val="en-US" w:eastAsia="zh-CN"/>
        </w:rPr>
        <w:t>万元，指标完成率为</w:t>
      </w:r>
      <w:r>
        <w:rPr>
          <w:rFonts w:hint="eastAsia"/>
          <w:color w:val="auto"/>
          <w:highlight w:val="none"/>
          <w:lang w:val="en-US" w:eastAsia="zh-CN"/>
        </w:rPr>
        <w:t>41.57</w:t>
      </w:r>
      <w:r>
        <w:rPr>
          <w:rFonts w:hint="default"/>
          <w:color w:val="auto"/>
          <w:highlight w:val="none"/>
          <w:lang w:val="en-US" w:eastAsia="zh-CN"/>
        </w:rPr>
        <w:t>%。所设分值</w:t>
      </w:r>
      <w:r>
        <w:rPr>
          <w:rFonts w:hint="eastAsia"/>
          <w:color w:val="auto"/>
          <w:highlight w:val="none"/>
          <w:lang w:val="en-US" w:eastAsia="zh-CN"/>
        </w:rPr>
        <w:t>10</w:t>
      </w:r>
      <w:r>
        <w:rPr>
          <w:rFonts w:hint="default"/>
          <w:color w:val="auto"/>
          <w:highlight w:val="none"/>
          <w:lang w:val="en-US" w:eastAsia="zh-CN"/>
        </w:rPr>
        <w:t>分，实际得分</w:t>
      </w:r>
      <w:r>
        <w:rPr>
          <w:rFonts w:hint="eastAsia"/>
          <w:color w:val="auto"/>
          <w:highlight w:val="none"/>
          <w:lang w:val="en-US" w:eastAsia="zh-CN"/>
        </w:rPr>
        <w:t>4.16</w:t>
      </w:r>
      <w:r>
        <w:rPr>
          <w:rFonts w:hint="default"/>
          <w:color w:val="auto"/>
          <w:highlight w:val="none"/>
          <w:lang w:val="en-US" w:eastAsia="zh-CN"/>
        </w:rPr>
        <w:t>分。</w:t>
      </w:r>
    </w:p>
    <w:p w14:paraId="6CCD6575">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偏差原因：项目实际发放劳务人员工资220.78万元。</w:t>
      </w:r>
    </w:p>
    <w:p w14:paraId="55FF1610">
      <w:pPr>
        <w:pStyle w:val="54"/>
        <w:spacing w:line="560" w:lineRule="exact"/>
        <w:ind w:left="0" w:leftChars="0" w:right="0" w:rightChars="0" w:firstLine="560"/>
        <w:rPr>
          <w:rFonts w:hint="default"/>
          <w:color w:val="auto"/>
          <w:highlight w:val="none"/>
          <w:lang w:val="en-US" w:eastAsia="zh-CN"/>
        </w:rPr>
      </w:pPr>
      <w:r>
        <w:rPr>
          <w:rFonts w:hint="eastAsia"/>
          <w:color w:val="auto"/>
          <w:highlight w:val="none"/>
          <w:lang w:val="en-US" w:eastAsia="zh-CN"/>
        </w:rPr>
        <w:t>改进措施：加强项目管理，加强实施方案编制。</w:t>
      </w:r>
    </w:p>
    <w:p w14:paraId="297B33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w:t>
      </w:r>
      <w:r>
        <w:rPr>
          <w:rFonts w:hint="eastAsia"/>
          <w:color w:val="auto"/>
          <w:highlight w:val="none"/>
        </w:rPr>
        <w:t>项目实施的社会效益分析</w:t>
      </w:r>
    </w:p>
    <w:p w14:paraId="5B7322C0">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“受益建档立卡脱贫人口数”指标，指标预期值为大于等于35人，实际完成值为等于66人，指标完成率为90%。所设分值10分，实际得分9分。</w:t>
      </w:r>
    </w:p>
    <w:p w14:paraId="6FCDD7E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偏差原因：实际聘用务工人员平均66人。</w:t>
      </w:r>
    </w:p>
    <w:p w14:paraId="17104F9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改进措施：加强项目管理，加强实施方案编制。</w:t>
      </w:r>
    </w:p>
    <w:p w14:paraId="6B13D1EE">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“提高村民生活水平”指标，指标预期值为有效提高，实际完成值为0，指标完成率为0%。所设分值10分，实际得分0分。</w:t>
      </w:r>
    </w:p>
    <w:p w14:paraId="7C22051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偏差原因：项目暂未完成验收，未能产生相应效益。</w:t>
      </w:r>
    </w:p>
    <w:p w14:paraId="1BA9DBC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改进措施：加快项目验收进度，尽快投入使用。</w:t>
      </w:r>
    </w:p>
    <w:p w14:paraId="33B2793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2.满意度指标完成情况分析</w:t>
      </w:r>
    </w:p>
    <w:p w14:paraId="3B0ED54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“村民满意度”指标，指标预期值为大于等于95%，实际完成值为0%，指标完成率为0%。所设分值10分，实际得分0分。</w:t>
      </w:r>
    </w:p>
    <w:p w14:paraId="6C5672B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偏差原因：项目暂未完成验收，未能产生相应效益。</w:t>
      </w:r>
    </w:p>
    <w:p w14:paraId="2969E527">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改进措施：加快项目验收进度，尽快投入使用。</w:t>
      </w:r>
    </w:p>
    <w:p w14:paraId="742264B5">
      <w:pPr>
        <w:pStyle w:val="54"/>
        <w:spacing w:line="560" w:lineRule="exact"/>
        <w:ind w:left="0" w:leftChars="0" w:right="0" w:rightChars="0" w:firstLine="560"/>
        <w:rPr>
          <w:rFonts w:hint="eastAsia"/>
          <w:color w:val="auto"/>
          <w:highlight w:val="none"/>
          <w:lang w:val="en-US" w:eastAsia="zh-CN"/>
        </w:rPr>
      </w:pP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34781545">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rPr>
      </w:pPr>
      <w:r>
        <w:rPr>
          <w:rFonts w:hint="eastAsia"/>
          <w:color w:val="auto"/>
          <w:highlight w:val="none"/>
          <w:lang w:val="en-US" w:eastAsia="zh-CN"/>
        </w:rPr>
        <w:t>1.质量指标-</w:t>
      </w:r>
      <w:r>
        <w:rPr>
          <w:rFonts w:hint="eastAsia"/>
          <w:color w:val="auto"/>
          <w:highlight w:val="none"/>
        </w:rPr>
        <w:t>“</w:t>
      </w:r>
      <w:r>
        <w:rPr>
          <w:rFonts w:hint="eastAsia"/>
          <w:color w:val="auto"/>
          <w:highlight w:val="none"/>
          <w:lang w:val="en-US" w:eastAsia="zh-CN"/>
        </w:rPr>
        <w:t>项目</w:t>
      </w:r>
      <w:r>
        <w:rPr>
          <w:rFonts w:hint="eastAsia"/>
          <w:color w:val="auto"/>
          <w:highlight w:val="none"/>
        </w:rPr>
        <w:t>验收合格率”指标，预期指标值为100.00%,全年实际值为</w:t>
      </w:r>
      <w:r>
        <w:rPr>
          <w:rFonts w:hint="eastAsia"/>
          <w:color w:val="auto"/>
          <w:highlight w:val="none"/>
          <w:lang w:val="en-US" w:eastAsia="zh-CN"/>
        </w:rPr>
        <w:t>0</w:t>
      </w:r>
      <w:r>
        <w:rPr>
          <w:rFonts w:hint="eastAsia"/>
          <w:color w:val="auto"/>
          <w:highlight w:val="none"/>
        </w:rPr>
        <w:t>%。</w:t>
      </w:r>
    </w:p>
    <w:p w14:paraId="1A298748">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rPr>
      </w:pPr>
      <w:r>
        <w:rPr>
          <w:rFonts w:hint="eastAsia"/>
          <w:color w:val="auto"/>
          <w:highlight w:val="none"/>
        </w:rPr>
        <w:t>偏差原因：项目已完工暂未完成验收。</w:t>
      </w:r>
    </w:p>
    <w:p w14:paraId="224FCD59">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lang w:val="en-US" w:eastAsia="zh-CN"/>
        </w:rPr>
      </w:pPr>
      <w:r>
        <w:rPr>
          <w:rFonts w:hint="eastAsia"/>
          <w:color w:val="auto"/>
          <w:highlight w:val="none"/>
        </w:rPr>
        <w:t>改进措施：加快项目验收进度。</w:t>
      </w:r>
    </w:p>
    <w:p w14:paraId="49E1A521">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lang w:eastAsia="zh-CN"/>
        </w:rPr>
      </w:pPr>
      <w:r>
        <w:rPr>
          <w:rFonts w:hint="eastAsia"/>
          <w:color w:val="auto"/>
          <w:highlight w:val="none"/>
          <w:lang w:val="en-US" w:eastAsia="zh-CN"/>
        </w:rPr>
        <w:t>2.成本指标-</w:t>
      </w:r>
      <w:r>
        <w:rPr>
          <w:rFonts w:hint="eastAsia"/>
          <w:color w:val="auto"/>
          <w:highlight w:val="none"/>
        </w:rPr>
        <w:t>“工程</w:t>
      </w:r>
      <w:r>
        <w:rPr>
          <w:rFonts w:hint="eastAsia"/>
          <w:color w:val="auto"/>
          <w:highlight w:val="none"/>
          <w:lang w:val="en-US" w:eastAsia="zh-CN"/>
        </w:rPr>
        <w:t>费用</w:t>
      </w:r>
      <w:r>
        <w:rPr>
          <w:rFonts w:hint="eastAsia"/>
          <w:color w:val="auto"/>
          <w:highlight w:val="none"/>
        </w:rPr>
        <w:t>”指标，预期指标值为小于等于908.71万元, 全年实际值为838.07万元</w:t>
      </w:r>
      <w:r>
        <w:rPr>
          <w:rFonts w:hint="eastAsia"/>
          <w:color w:val="auto"/>
          <w:highlight w:val="none"/>
          <w:lang w:eastAsia="zh-CN"/>
        </w:rPr>
        <w:t>。</w:t>
      </w:r>
    </w:p>
    <w:p w14:paraId="08481C31">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rPr>
      </w:pPr>
      <w:r>
        <w:rPr>
          <w:rFonts w:hint="eastAsia"/>
          <w:color w:val="auto"/>
          <w:highlight w:val="none"/>
        </w:rPr>
        <w:t>偏差原因：项目已完工暂未验收，剩余资金正在审批。</w:t>
      </w:r>
    </w:p>
    <w:p w14:paraId="3939CD0F">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rPr>
      </w:pPr>
      <w:r>
        <w:rPr>
          <w:rFonts w:hint="eastAsia"/>
          <w:color w:val="auto"/>
          <w:highlight w:val="none"/>
        </w:rPr>
        <w:t>改进措施：按照乡村振兴衔接资金项目管理办法，加快项目支付进度，完成决算编制。</w:t>
      </w:r>
    </w:p>
    <w:p w14:paraId="368AD180">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ascii="仿宋_GB2312" w:eastAsia="仿宋_GB2312"/>
          <w:color w:val="auto"/>
          <w:spacing w:val="-4"/>
          <w:szCs w:val="32"/>
          <w:highlight w:val="none"/>
          <w:lang w:val="en-US" w:eastAsia="zh-CN"/>
        </w:rPr>
      </w:pPr>
      <w:r>
        <w:rPr>
          <w:rFonts w:hint="eastAsia"/>
          <w:color w:val="auto"/>
          <w:highlight w:val="none"/>
          <w:lang w:val="en-US" w:eastAsia="zh-CN"/>
        </w:rPr>
        <w:t>3.</w:t>
      </w:r>
      <w:r>
        <w:rPr>
          <w:rFonts w:hint="eastAsia"/>
          <w:color w:val="auto"/>
          <w:highlight w:val="none"/>
        </w:rPr>
        <w:t>成本指标</w:t>
      </w:r>
      <w:r>
        <w:rPr>
          <w:rFonts w:hint="eastAsia"/>
          <w:color w:val="auto"/>
          <w:highlight w:val="none"/>
          <w:lang w:val="en-US" w:eastAsia="zh-CN"/>
        </w:rPr>
        <w:t>-</w:t>
      </w:r>
      <w:r>
        <w:rPr>
          <w:rFonts w:hint="eastAsia"/>
          <w:color w:val="auto"/>
          <w:highlight w:val="none"/>
        </w:rPr>
        <w:t>“</w:t>
      </w:r>
      <w:r>
        <w:rPr>
          <w:rFonts w:hint="eastAsia"/>
          <w:color w:val="auto"/>
          <w:highlight w:val="none"/>
          <w:lang w:val="en-US" w:eastAsia="zh-CN"/>
        </w:rPr>
        <w:t>其他费用</w:t>
      </w:r>
      <w:r>
        <w:rPr>
          <w:rFonts w:hint="eastAsia"/>
          <w:color w:val="auto"/>
          <w:highlight w:val="none"/>
        </w:rPr>
        <w:t>”指标</w:t>
      </w:r>
      <w:r>
        <w:rPr>
          <w:rFonts w:hint="eastAsia"/>
          <w:color w:val="auto"/>
          <w:highlight w:val="none"/>
          <w:lang w:eastAsia="zh-CN"/>
        </w:rPr>
        <w:t>，预期指标值为小于等于115.86万元, 全年实际值为小于等于</w:t>
      </w:r>
      <w:r>
        <w:rPr>
          <w:rFonts w:hint="eastAsia" w:ascii="仿宋_GB2312"/>
          <w:color w:val="auto"/>
          <w:spacing w:val="-4"/>
          <w:szCs w:val="32"/>
          <w:highlight w:val="none"/>
          <w:lang w:eastAsia="zh-CN"/>
        </w:rPr>
        <w:t>53.59万元。</w:t>
      </w:r>
    </w:p>
    <w:p w14:paraId="14517996">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rPr>
      </w:pPr>
      <w:r>
        <w:rPr>
          <w:rFonts w:hint="eastAsia"/>
          <w:color w:val="auto"/>
          <w:highlight w:val="none"/>
        </w:rPr>
        <w:t>偏差原因：项目已完工暂未验收，剩余资金正在审批。</w:t>
      </w:r>
    </w:p>
    <w:p w14:paraId="2FA1F8BF">
      <w:pPr>
        <w:pStyle w:val="54"/>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560" w:firstLineChars="200"/>
        <w:textAlignment w:val="auto"/>
        <w:rPr>
          <w:rFonts w:hint="eastAsia"/>
          <w:color w:val="auto"/>
          <w:highlight w:val="none"/>
          <w:lang w:eastAsia="zh-CN"/>
        </w:rPr>
      </w:pPr>
      <w:r>
        <w:rPr>
          <w:rFonts w:hint="eastAsia"/>
          <w:color w:val="auto"/>
          <w:highlight w:val="none"/>
        </w:rPr>
        <w:t>改进措施：按照乡村振兴衔接资金项目管理办法，加快项目支付进度，完成决算编制</w:t>
      </w:r>
      <w:r>
        <w:rPr>
          <w:rFonts w:hint="eastAsia"/>
          <w:color w:val="auto"/>
          <w:highlight w:val="none"/>
          <w:lang w:eastAsia="zh-CN"/>
        </w:rPr>
        <w:t>。</w:t>
      </w:r>
    </w:p>
    <w:p w14:paraId="6A729885">
      <w:pPr>
        <w:pStyle w:val="54"/>
        <w:spacing w:line="560" w:lineRule="exact"/>
        <w:ind w:left="0" w:leftChars="0" w:right="0" w:rightChars="0" w:firstLine="560"/>
        <w:rPr>
          <w:rFonts w:hint="default"/>
          <w:color w:val="auto"/>
          <w:highlight w:val="none"/>
          <w:lang w:val="en-US" w:eastAsia="zh-CN"/>
        </w:rPr>
      </w:pPr>
      <w:r>
        <w:rPr>
          <w:rFonts w:hint="eastAsia"/>
          <w:color w:val="auto"/>
          <w:highlight w:val="none"/>
          <w:lang w:val="en-US" w:eastAsia="zh-CN"/>
        </w:rPr>
        <w:t>4.经济效益指标-</w:t>
      </w:r>
      <w:r>
        <w:rPr>
          <w:rFonts w:hint="default"/>
          <w:color w:val="auto"/>
          <w:highlight w:val="none"/>
          <w:lang w:val="en-US" w:eastAsia="zh-CN"/>
        </w:rPr>
        <w:t>“带动增加脱贫人口全年总收入”指标，指标预期值为大于等于</w:t>
      </w:r>
      <w:r>
        <w:rPr>
          <w:rFonts w:hint="eastAsia"/>
          <w:color w:val="auto"/>
          <w:highlight w:val="none"/>
          <w:lang w:val="en-US" w:eastAsia="zh-CN"/>
        </w:rPr>
        <w:t>531.13</w:t>
      </w:r>
      <w:r>
        <w:rPr>
          <w:rFonts w:hint="default"/>
          <w:color w:val="auto"/>
          <w:highlight w:val="none"/>
          <w:lang w:val="en-US" w:eastAsia="zh-CN"/>
        </w:rPr>
        <w:t>万元。</w:t>
      </w:r>
    </w:p>
    <w:p w14:paraId="3E75AA55">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偏差原因：项目实际发放劳务人员工资220.78万元。</w:t>
      </w:r>
    </w:p>
    <w:p w14:paraId="0CE0A613">
      <w:pPr>
        <w:pStyle w:val="54"/>
        <w:spacing w:line="560" w:lineRule="exact"/>
        <w:ind w:left="0" w:leftChars="0" w:right="0" w:rightChars="0" w:firstLine="560"/>
        <w:rPr>
          <w:rFonts w:hint="default"/>
          <w:color w:val="auto"/>
          <w:highlight w:val="none"/>
          <w:lang w:val="en-US" w:eastAsia="zh-CN"/>
        </w:rPr>
      </w:pPr>
      <w:r>
        <w:rPr>
          <w:rFonts w:hint="eastAsia"/>
          <w:color w:val="auto"/>
          <w:highlight w:val="none"/>
          <w:lang w:val="en-US" w:eastAsia="zh-CN"/>
        </w:rPr>
        <w:t>改进措施：加强项目管理，加强实施方案编制。</w:t>
      </w:r>
    </w:p>
    <w:p w14:paraId="66C28214">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5.</w:t>
      </w:r>
      <w:r>
        <w:rPr>
          <w:rFonts w:hint="eastAsia"/>
          <w:color w:val="auto"/>
          <w:highlight w:val="none"/>
        </w:rPr>
        <w:t>社会效益</w:t>
      </w:r>
      <w:r>
        <w:rPr>
          <w:rFonts w:hint="eastAsia"/>
          <w:color w:val="auto"/>
          <w:highlight w:val="none"/>
          <w:lang w:val="en-US" w:eastAsia="zh-CN"/>
        </w:rPr>
        <w:t>指标-“受益建档立卡脱贫人口数”指标，指标预期值为大于等于35人，实际完成值为等于66人。</w:t>
      </w:r>
    </w:p>
    <w:p w14:paraId="56F2097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偏差原因：实际聘用务工人员平均66人。</w:t>
      </w:r>
    </w:p>
    <w:p w14:paraId="1474131E">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改进措施：加强项目管理，加强实施方案编制。</w:t>
      </w:r>
    </w:p>
    <w:p w14:paraId="48B65EB7">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6.</w:t>
      </w:r>
      <w:r>
        <w:rPr>
          <w:rFonts w:hint="eastAsia"/>
          <w:color w:val="auto"/>
          <w:highlight w:val="none"/>
        </w:rPr>
        <w:t>社会效益</w:t>
      </w:r>
      <w:r>
        <w:rPr>
          <w:rFonts w:hint="eastAsia"/>
          <w:color w:val="auto"/>
          <w:highlight w:val="none"/>
          <w:lang w:val="en-US" w:eastAsia="zh-CN"/>
        </w:rPr>
        <w:t>指标-“提高村民生活水平”指标，指标预期值为有效提高，实际完成值为0。</w:t>
      </w:r>
    </w:p>
    <w:p w14:paraId="518DB78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偏差原因：项目暂未完成验收，未能产生相应效益。</w:t>
      </w:r>
    </w:p>
    <w:p w14:paraId="599CB288">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改进措施：加快项目验收进度，尽快投入使用。</w:t>
      </w:r>
    </w:p>
    <w:p w14:paraId="2EBC305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7.满意度指标-“村民满意度”指标，指标预期值为大于等于95%，实际完成值为0%。</w:t>
      </w:r>
    </w:p>
    <w:p w14:paraId="2CD769B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偏差原因：项目暂未完成验收，未能产生相应效益。</w:t>
      </w:r>
    </w:p>
    <w:p w14:paraId="5A3F94EA">
      <w:pPr>
        <w:pStyle w:val="54"/>
        <w:spacing w:line="560" w:lineRule="exact"/>
        <w:ind w:left="0" w:leftChars="0" w:right="0" w:rightChars="0" w:firstLine="560"/>
        <w:rPr>
          <w:rFonts w:hint="eastAsia"/>
          <w:color w:val="auto"/>
          <w:highlight w:val="none"/>
          <w:lang w:eastAsia="zh-CN"/>
        </w:rPr>
      </w:pPr>
      <w:r>
        <w:rPr>
          <w:rFonts w:hint="eastAsia"/>
          <w:color w:val="auto"/>
          <w:highlight w:val="none"/>
          <w:lang w:val="en-US" w:eastAsia="zh-CN"/>
        </w:rPr>
        <w:t>改进措施：加快项目验收进度，尽快投入使用。</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于田县奥依托格拉克乡东侧红柳大芸基地附属设施建设项目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16</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9</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56.25</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于田县奥依托格拉克乡东侧红柳大芸基地附属设施建设项目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64.28</w:t>
      </w:r>
      <w:r>
        <w:rPr>
          <w:rFonts w:hint="eastAsia" w:ascii="仿宋_GB2312"/>
          <w:color w:val="auto"/>
          <w:spacing w:val="-4"/>
          <w:szCs w:val="32"/>
          <w:highlight w:val="none"/>
        </w:rPr>
        <w:t>分，评价等级为</w:t>
      </w:r>
      <w:r>
        <w:rPr>
          <w:rFonts w:hint="eastAsia" w:ascii="仿宋_GB2312"/>
          <w:color w:val="auto"/>
          <w:spacing w:val="-4"/>
          <w:szCs w:val="32"/>
          <w:highlight w:val="none"/>
          <w:lang w:val="en-US" w:eastAsia="zh-CN"/>
        </w:rPr>
        <w:t>中</w:t>
      </w:r>
      <w:r>
        <w:rPr>
          <w:rFonts w:hint="eastAsia" w:ascii="仿宋_GB2312"/>
          <w:color w:val="auto"/>
          <w:spacing w:val="-4"/>
          <w:szCs w:val="32"/>
          <w:highlight w:val="none"/>
        </w:rPr>
        <w:t>。</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于田县奥依托格拉克乡东侧红柳大芸基地附属设施建设项目</w:t>
      </w:r>
      <w:r>
        <w:rPr>
          <w:rFonts w:hint="eastAsia" w:ascii="仿宋_GB2312"/>
          <w:color w:val="auto"/>
          <w:highlight w:val="none"/>
        </w:rPr>
        <w:t>方案的批复》（于发改项目【2024】33号）。</w:t>
      </w:r>
    </w:p>
    <w:p w14:paraId="46E5C53B">
      <w:pPr>
        <w:pStyle w:val="54"/>
        <w:spacing w:line="560" w:lineRule="exact"/>
        <w:ind w:left="3" w:right="3" w:firstLine="560"/>
        <w:rPr>
          <w:rFonts w:ascii="仿宋_GB2312"/>
          <w:color w:val="auto"/>
          <w:highlight w:val="none"/>
        </w:rPr>
      </w:pPr>
      <w:r>
        <w:rPr>
          <w:rFonts w:hint="eastAsia" w:ascii="仿宋_GB2312"/>
          <w:color w:val="auto"/>
          <w:highlight w:val="none"/>
        </w:rPr>
        <w:t>资金状况：预算资金来源为以工代赈资金，文件依据：和田地区关于下达2024年中央财政衔接资金任务计划的通知》（和地财农【2024】5号）。</w:t>
      </w:r>
    </w:p>
    <w:p w14:paraId="7A84744F">
      <w:pPr>
        <w:pStyle w:val="54"/>
        <w:spacing w:line="560" w:lineRule="exact"/>
        <w:ind w:left="3" w:right="3" w:firstLine="560"/>
        <w:rPr>
          <w:rFonts w:hint="eastAsia" w:ascii="仿宋_GB2312"/>
          <w:color w:val="auto"/>
          <w:highlight w:val="none"/>
          <w:lang w:val="en-US" w:eastAsia="zh-CN"/>
        </w:rPr>
      </w:pPr>
      <w:r>
        <w:rPr>
          <w:rFonts w:hint="eastAsia" w:ascii="仿宋_GB2312"/>
          <w:color w:val="auto"/>
          <w:highlight w:val="none"/>
          <w:lang w:val="en-US" w:eastAsia="zh-CN"/>
        </w:rPr>
        <w:t>过程状况：该项目于2024</w:t>
      </w:r>
      <w:r>
        <w:rPr>
          <w:rFonts w:hint="eastAsia" w:ascii="仿宋_GB2312"/>
          <w:color w:val="auto"/>
          <w:highlight w:val="none"/>
          <w:lang w:val="en-US" w:eastAsia="zh-CN"/>
        </w:rPr>
        <w:tab/>
      </w:r>
      <w:r>
        <w:rPr>
          <w:rFonts w:hint="eastAsia" w:ascii="仿宋_GB2312"/>
          <w:color w:val="auto"/>
          <w:highlight w:val="none"/>
          <w:lang w:val="en-US" w:eastAsia="zh-CN"/>
        </w:rPr>
        <w:t>年6月27日制订实施方案并得到批复，2024年7月26日进行招标，2024年7月31日确定施工单位签订施工合同，2024</w:t>
      </w:r>
      <w:r>
        <w:rPr>
          <w:rFonts w:hint="eastAsia" w:ascii="仿宋_GB2312"/>
          <w:color w:val="auto"/>
          <w:highlight w:val="none"/>
          <w:lang w:val="en-US" w:eastAsia="zh-CN"/>
        </w:rPr>
        <w:tab/>
      </w:r>
      <w:r>
        <w:rPr>
          <w:rFonts w:hint="eastAsia" w:ascii="仿宋_GB2312"/>
          <w:color w:val="auto"/>
          <w:highlight w:val="none"/>
          <w:lang w:val="en-US" w:eastAsia="zh-CN"/>
        </w:rPr>
        <w:t>年8月开始拨付工程款，项目暂未验收。</w:t>
      </w:r>
    </w:p>
    <w:p w14:paraId="50CE1960">
      <w:pPr>
        <w:pStyle w:val="54"/>
        <w:spacing w:line="560" w:lineRule="exact"/>
        <w:ind w:left="3" w:right="3" w:firstLine="560"/>
        <w:rPr>
          <w:rFonts w:hint="eastAsia" w:ascii="仿宋_GB2312"/>
          <w:color w:val="auto"/>
          <w:highlight w:val="none"/>
          <w:lang w:val="en-US" w:eastAsia="zh-CN"/>
        </w:rPr>
      </w:pPr>
      <w:r>
        <w:rPr>
          <w:rFonts w:hint="eastAsia" w:ascii="仿宋_GB2312"/>
          <w:color w:val="auto"/>
          <w:highlight w:val="none"/>
          <w:lang w:val="en-US" w:eastAsia="zh-CN"/>
        </w:rPr>
        <w:t>结果状况：项目暂未完成验收。</w:t>
      </w:r>
    </w:p>
    <w:p w14:paraId="6DC476CA">
      <w:pPr>
        <w:pStyle w:val="54"/>
        <w:spacing w:line="560" w:lineRule="exact"/>
        <w:ind w:left="3" w:right="3" w:firstLine="560"/>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于田县奥依托格拉克乡东侧红柳大芸基地附属设施建设项目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于田县奥依托格拉克乡东侧红柳大芸基地附属设施建设项目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27C5B05"/>
    <w:rsid w:val="05A2298D"/>
    <w:rsid w:val="07322E14"/>
    <w:rsid w:val="0C033E70"/>
    <w:rsid w:val="14634486"/>
    <w:rsid w:val="20E73131"/>
    <w:rsid w:val="219F07B6"/>
    <w:rsid w:val="2231313E"/>
    <w:rsid w:val="26F15406"/>
    <w:rsid w:val="2BEC6DA5"/>
    <w:rsid w:val="31523460"/>
    <w:rsid w:val="34EF419F"/>
    <w:rsid w:val="36657C06"/>
    <w:rsid w:val="3E982E81"/>
    <w:rsid w:val="4037219F"/>
    <w:rsid w:val="40AA57C4"/>
    <w:rsid w:val="485A725E"/>
    <w:rsid w:val="49A90C47"/>
    <w:rsid w:val="4B110D0E"/>
    <w:rsid w:val="4E3715BC"/>
    <w:rsid w:val="4EF3230B"/>
    <w:rsid w:val="55CE7228"/>
    <w:rsid w:val="56A43B97"/>
    <w:rsid w:val="58BC54DF"/>
    <w:rsid w:val="5AA61865"/>
    <w:rsid w:val="62923AAE"/>
    <w:rsid w:val="62C0120F"/>
    <w:rsid w:val="6D8D08C8"/>
    <w:rsid w:val="724D3A20"/>
    <w:rsid w:val="726450F7"/>
    <w:rsid w:val="7BAB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7333</Words>
  <Characters>8144</Characters>
  <Lines>9</Lines>
  <Paragraphs>15</Paragraphs>
  <TotalTime>4</TotalTime>
  <ScaleCrop>false</ScaleCrop>
  <LinksUpToDate>false</LinksUpToDate>
  <CharactersWithSpaces>8586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2025-12-15T10:16:57Z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