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089816">
      <w:pPr>
        <w:spacing w:before="120" w:after="120" w:line="480" w:lineRule="auto"/>
        <w:ind w:firstLine="883" w:firstLineChars="200"/>
        <w:jc w:val="center"/>
        <w:outlineLvl w:val="0"/>
        <w:rPr>
          <w:rFonts w:ascii="仿宋_GB2312" w:hAnsi="Arial"/>
          <w:b/>
          <w:color w:val="auto"/>
          <w:sz w:val="44"/>
          <w:szCs w:val="44"/>
          <w:highlight w:val="none"/>
        </w:rPr>
      </w:pPr>
      <w:bookmarkStart w:id="0" w:name="_GoBack"/>
      <w:bookmarkEnd w:id="0"/>
    </w:p>
    <w:p w14:paraId="005EB6E7">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0347C157">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1BB44E7E">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03F845A0">
      <w:pPr>
        <w:spacing w:line="540" w:lineRule="exact"/>
        <w:ind w:firstLine="600" w:firstLineChars="200"/>
        <w:jc w:val="center"/>
        <w:rPr>
          <w:rFonts w:hAnsi="宋体" w:cs="宋体"/>
          <w:color w:val="auto"/>
          <w:kern w:val="0"/>
          <w:sz w:val="30"/>
          <w:szCs w:val="30"/>
          <w:highlight w:val="none"/>
        </w:rPr>
      </w:pPr>
    </w:p>
    <w:p w14:paraId="43AB6C3E">
      <w:pPr>
        <w:spacing w:line="540" w:lineRule="exact"/>
        <w:ind w:firstLine="600" w:firstLineChars="200"/>
        <w:jc w:val="center"/>
        <w:rPr>
          <w:rFonts w:hAnsi="宋体" w:cs="宋体"/>
          <w:color w:val="auto"/>
          <w:kern w:val="0"/>
          <w:sz w:val="30"/>
          <w:szCs w:val="30"/>
          <w:highlight w:val="none"/>
        </w:rPr>
      </w:pPr>
    </w:p>
    <w:p w14:paraId="648758FD">
      <w:pPr>
        <w:spacing w:line="540" w:lineRule="exact"/>
        <w:ind w:firstLine="600" w:firstLineChars="200"/>
        <w:jc w:val="center"/>
        <w:rPr>
          <w:rFonts w:hAnsi="宋体" w:cs="宋体"/>
          <w:color w:val="auto"/>
          <w:kern w:val="0"/>
          <w:sz w:val="30"/>
          <w:szCs w:val="30"/>
          <w:highlight w:val="none"/>
        </w:rPr>
      </w:pPr>
    </w:p>
    <w:p w14:paraId="4C8CB1D8">
      <w:pPr>
        <w:spacing w:line="540" w:lineRule="exact"/>
        <w:ind w:firstLine="600" w:firstLineChars="200"/>
        <w:jc w:val="center"/>
        <w:rPr>
          <w:rFonts w:hAnsi="宋体" w:cs="宋体"/>
          <w:color w:val="auto"/>
          <w:kern w:val="0"/>
          <w:sz w:val="30"/>
          <w:szCs w:val="30"/>
          <w:highlight w:val="none"/>
        </w:rPr>
      </w:pPr>
    </w:p>
    <w:p w14:paraId="5FA1AB22">
      <w:pPr>
        <w:spacing w:line="540" w:lineRule="exact"/>
        <w:ind w:firstLine="600" w:firstLineChars="200"/>
        <w:rPr>
          <w:rFonts w:hAnsi="宋体" w:cs="宋体"/>
          <w:color w:val="auto"/>
          <w:kern w:val="0"/>
          <w:sz w:val="30"/>
          <w:szCs w:val="30"/>
          <w:highlight w:val="none"/>
        </w:rPr>
      </w:pPr>
    </w:p>
    <w:p w14:paraId="371F4703">
      <w:pPr>
        <w:spacing w:line="540" w:lineRule="exact"/>
        <w:ind w:firstLine="600" w:firstLineChars="200"/>
        <w:rPr>
          <w:rFonts w:hAnsi="宋体" w:cs="宋体"/>
          <w:color w:val="auto"/>
          <w:kern w:val="0"/>
          <w:sz w:val="30"/>
          <w:szCs w:val="30"/>
          <w:highlight w:val="none"/>
        </w:rPr>
      </w:pPr>
    </w:p>
    <w:p w14:paraId="70B3E31C">
      <w:pPr>
        <w:spacing w:line="360" w:lineRule="auto"/>
        <w:ind w:left="640" w:leftChars="200" w:firstLine="640" w:firstLineChars="200"/>
        <w:rPr>
          <w:rFonts w:ascii="仿宋" w:hAnsi="仿宋" w:eastAsia="仿宋" w:cs="仿宋"/>
          <w:color w:val="auto"/>
          <w:szCs w:val="32"/>
          <w:highlight w:val="none"/>
        </w:rPr>
      </w:pPr>
    </w:p>
    <w:p w14:paraId="7940973E">
      <w:pPr>
        <w:spacing w:line="360" w:lineRule="auto"/>
        <w:ind w:left="640" w:leftChars="200" w:firstLine="640" w:firstLineChars="200"/>
        <w:rPr>
          <w:rFonts w:ascii="仿宋" w:hAnsi="仿宋" w:eastAsia="仿宋" w:cs="仿宋"/>
          <w:color w:val="auto"/>
          <w:szCs w:val="32"/>
          <w:highlight w:val="none"/>
        </w:rPr>
      </w:pPr>
    </w:p>
    <w:p w14:paraId="496626C0">
      <w:pPr>
        <w:spacing w:line="560" w:lineRule="exact"/>
        <w:ind w:left="640" w:leftChars="200" w:firstLine="640" w:firstLineChars="200"/>
        <w:rPr>
          <w:rFonts w:ascii="仿宋" w:hAnsi="仿宋" w:eastAsia="仿宋" w:cs="仿宋"/>
          <w:color w:val="auto"/>
          <w:szCs w:val="32"/>
          <w:highlight w:val="none"/>
        </w:rPr>
      </w:pPr>
    </w:p>
    <w:p w14:paraId="7EDF7F77">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项目名称:</w:t>
      </w:r>
      <w:r>
        <w:rPr>
          <w:rFonts w:hint="eastAsia" w:ascii="仿宋" w:hAnsi="仿宋" w:eastAsia="仿宋" w:cs="仿宋"/>
          <w:color w:val="auto"/>
          <w:szCs w:val="32"/>
          <w:highlight w:val="none"/>
          <w:lang w:eastAsia="zh-CN"/>
        </w:rPr>
        <w:t>于田县玫瑰基地北侧红柳大芸基地基础配套设施建设项目</w:t>
      </w:r>
    </w:p>
    <w:p w14:paraId="6894D10A">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实施单位(公章):于田县林业和草原局</w:t>
      </w:r>
    </w:p>
    <w:p w14:paraId="29016572">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主管部门(公章):于田</w:t>
      </w:r>
      <w:r>
        <w:rPr>
          <w:rFonts w:hint="eastAsia" w:ascii="仿宋" w:hAnsi="仿宋" w:eastAsia="仿宋" w:cs="仿宋"/>
          <w:color w:val="auto"/>
          <w:szCs w:val="32"/>
          <w:highlight w:val="none"/>
          <w:lang w:eastAsia="zh-CN"/>
        </w:rPr>
        <w:t>县发展和改革委员会</w:t>
      </w:r>
    </w:p>
    <w:p w14:paraId="655BFB1B">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项目负责人(签章):刘德刚</w:t>
      </w:r>
    </w:p>
    <w:p w14:paraId="5B774997">
      <w:pPr>
        <w:spacing w:line="560" w:lineRule="exact"/>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18</w:t>
      </w:r>
      <w:r>
        <w:rPr>
          <w:rFonts w:ascii="仿宋" w:hAnsi="仿宋" w:eastAsia="仿宋" w:cs="仿宋"/>
          <w:color w:val="auto"/>
          <w:szCs w:val="32"/>
          <w:highlight w:val="none"/>
        </w:rPr>
        <w:t>日</w:t>
      </w:r>
    </w:p>
    <w:p w14:paraId="318BA86A">
      <w:pPr>
        <w:spacing w:line="560" w:lineRule="exact"/>
        <w:ind w:firstLine="640" w:firstLineChars="200"/>
        <w:rPr>
          <w:rFonts w:ascii="仿宋_GB2312" w:hAnsi="仿宋_GB2312" w:cs="仿宋_GB2312"/>
          <w:color w:val="auto"/>
          <w:kern w:val="0"/>
          <w:szCs w:val="32"/>
          <w:highlight w:val="none"/>
          <w:lang w:bidi="en-US"/>
        </w:rPr>
      </w:pPr>
    </w:p>
    <w:p w14:paraId="26942528">
      <w:pPr>
        <w:spacing w:line="560" w:lineRule="exact"/>
        <w:ind w:firstLine="640" w:firstLineChars="200"/>
        <w:rPr>
          <w:rFonts w:ascii="仿宋_GB2312" w:hAnsi="仿宋_GB2312" w:cs="仿宋_GB2312"/>
          <w:color w:val="auto"/>
          <w:kern w:val="0"/>
          <w:szCs w:val="32"/>
          <w:highlight w:val="none"/>
          <w:lang w:bidi="en-US"/>
        </w:rPr>
      </w:pPr>
    </w:p>
    <w:p w14:paraId="665934CA">
      <w:pPr>
        <w:spacing w:line="360" w:lineRule="auto"/>
        <w:ind w:firstLine="627" w:firstLineChars="200"/>
        <w:rPr>
          <w:rStyle w:val="21"/>
          <w:rFonts w:ascii="黑体" w:hAnsi="黑体" w:eastAsia="黑体" w:cs="Times New Roman"/>
          <w:color w:val="auto"/>
          <w:spacing w:val="-4"/>
          <w:szCs w:val="32"/>
          <w:highlight w:val="none"/>
        </w:rPr>
      </w:pPr>
    </w:p>
    <w:p w14:paraId="1A4ABADC">
      <w:pPr>
        <w:spacing w:line="360" w:lineRule="auto"/>
        <w:ind w:firstLine="627" w:firstLineChars="200"/>
        <w:rPr>
          <w:rStyle w:val="21"/>
          <w:rFonts w:ascii="黑体" w:hAnsi="黑体" w:eastAsia="黑体" w:cs="Times New Roman"/>
          <w:color w:val="auto"/>
          <w:spacing w:val="-4"/>
          <w:szCs w:val="32"/>
          <w:highlight w:val="none"/>
        </w:rPr>
      </w:pPr>
      <w:r>
        <w:rPr>
          <w:rStyle w:val="21"/>
          <w:rFonts w:hint="eastAsia" w:ascii="黑体" w:hAnsi="黑体" w:eastAsia="黑体" w:cs="Times New Roman"/>
          <w:color w:val="auto"/>
          <w:spacing w:val="-4"/>
          <w:szCs w:val="32"/>
          <w:highlight w:val="none"/>
        </w:rPr>
        <w:t>一、绩效目标分解下达情况</w:t>
      </w:r>
    </w:p>
    <w:p w14:paraId="5EBC198D">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7EA289A5">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14:paraId="08BE113B">
      <w:pPr>
        <w:pStyle w:val="54"/>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本项目根据于田县发展和改革委员会下发的《关于对</w:t>
      </w:r>
      <w:r>
        <w:rPr>
          <w:rFonts w:hint="eastAsia" w:ascii="仿宋_GB2312"/>
          <w:color w:val="auto"/>
          <w:szCs w:val="32"/>
          <w:highlight w:val="none"/>
          <w:lang w:eastAsia="zh-CN"/>
        </w:rPr>
        <w:t>于田县玫瑰基地北侧红柳大芸基地基础配套设施建设项目</w:t>
      </w:r>
      <w:r>
        <w:rPr>
          <w:rFonts w:hint="eastAsia" w:ascii="仿宋_GB2312"/>
          <w:color w:val="auto"/>
          <w:szCs w:val="32"/>
          <w:highlight w:val="none"/>
        </w:rPr>
        <w:t>方案的批复》于发改项目【2024】34号文批复立项实施，</w:t>
      </w:r>
      <w:r>
        <w:rPr>
          <w:rFonts w:hint="eastAsia" w:ascii="仿宋_GB2312"/>
          <w:color w:val="auto"/>
          <w:szCs w:val="32"/>
          <w:highlight w:val="none"/>
          <w:lang w:eastAsia="zh-CN"/>
        </w:rPr>
        <w:t>于田县玫瑰基地北侧红柳大芸基地基础配套设施建设项目</w:t>
      </w:r>
      <w:r>
        <w:rPr>
          <w:rFonts w:hint="eastAsia" w:ascii="仿宋_GB2312"/>
          <w:color w:val="auto"/>
          <w:szCs w:val="32"/>
          <w:highlight w:val="none"/>
        </w:rPr>
        <w:t>预算安排总额为</w:t>
      </w:r>
      <w:r>
        <w:rPr>
          <w:rFonts w:hint="eastAsia" w:ascii="仿宋_GB2312"/>
          <w:color w:val="auto"/>
          <w:szCs w:val="32"/>
          <w:highlight w:val="none"/>
          <w:lang w:val="en-US" w:eastAsia="zh-CN"/>
        </w:rPr>
        <w:t>730.62万元</w:t>
      </w:r>
      <w:r>
        <w:rPr>
          <w:rFonts w:hint="eastAsia" w:ascii="仿宋_GB2312"/>
          <w:color w:val="auto"/>
          <w:szCs w:val="32"/>
          <w:highlight w:val="none"/>
        </w:rPr>
        <w:t>，其中：</w:t>
      </w:r>
      <w:r>
        <w:rPr>
          <w:rFonts w:hint="eastAsia" w:ascii="仿宋_GB2312"/>
          <w:color w:val="auto"/>
          <w:szCs w:val="32"/>
          <w:highlight w:val="none"/>
          <w:lang w:val="en-US" w:eastAsia="zh-CN"/>
        </w:rPr>
        <w:t>中央财政乡村振兴衔接资金730.62万元</w:t>
      </w:r>
      <w:r>
        <w:rPr>
          <w:rFonts w:hint="eastAsia" w:ascii="仿宋_GB2312"/>
          <w:color w:val="auto"/>
          <w:szCs w:val="32"/>
          <w:highlight w:val="none"/>
        </w:rPr>
        <w:t>。预算资金到位率为100.00%。</w:t>
      </w:r>
    </w:p>
    <w:p w14:paraId="71F2FEC7">
      <w:pPr>
        <w:pStyle w:val="54"/>
        <w:ind w:left="3" w:right="3" w:firstLine="562"/>
        <w:rPr>
          <w:rFonts w:ascii="仿宋_GB2312"/>
          <w:b/>
          <w:color w:val="auto"/>
          <w:szCs w:val="32"/>
          <w:highlight w:val="none"/>
        </w:rPr>
      </w:pPr>
      <w:r>
        <w:rPr>
          <w:rFonts w:hint="eastAsia" w:ascii="仿宋_GB2312"/>
          <w:b/>
          <w:color w:val="auto"/>
          <w:szCs w:val="32"/>
          <w:highlight w:val="none"/>
        </w:rPr>
        <w:t>2.项目实施背景</w:t>
      </w:r>
    </w:p>
    <w:p w14:paraId="2AF6C13E">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以习近平新时代中国特色社会主义思想为指导，全面贯彻落实党的二十大精神，深入贯彻落实习近平生态文明思想和新发展理念，统筹推进山水林田湖草沙综合治理、系统治理、源头治理，不断丰富和完善新形势下防沙治沙工作思路，创建防沙治沙新格局、新样板，探索防沙治沙技术、模式、政策、机制等，优化沙区林草生产力布局，引导发展沙产业，与巩固拓展脱贫攻坚成果和农牧民增收致富相结合，加快沙区产业结构调整步伐，扎实推动生态文明建设，以点带面，稳步推进新时代防沙治沙高质量发展。</w:t>
      </w:r>
    </w:p>
    <w:p w14:paraId="6A298DE8">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val="zh-CN"/>
        </w:rPr>
        <w:t>本项目位于和田地区于田县，位于国家北方防沙带，符合《全国重要生态系统保护和修复重大工程总体规划（2021-2035 年）》要求；根据项目区实际调研和勘察，于田县 2024 年防风固沙、营造人造灌木林 0.995 万亩，项目区位于于田县奥依托格拉克乡，目前地貌为未开发种植的沙地，为持续开展防沙治沙工程，实施好塔里木盆地周边防沙治沙工程、沙化土地封禁保护工程、 防沙治沙综合示范区工程。急需对 0.995 万亩进行人工灌木造林，但造林需要灌溉，目前项目区距离水源比较远，距离灌溉渠道，现有井水、河水等水源较远，不能满足即将种植的 0.995 万亩灌木林取水灌溉需求，因此，经过于田县各部门及县领导协商解决，提出对本项目《于田县玫瑰基地北侧红柳大芸基地基础配套设施建设项目》的实施。</w:t>
      </w:r>
    </w:p>
    <w:p w14:paraId="22B9FADC">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eastAsia="zh-CN"/>
        </w:rPr>
        <w:t>由于上述原因开展于田县玫瑰基地北侧红柳大芸基地基础配套设施建设项目</w:t>
      </w:r>
      <w:r>
        <w:rPr>
          <w:rFonts w:hint="eastAsia" w:ascii="仿宋_GB2312" w:hAnsi="Times New Roman" w:eastAsia="仿宋_GB2312" w:cs="Times New Roman"/>
          <w:color w:val="auto"/>
          <w:sz w:val="28"/>
          <w:szCs w:val="32"/>
          <w:highlight w:val="none"/>
        </w:rPr>
        <w:t>，</w:t>
      </w:r>
      <w:r>
        <w:rPr>
          <w:rFonts w:hint="eastAsia" w:ascii="仿宋_GB2312" w:hAnsi="Times New Roman" w:eastAsia="仿宋_GB2312" w:cs="Times New Roman"/>
          <w:color w:val="auto"/>
          <w:sz w:val="28"/>
          <w:szCs w:val="32"/>
          <w:highlight w:val="none"/>
          <w:lang w:val="zh-CN"/>
        </w:rPr>
        <w:t>本项目由</w:t>
      </w:r>
      <w:r>
        <w:rPr>
          <w:rFonts w:hint="eastAsia" w:ascii="仿宋_GB2312" w:hAnsi="Times New Roman" w:eastAsia="仿宋_GB2312" w:cs="Times New Roman"/>
          <w:color w:val="auto"/>
          <w:sz w:val="28"/>
          <w:szCs w:val="32"/>
          <w:highlight w:val="none"/>
          <w:lang w:val="en-US" w:eastAsia="zh-CN"/>
        </w:rPr>
        <w:t>于田县发展和改革委员会</w:t>
      </w:r>
      <w:r>
        <w:rPr>
          <w:rFonts w:hint="eastAsia" w:ascii="仿宋_GB2312" w:hAnsi="Times New Roman" w:eastAsia="仿宋_GB2312" w:cs="Times New Roman"/>
          <w:color w:val="auto"/>
          <w:sz w:val="28"/>
          <w:szCs w:val="32"/>
          <w:highlight w:val="none"/>
          <w:lang w:val="zh-CN"/>
        </w:rPr>
        <w:t>主管，</w:t>
      </w:r>
      <w:r>
        <w:rPr>
          <w:rFonts w:hint="eastAsia" w:ascii="仿宋_GB2312" w:hAnsi="Times New Roman" w:eastAsia="仿宋_GB2312" w:cs="Times New Roman"/>
          <w:color w:val="auto"/>
          <w:sz w:val="28"/>
          <w:szCs w:val="32"/>
          <w:highlight w:val="none"/>
          <w:lang w:val="en-US" w:eastAsia="zh-CN"/>
        </w:rPr>
        <w:t>于田县林业和草原局</w:t>
      </w:r>
      <w:r>
        <w:rPr>
          <w:rFonts w:hint="eastAsia" w:ascii="仿宋_GB2312" w:hAnsi="Times New Roman" w:eastAsia="仿宋_GB2312" w:cs="Times New Roman"/>
          <w:color w:val="auto"/>
          <w:sz w:val="28"/>
          <w:szCs w:val="32"/>
          <w:highlight w:val="none"/>
          <w:lang w:val="zh-CN"/>
        </w:rPr>
        <w:t>负责实施，项目实施年限202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7</w:t>
      </w:r>
      <w:r>
        <w:rPr>
          <w:rFonts w:hint="eastAsia" w:ascii="仿宋_GB2312" w:hAnsi="Times New Roman" w:eastAsia="仿宋_GB2312" w:cs="Times New Roman"/>
          <w:color w:val="auto"/>
          <w:sz w:val="28"/>
          <w:szCs w:val="32"/>
          <w:highlight w:val="none"/>
          <w:lang w:val="zh-CN"/>
        </w:rPr>
        <w:t>月-202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9</w:t>
      </w:r>
      <w:r>
        <w:rPr>
          <w:rFonts w:hint="eastAsia" w:ascii="仿宋_GB2312" w:hAnsi="Times New Roman" w:eastAsia="仿宋_GB2312" w:cs="Times New Roman"/>
          <w:color w:val="auto"/>
          <w:sz w:val="28"/>
          <w:szCs w:val="32"/>
          <w:highlight w:val="none"/>
          <w:lang w:val="zh-CN"/>
        </w:rPr>
        <w:t>月。</w:t>
      </w:r>
    </w:p>
    <w:p w14:paraId="6F8FDB58">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zh-CN" w:eastAsia="zh-CN"/>
        </w:rPr>
        <w:t>工程实施后，从根本上改善了当地水资源利用率低的问题，为当地社会稳定、经济繁荣，人民安居乐业奠定了坚实的基础。项目区农民生产生活水平有一定的提高。而且项目的建设改善了当地的生态环境，还提高了作物单产，增加了农民收入，促进区域经济的发展与社会进步。</w:t>
      </w:r>
    </w:p>
    <w:p w14:paraId="162B9D39">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3B7E91D5">
      <w:pPr>
        <w:spacing w:line="560" w:lineRule="exact"/>
        <w:ind w:firstLine="560" w:firstLineChars="200"/>
        <w:rPr>
          <w:rStyle w:val="21"/>
          <w:rFonts w:hint="eastAsia" w:ascii="仿宋_GB2312" w:hAnsi="楷体"/>
          <w:b w:val="0"/>
          <w:snapToGrid/>
          <w:spacing w:val="-4"/>
          <w:sz w:val="32"/>
          <w:szCs w:val="32"/>
          <w:lang w:val="zh-CN"/>
        </w:rPr>
      </w:pPr>
      <w:r>
        <w:rPr>
          <w:rFonts w:hint="eastAsia" w:ascii="仿宋_GB2312" w:hAnsi="Times New Roman" w:eastAsia="仿宋_GB2312" w:cs="Times New Roman"/>
          <w:color w:val="auto"/>
          <w:sz w:val="28"/>
          <w:szCs w:val="32"/>
          <w:highlight w:val="none"/>
          <w:lang w:val="zh-CN"/>
        </w:rPr>
        <w:t>于田县玫瑰基地北侧红柳大芸基地基础配套设施建设项目根据于田县发展和改革委员会下发的《关于对于田县玫瑰基地北侧红柳大芸基地基础配套设施建设项目实施方案的批复》（于发改项目【2024】34号）及该项目实施方案实施，建设地点：于田县奥依托格拉克乡玫瑰基地北侧</w:t>
      </w:r>
      <w:r>
        <w:rPr>
          <w:rFonts w:hint="eastAsia" w:ascii="仿宋_GB2312" w:hAnsi="Times New Roman" w:eastAsia="仿宋_GB2312" w:cs="Times New Roman"/>
          <w:color w:val="auto"/>
          <w:sz w:val="28"/>
          <w:szCs w:val="32"/>
          <w:highlight w:val="none"/>
          <w:lang w:val="en-US" w:eastAsia="zh-CN"/>
        </w:rPr>
        <w:t>，建设内容</w:t>
      </w:r>
      <w:r>
        <w:rPr>
          <w:rFonts w:hint="eastAsia" w:ascii="仿宋_GB2312" w:hAnsi="Times New Roman" w:eastAsia="仿宋_GB2312" w:cs="Times New Roman"/>
          <w:color w:val="auto"/>
          <w:sz w:val="28"/>
          <w:szCs w:val="32"/>
          <w:highlight w:val="none"/>
          <w:lang w:val="zh-CN"/>
        </w:rPr>
        <w:t>：（1）新建深水井工程：新建深水井 10 眼（含泵房），井深 150m，潜水泵 10 台；新建井房 10 座，井房采用砖混结构，基础采用素混凝土基础，每座泵房建筑面积 9m2。（2）新建砂砾石道路：4 米宽，共 9 条，田间道 1田间道 2 长 2.567km，田间道 3 长 0.719km，田间道 4 长 0.194km，田间道 5 长 0.538km，田间道 6 长 0.282km，田间道 7 长 1.061km，田间道 8 长 1.042km，田间道 9 长 6.912km，田间道总长 17.62km。（3） 建设 10kV 单回架空线路 9.1 千米，导线采用 JKLGYJ-10kV-150/25 型。电杆采用φ190×12×M×G 型。（4） 新建专变 200kVA 柱上变 10 台,含计量 10 套和综合配电箱 10 套。新建分段断路器 2 台。通过本次工程的实施，使项目区 0.995 万亩防风固沙产业获得水量足够、水质合格、水压充裕的灌溉需求，有效遏制沙漠化，保护和恢复当地生态环境；通过综合治理，促进当地经济社会的可持续发展。</w:t>
      </w:r>
    </w:p>
    <w:p w14:paraId="27A72CDD">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617A957B">
      <w:pPr>
        <w:spacing w:line="560" w:lineRule="exact"/>
        <w:ind w:firstLine="560" w:firstLineChars="200"/>
        <w:rPr>
          <w:rFonts w:hint="eastAsia" w:ascii="仿宋_GB2312" w:hAnsi="Times New Roman" w:eastAsia="仿宋_GB2312" w:cs="Times New Roman"/>
          <w:color w:val="auto"/>
          <w:sz w:val="28"/>
          <w:szCs w:val="32"/>
          <w:highlight w:val="none"/>
          <w:lang w:val="zh-CN" w:eastAsia="zh-CN"/>
        </w:rPr>
      </w:pPr>
      <w:r>
        <w:rPr>
          <w:rFonts w:hint="eastAsia" w:ascii="仿宋_GB2312" w:hAnsi="Times New Roman" w:eastAsia="仿宋_GB2312" w:cs="Times New Roman"/>
          <w:color w:val="auto"/>
          <w:sz w:val="28"/>
          <w:szCs w:val="32"/>
          <w:highlight w:val="none"/>
          <w:lang w:val="zh-CN" w:eastAsia="zh-CN"/>
        </w:rPr>
        <w:t>于田县玫瑰基地北侧红柳大芸基地基础配套设施建设项目性质为资产收益类项目，属于乡村振兴衔接资金项目</w:t>
      </w:r>
    </w:p>
    <w:p w14:paraId="70A9DBFD">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（二）财政专项乡村振兴衔接资金项目绩效目标设定情况</w:t>
      </w:r>
    </w:p>
    <w:p w14:paraId="485DBF6A">
      <w:pPr>
        <w:spacing w:line="560" w:lineRule="exact"/>
        <w:ind w:firstLine="562" w:firstLineChars="200"/>
        <w:rPr>
          <w:color w:val="auto"/>
          <w:highlight w:val="none"/>
        </w:rPr>
      </w:pPr>
      <w:r>
        <w:rPr>
          <w:rFonts w:hint="eastAsia" w:ascii="仿宋_GB2312" w:hAnsi="Times New Roman" w:eastAsia="仿宋_GB2312" w:cs="Times New Roman"/>
          <w:b/>
          <w:bCs/>
          <w:color w:val="auto"/>
          <w:sz w:val="28"/>
          <w:szCs w:val="32"/>
          <w:highlight w:val="none"/>
        </w:rPr>
        <w:t>1.项目绩效总体目标</w:t>
      </w:r>
    </w:p>
    <w:p w14:paraId="5B9ED99B">
      <w:pPr>
        <w:spacing w:line="560" w:lineRule="exact"/>
        <w:ind w:firstLine="560" w:firstLineChars="200"/>
        <w:rPr>
          <w:rStyle w:val="21"/>
          <w:rFonts w:hint="eastAsia" w:ascii="仿宋_GB2312" w:hAnsi="Times New Roman" w:eastAsia="仿宋_GB2312" w:cs="Times New Roman"/>
          <w:b w:val="0"/>
          <w:snapToGrid/>
          <w:color w:val="auto"/>
          <w:spacing w:val="-4"/>
          <w:sz w:val="28"/>
          <w:szCs w:val="32"/>
          <w:highlight w:val="none"/>
          <w:lang w:val="zh-CN"/>
        </w:rPr>
      </w:pPr>
      <w:r>
        <w:rPr>
          <w:rFonts w:hint="eastAsia" w:ascii="仿宋_GB2312" w:hAnsi="Times New Roman" w:eastAsia="仿宋_GB2312" w:cs="Times New Roman"/>
          <w:color w:val="auto"/>
          <w:sz w:val="28"/>
          <w:szCs w:val="32"/>
          <w:highlight w:val="none"/>
          <w:lang w:val="zh-CN" w:eastAsia="zh-CN"/>
        </w:rPr>
        <w:t>于田县玫瑰基地北侧红柳大芸基地基础配套设施建设项目总投资</w:t>
      </w:r>
      <w:r>
        <w:rPr>
          <w:rFonts w:hint="eastAsia" w:ascii="仿宋_GB2312" w:hAnsi="Times New Roman" w:eastAsia="仿宋_GB2312" w:cs="Times New Roman"/>
          <w:color w:val="auto"/>
          <w:sz w:val="28"/>
          <w:szCs w:val="32"/>
          <w:highlight w:val="none"/>
          <w:lang w:val="en-US" w:eastAsia="zh-CN"/>
        </w:rPr>
        <w:t>730.62万元</w:t>
      </w:r>
      <w:r>
        <w:rPr>
          <w:rFonts w:hint="eastAsia" w:ascii="仿宋_GB2312" w:hAnsi="Times New Roman" w:eastAsia="仿宋_GB2312" w:cs="Times New Roman"/>
          <w:color w:val="auto"/>
          <w:sz w:val="28"/>
          <w:szCs w:val="32"/>
          <w:highlight w:val="none"/>
          <w:lang w:val="zh-CN" w:eastAsia="zh-CN"/>
        </w:rPr>
        <w:t>，资金来源：</w:t>
      </w:r>
      <w:r>
        <w:rPr>
          <w:rFonts w:hint="eastAsia" w:ascii="仿宋_GB2312" w:hAnsi="Times New Roman" w:eastAsia="仿宋_GB2312" w:cs="Times New Roman"/>
          <w:color w:val="auto"/>
          <w:sz w:val="28"/>
          <w:szCs w:val="32"/>
          <w:highlight w:val="none"/>
          <w:lang w:val="en-US" w:eastAsia="zh-CN"/>
        </w:rPr>
        <w:t>中央财政衔接推进乡村振兴补助资金</w:t>
      </w:r>
      <w:r>
        <w:rPr>
          <w:rFonts w:hint="eastAsia" w:ascii="仿宋_GB2312" w:hAnsi="Times New Roman" w:eastAsia="仿宋_GB2312" w:cs="Times New Roman"/>
          <w:color w:val="auto"/>
          <w:sz w:val="28"/>
          <w:szCs w:val="32"/>
          <w:highlight w:val="none"/>
          <w:lang w:val="zh-CN" w:eastAsia="zh-CN"/>
        </w:rPr>
        <w:t>。</w:t>
      </w:r>
      <w:r>
        <w:rPr>
          <w:rFonts w:hint="eastAsia" w:ascii="仿宋_GB2312" w:hAnsi="Times New Roman" w:eastAsia="仿宋_GB2312" w:cs="Times New Roman"/>
          <w:color w:val="auto"/>
          <w:sz w:val="28"/>
          <w:szCs w:val="32"/>
          <w:highlight w:val="none"/>
          <w:lang w:val="en-US" w:eastAsia="zh-CN"/>
        </w:rPr>
        <w:t>建设内容</w:t>
      </w:r>
      <w:r>
        <w:rPr>
          <w:rFonts w:hint="eastAsia" w:ascii="仿宋_GB2312" w:hAnsi="Times New Roman" w:eastAsia="仿宋_GB2312" w:cs="Times New Roman"/>
          <w:color w:val="auto"/>
          <w:sz w:val="28"/>
          <w:szCs w:val="32"/>
          <w:highlight w:val="none"/>
          <w:lang w:val="zh-CN"/>
        </w:rPr>
        <w:t>：（1）新建深水井工程：新建深水井 10 眼（含泵房），井深 150m，潜水泵 10 台；新建井房 10 座，井房采用砖混结构，基础采用素混凝土基础，每座泵房建筑面积 9m2。（2）新建砂砾石道路：4 米宽，共 9 条，田间道 1田间道 2 长 2.567km，田间道 3 长 0.719km，田间道 4 长 0.194km，田间道 5 长 0.538km，田间道 6 长 0.282km，田间道 7 长 1.061km，田间道 8 长 1.042km，田间道 9 长 6.912km，田间道总长 17.62km。（3） 建设 10kV 单回架空线路 9.1 千米，导线采用 JKLGYJ-10kV-150/25 型。电杆采用φ190×12×M×G 型。（4） 新建专变 200kVA 柱上变 10 台,含计量 10 套和综合配电箱 10 套。新建分段断路器 2 台。</w:t>
      </w:r>
    </w:p>
    <w:p w14:paraId="116ABEC9">
      <w:pPr>
        <w:pStyle w:val="54"/>
        <w:spacing w:line="560" w:lineRule="exact"/>
        <w:ind w:left="3" w:right="3" w:firstLine="560"/>
        <w:rPr>
          <w:rFonts w:ascii="仿宋_GB2312"/>
          <w:color w:val="auto"/>
          <w:szCs w:val="32"/>
          <w:highlight w:val="none"/>
        </w:rPr>
      </w:pPr>
      <w:r>
        <w:rPr>
          <w:rFonts w:hint="eastAsia" w:ascii="仿宋_GB2312" w:hAnsi="Times New Roman" w:eastAsia="仿宋_GB2312" w:cs="Times New Roman"/>
          <w:color w:val="auto"/>
          <w:sz w:val="28"/>
          <w:szCs w:val="32"/>
          <w:highlight w:val="none"/>
          <w:lang w:val="zh-CN"/>
        </w:rPr>
        <w:t>通过实施本项目，从根本上改善了当地水资源利用率低的问题，为当地社会稳定、经济繁荣，人民安居乐业奠定了坚实的基础。项目区农民生产生活水平有一定的提高。而且项目的建设改善了当地的生态环境，还提高了作物单产，增加了农民收入，这必将有力地促进区域经济的发展与社会进步</w:t>
      </w:r>
      <w:r>
        <w:rPr>
          <w:rFonts w:hint="eastAsia" w:ascii="仿宋_GB2312"/>
          <w:color w:val="auto"/>
          <w:szCs w:val="28"/>
          <w:highlight w:val="none"/>
          <w:lang w:val="zh-CN"/>
        </w:rPr>
        <w:t>。</w:t>
      </w:r>
    </w:p>
    <w:p w14:paraId="207A65BF">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46AA01AA">
      <w:pPr>
        <w:pStyle w:val="54"/>
        <w:spacing w:line="560" w:lineRule="exact"/>
        <w:ind w:left="3" w:right="3" w:firstLine="560"/>
        <w:rPr>
          <w:rFonts w:hint="eastAsia" w:ascii="仿宋_GB2312" w:eastAsia="仿宋_GB2312"/>
          <w:color w:val="auto"/>
          <w:szCs w:val="32"/>
          <w:highlight w:val="none"/>
          <w:lang w:eastAsia="zh-CN"/>
        </w:rPr>
      </w:pPr>
      <w:r>
        <w:rPr>
          <w:rFonts w:hint="eastAsia" w:ascii="仿宋_GB2312"/>
          <w:szCs w:val="32"/>
        </w:rPr>
        <w:t>根据《自治区财政专项扶贫资金绩效管理操作指南》（新财预〔2019〕170号）的规定，结</w:t>
      </w:r>
      <w:r>
        <w:rPr>
          <w:rFonts w:ascii="仿宋_GB2312"/>
          <w:color w:val="auto"/>
          <w:szCs w:val="32"/>
          <w:highlight w:val="none"/>
        </w:rPr>
        <w:t>合项目具体情况，</w:t>
      </w:r>
      <w:r>
        <w:rPr>
          <w:rStyle w:val="21"/>
          <w:rFonts w:hint="eastAsia" w:ascii="仿宋_GB2312" w:hAnsi="仿宋"/>
          <w:b w:val="0"/>
          <w:spacing w:val="-4"/>
          <w:szCs w:val="32"/>
        </w:rPr>
        <w:t>共设置一级指标3个，二级指标</w:t>
      </w:r>
      <w:r>
        <w:rPr>
          <w:rStyle w:val="21"/>
          <w:rFonts w:hint="eastAsia" w:ascii="仿宋_GB2312" w:hAnsi="仿宋"/>
          <w:b w:val="0"/>
          <w:spacing w:val="-4"/>
          <w:szCs w:val="32"/>
          <w:lang w:val="en-US" w:eastAsia="zh-CN"/>
        </w:rPr>
        <w:t>7</w:t>
      </w:r>
      <w:r>
        <w:rPr>
          <w:rStyle w:val="21"/>
          <w:rFonts w:hint="eastAsia" w:ascii="仿宋_GB2312" w:hAnsi="仿宋"/>
          <w:b w:val="0"/>
          <w:spacing w:val="-4"/>
          <w:szCs w:val="32"/>
        </w:rPr>
        <w:t>个，三级指标</w:t>
      </w:r>
      <w:r>
        <w:rPr>
          <w:rStyle w:val="21"/>
          <w:rFonts w:hint="eastAsia" w:ascii="仿宋_GB2312" w:hAnsi="仿宋"/>
          <w:b w:val="0"/>
          <w:spacing w:val="-4"/>
          <w:szCs w:val="32"/>
          <w:lang w:val="en-US" w:eastAsia="zh-CN"/>
        </w:rPr>
        <w:t>16</w:t>
      </w:r>
      <w:r>
        <w:rPr>
          <w:rStyle w:val="21"/>
          <w:rFonts w:hint="eastAsia" w:ascii="仿宋_GB2312" w:hAnsi="仿宋"/>
          <w:b w:val="0"/>
          <w:spacing w:val="-4"/>
          <w:szCs w:val="32"/>
        </w:rPr>
        <w:t>个，其中已完成三级指标</w:t>
      </w:r>
      <w:r>
        <w:rPr>
          <w:rStyle w:val="21"/>
          <w:rFonts w:hint="eastAsia" w:ascii="仿宋_GB2312" w:hAnsi="仿宋"/>
          <w:b w:val="0"/>
          <w:spacing w:val="-4"/>
          <w:szCs w:val="32"/>
          <w:lang w:val="en-US" w:eastAsia="zh-CN"/>
        </w:rPr>
        <w:t>9</w:t>
      </w:r>
      <w:r>
        <w:rPr>
          <w:rStyle w:val="21"/>
          <w:rFonts w:hint="eastAsia" w:ascii="仿宋_GB2312" w:hAnsi="仿宋"/>
          <w:b w:val="0"/>
          <w:spacing w:val="-4"/>
          <w:szCs w:val="32"/>
        </w:rPr>
        <w:t>个</w:t>
      </w:r>
      <w:r>
        <w:rPr>
          <w:rStyle w:val="21"/>
          <w:rFonts w:hint="eastAsia" w:ascii="仿宋_GB2312" w:hAnsi="仿宋"/>
          <w:b w:val="0"/>
          <w:spacing w:val="-4"/>
          <w:szCs w:val="32"/>
          <w:lang w:eastAsia="zh-CN"/>
        </w:rPr>
        <w:t>。</w:t>
      </w:r>
    </w:p>
    <w:p w14:paraId="64FDD985">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2A519674">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（一）绩效自评工作开展范围</w:t>
      </w:r>
    </w:p>
    <w:p w14:paraId="0F75EA2E">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391480DB">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（二）绩效自评工作对象</w:t>
      </w:r>
    </w:p>
    <w:p w14:paraId="1283909A">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于田县玫瑰基地北侧红柳大芸基地基础配套设施建设项目</w:t>
      </w:r>
      <w:r>
        <w:rPr>
          <w:color w:val="auto"/>
          <w:highlight w:val="none"/>
        </w:rPr>
        <w:t>资金的使用管理、项目产出、综合效益等进行评价。</w:t>
      </w:r>
    </w:p>
    <w:p w14:paraId="484CD6B2">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（三）绩效自评工作方式</w:t>
      </w:r>
    </w:p>
    <w:p w14:paraId="74F61A27">
      <w:pPr>
        <w:pStyle w:val="35"/>
        <w:rPr>
          <w:color w:val="auto"/>
          <w:highlight w:val="none"/>
        </w:rPr>
      </w:pPr>
      <w:r>
        <w:rPr>
          <w:rFonts w:hint="eastAsia"/>
          <w:color w:val="auto"/>
          <w:highlight w:val="none"/>
        </w:rPr>
        <w:t>1.前期准备</w:t>
      </w:r>
    </w:p>
    <w:p w14:paraId="7A39CFA9">
      <w:pPr>
        <w:pStyle w:val="54"/>
        <w:spacing w:line="560" w:lineRule="exact"/>
        <w:ind w:left="3" w:right="0" w:rightChars="0"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color w:val="auto"/>
          <w:highlight w:val="none"/>
        </w:rPr>
        <w:t>，认真学习相关要求与规定，成立绩效自评工作组，作为绩效自评工作具体实施机构。成员构成如下：</w:t>
      </w:r>
    </w:p>
    <w:p w14:paraId="5C78415D">
      <w:pPr>
        <w:pStyle w:val="54"/>
        <w:spacing w:line="560" w:lineRule="exact"/>
        <w:ind w:right="3"/>
        <w:rPr>
          <w:rFonts w:hint="eastAsia"/>
          <w:color w:val="auto"/>
          <w:highlight w:val="none"/>
        </w:rPr>
      </w:pPr>
      <w:r>
        <w:rPr>
          <w:rFonts w:hint="eastAsia"/>
          <w:color w:val="auto"/>
          <w:highlight w:val="none"/>
        </w:rPr>
        <w:t xml:space="preserve">组 </w:t>
      </w:r>
      <w:r>
        <w:rPr>
          <w:rFonts w:hint="eastAsia"/>
          <w:color w:val="auto"/>
          <w:highlight w:val="none"/>
          <w:lang w:val="en-US" w:eastAsia="zh-CN"/>
        </w:rPr>
        <w:t xml:space="preserve">  </w:t>
      </w:r>
      <w:r>
        <w:rPr>
          <w:rFonts w:hint="eastAsia"/>
          <w:color w:val="auto"/>
          <w:highlight w:val="none"/>
        </w:rPr>
        <w:t xml:space="preserve"> 长：</w:t>
      </w:r>
      <w:r>
        <w:rPr>
          <w:rFonts w:hint="eastAsia"/>
          <w:color w:val="auto"/>
          <w:highlight w:val="none"/>
          <w:lang w:val="en-US" w:eastAsia="zh-CN"/>
        </w:rPr>
        <w:t xml:space="preserve">贾存鹏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林业和草原局党委书记、局长</w:t>
      </w:r>
    </w:p>
    <w:p w14:paraId="4A4ACC95">
      <w:pPr>
        <w:pStyle w:val="54"/>
        <w:spacing w:line="560" w:lineRule="exact"/>
        <w:ind w:right="3"/>
        <w:rPr>
          <w:rFonts w:hint="eastAsia"/>
          <w:color w:val="auto"/>
          <w:highlight w:val="none"/>
        </w:rPr>
      </w:pPr>
      <w:r>
        <w:rPr>
          <w:rFonts w:hint="eastAsia"/>
          <w:color w:val="auto"/>
          <w:highlight w:val="none"/>
        </w:rPr>
        <w:t xml:space="preserve">副组长：江东辉                  </w:t>
      </w:r>
      <w:r>
        <w:rPr>
          <w:rFonts w:hint="eastAsia"/>
          <w:color w:val="auto"/>
          <w:highlight w:val="none"/>
          <w:lang w:val="en-US" w:eastAsia="zh-CN"/>
        </w:rPr>
        <w:t xml:space="preserve">                                  </w:t>
      </w:r>
      <w:r>
        <w:rPr>
          <w:rFonts w:hint="eastAsia"/>
          <w:color w:val="auto"/>
          <w:highlight w:val="none"/>
        </w:rPr>
        <w:t>林业和草原局副局长</w:t>
      </w:r>
    </w:p>
    <w:p w14:paraId="43BD18C0">
      <w:pPr>
        <w:pStyle w:val="54"/>
        <w:spacing w:line="560" w:lineRule="exact"/>
        <w:ind w:right="3"/>
        <w:rPr>
          <w:rFonts w:hint="eastAsia"/>
          <w:color w:val="auto"/>
          <w:highlight w:val="none"/>
        </w:rPr>
      </w:pPr>
      <w:r>
        <w:rPr>
          <w:rFonts w:hint="eastAsia"/>
          <w:color w:val="auto"/>
          <w:highlight w:val="none"/>
        </w:rPr>
        <w:t>成</w:t>
      </w:r>
      <w:r>
        <w:rPr>
          <w:rFonts w:hint="eastAsia"/>
          <w:color w:val="auto"/>
          <w:highlight w:val="none"/>
          <w:lang w:val="en-US" w:eastAsia="zh-CN"/>
        </w:rPr>
        <w:t xml:space="preserve">  </w:t>
      </w:r>
      <w:r>
        <w:rPr>
          <w:rFonts w:hint="eastAsia"/>
          <w:color w:val="auto"/>
          <w:highlight w:val="none"/>
        </w:rPr>
        <w:t xml:space="preserve">  员：刘德刚                          </w:t>
      </w:r>
      <w:r>
        <w:rPr>
          <w:rFonts w:hint="eastAsia"/>
          <w:color w:val="auto"/>
          <w:highlight w:val="none"/>
          <w:lang w:val="en-US" w:eastAsia="zh-CN"/>
        </w:rPr>
        <w:t xml:space="preserve">                                         </w:t>
      </w:r>
      <w:r>
        <w:rPr>
          <w:rFonts w:hint="eastAsia"/>
          <w:color w:val="auto"/>
          <w:highlight w:val="none"/>
        </w:rPr>
        <w:t>办公室主任</w:t>
      </w:r>
    </w:p>
    <w:p w14:paraId="52166441">
      <w:pPr>
        <w:pStyle w:val="54"/>
        <w:spacing w:line="560" w:lineRule="exact"/>
        <w:ind w:right="3" w:firstLine="1400" w:firstLineChars="500"/>
        <w:rPr>
          <w:rFonts w:hint="eastAsia"/>
          <w:color w:val="auto"/>
          <w:highlight w:val="none"/>
        </w:rPr>
      </w:pPr>
      <w:r>
        <w:rPr>
          <w:rFonts w:hint="eastAsia"/>
          <w:color w:val="auto"/>
          <w:highlight w:val="none"/>
        </w:rPr>
        <w:t xml:space="preserve">古丽尼亚孜·阿布杜外力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财务室科员</w:t>
      </w:r>
    </w:p>
    <w:p w14:paraId="32DA5CC5">
      <w:pPr>
        <w:pStyle w:val="54"/>
        <w:spacing w:line="560" w:lineRule="exact"/>
        <w:ind w:right="3" w:firstLine="1400" w:firstLineChars="500"/>
        <w:rPr>
          <w:rFonts w:hint="eastAsia"/>
          <w:color w:val="auto"/>
          <w:highlight w:val="none"/>
        </w:rPr>
      </w:pPr>
      <w:r>
        <w:rPr>
          <w:rFonts w:hint="eastAsia"/>
          <w:color w:val="auto"/>
          <w:highlight w:val="none"/>
        </w:rPr>
        <w:t xml:space="preserve">买提库尔班·买吐肉孜   </w:t>
      </w:r>
      <w:r>
        <w:rPr>
          <w:rFonts w:hint="eastAsia"/>
          <w:color w:val="auto"/>
          <w:highlight w:val="none"/>
          <w:lang w:val="en-US" w:eastAsia="zh-CN"/>
        </w:rPr>
        <w:t xml:space="preserve">                        </w:t>
      </w:r>
      <w:r>
        <w:rPr>
          <w:rFonts w:hint="eastAsia"/>
          <w:color w:val="auto"/>
          <w:highlight w:val="none"/>
        </w:rPr>
        <w:t>于田县国有苗圃主任</w:t>
      </w:r>
    </w:p>
    <w:p w14:paraId="58DCE4E1">
      <w:pPr>
        <w:pStyle w:val="54"/>
        <w:spacing w:line="560" w:lineRule="exact"/>
        <w:ind w:left="0" w:leftChars="0" w:right="3" w:firstLine="1400" w:firstLineChars="500"/>
        <w:rPr>
          <w:color w:val="auto"/>
          <w:highlight w:val="none"/>
        </w:rPr>
      </w:pPr>
      <w:r>
        <w:rPr>
          <w:rFonts w:hint="eastAsia"/>
          <w:color w:val="auto"/>
          <w:highlight w:val="none"/>
        </w:rPr>
        <w:t xml:space="preserve">买买江.木沙             </w:t>
      </w:r>
      <w:r>
        <w:rPr>
          <w:rFonts w:hint="eastAsia"/>
          <w:color w:val="auto"/>
          <w:highlight w:val="none"/>
          <w:lang w:val="en-US" w:eastAsia="zh-CN"/>
        </w:rPr>
        <w:t xml:space="preserve">                                     </w:t>
      </w:r>
      <w:r>
        <w:rPr>
          <w:rFonts w:hint="eastAsia"/>
          <w:color w:val="auto"/>
          <w:highlight w:val="none"/>
        </w:rPr>
        <w:t xml:space="preserve"> 森防办公室负责人</w:t>
      </w:r>
    </w:p>
    <w:p w14:paraId="69B6B630">
      <w:pPr>
        <w:pStyle w:val="35"/>
        <w:rPr>
          <w:rFonts w:hint="eastAsia"/>
          <w:color w:val="auto"/>
          <w:highlight w:val="none"/>
        </w:rPr>
      </w:pPr>
      <w:r>
        <w:rPr>
          <w:rFonts w:hint="eastAsia"/>
          <w:color w:val="auto"/>
          <w:highlight w:val="none"/>
        </w:rPr>
        <w:t>领导小组下设办公室，办公室设在</w:t>
      </w:r>
      <w:r>
        <w:rPr>
          <w:rFonts w:hint="eastAsia"/>
          <w:color w:val="auto"/>
          <w:highlight w:val="none"/>
          <w:lang w:val="en-US" w:eastAsia="zh-CN"/>
        </w:rPr>
        <w:t>林草局项目</w:t>
      </w:r>
      <w:r>
        <w:rPr>
          <w:rFonts w:hint="eastAsia"/>
          <w:color w:val="auto"/>
          <w:highlight w:val="none"/>
        </w:rPr>
        <w:t>办公室，办公室主任由刘德刚兼任。办公室负责项目的计划制定、实施，督查、指导相关单位共同做好项目管理工作。</w:t>
      </w:r>
    </w:p>
    <w:p w14:paraId="57B8DD95">
      <w:pPr>
        <w:pStyle w:val="35"/>
        <w:rPr>
          <w:rFonts w:hint="eastAsia"/>
          <w:color w:val="auto"/>
          <w:highlight w:val="none"/>
        </w:rPr>
      </w:pPr>
      <w:r>
        <w:rPr>
          <w:rFonts w:hint="eastAsia"/>
          <w:color w:val="auto"/>
          <w:highlight w:val="none"/>
        </w:rPr>
        <w:t>林业和草原局高度重视该项目建设工作，切实把该项目作为生态健康建设的重要举措来抓，加强领导，明确分工，落实责任，密切配合，形成合力，推动该项目顺利实施。由于田县林</w:t>
      </w:r>
      <w:r>
        <w:rPr>
          <w:rFonts w:hint="eastAsia"/>
          <w:color w:val="auto"/>
          <w:highlight w:val="none"/>
          <w:lang w:val="en-US" w:eastAsia="zh-CN"/>
        </w:rPr>
        <w:t>草</w:t>
      </w:r>
      <w:r>
        <w:rPr>
          <w:rFonts w:hint="eastAsia"/>
          <w:color w:val="auto"/>
          <w:highlight w:val="none"/>
        </w:rPr>
        <w:t>局牵头，负责整个项目的统筹安排和经费使用管理工作，实现分级管理制度：</w:t>
      </w:r>
    </w:p>
    <w:p w14:paraId="45F474B7">
      <w:pPr>
        <w:pStyle w:val="35"/>
        <w:rPr>
          <w:color w:val="auto"/>
          <w:highlight w:val="none"/>
        </w:rPr>
      </w:pPr>
      <w:r>
        <w:rPr>
          <w:rFonts w:hint="eastAsia"/>
          <w:color w:val="auto"/>
          <w:highlight w:val="none"/>
        </w:rPr>
        <w:t>2.组织实施</w:t>
      </w:r>
    </w:p>
    <w:p w14:paraId="687CF2BD">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0219F975">
      <w:pPr>
        <w:pStyle w:val="35"/>
        <w:rPr>
          <w:color w:val="auto"/>
          <w:highlight w:val="none"/>
        </w:rPr>
      </w:pPr>
      <w:r>
        <w:rPr>
          <w:rFonts w:hint="eastAsia"/>
          <w:color w:val="auto"/>
          <w:highlight w:val="none"/>
        </w:rPr>
        <w:t>3.分析评价。</w:t>
      </w:r>
    </w:p>
    <w:p w14:paraId="42CEEB6A">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3035722B">
      <w:pPr>
        <w:pStyle w:val="54"/>
        <w:spacing w:line="560" w:lineRule="exact"/>
        <w:ind w:left="3" w:right="3" w:firstLine="560"/>
        <w:rPr>
          <w:color w:val="auto"/>
          <w:highlight w:val="none"/>
        </w:rPr>
      </w:pPr>
      <w:r>
        <w:rPr>
          <w:color w:val="auto"/>
          <w:highlight w:val="none"/>
        </w:rPr>
        <w:t>（1）绩效自评指标体系</w:t>
      </w:r>
    </w:p>
    <w:p w14:paraId="09941FBC">
      <w:pPr>
        <w:pStyle w:val="54"/>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20</w:t>
      </w:r>
      <w:r>
        <w:rPr>
          <w:color w:val="auto"/>
          <w:highlight w:val="none"/>
        </w:rPr>
        <w:t>分、质量指标</w:t>
      </w:r>
      <w:r>
        <w:rPr>
          <w:rFonts w:hint="eastAsia"/>
          <w:color w:val="auto"/>
          <w:highlight w:val="none"/>
          <w:lang w:val="en-US" w:eastAsia="zh-CN"/>
        </w:rPr>
        <w:t>8</w:t>
      </w:r>
      <w:r>
        <w:rPr>
          <w:color w:val="auto"/>
          <w:highlight w:val="none"/>
        </w:rPr>
        <w:t>分，时效指标</w:t>
      </w:r>
      <w:r>
        <w:rPr>
          <w:rFonts w:hint="eastAsia"/>
          <w:color w:val="auto"/>
          <w:highlight w:val="none"/>
          <w:lang w:val="en-US" w:eastAsia="zh-CN"/>
        </w:rPr>
        <w:t>12</w:t>
      </w:r>
      <w:r>
        <w:rPr>
          <w:color w:val="auto"/>
          <w:highlight w:val="none"/>
        </w:rPr>
        <w:t>分、成本指标</w:t>
      </w:r>
      <w:r>
        <w:rPr>
          <w:rFonts w:hint="eastAsia"/>
          <w:color w:val="auto"/>
          <w:highlight w:val="none"/>
          <w:lang w:val="en-US" w:eastAsia="zh-CN"/>
        </w:rPr>
        <w:t>10</w:t>
      </w:r>
      <w:r>
        <w:rPr>
          <w:color w:val="auto"/>
          <w:highlight w:val="none"/>
        </w:rPr>
        <w:t>分、</w:t>
      </w:r>
      <w:r>
        <w:rPr>
          <w:rFonts w:hint="eastAsia"/>
          <w:color w:val="auto"/>
          <w:highlight w:val="none"/>
          <w:lang w:val="en-US" w:eastAsia="zh-CN"/>
        </w:rPr>
        <w:t>经济</w:t>
      </w:r>
      <w:r>
        <w:rPr>
          <w:color w:val="auto"/>
          <w:highlight w:val="none"/>
        </w:rPr>
        <w:t>效益指标</w:t>
      </w:r>
      <w:r>
        <w:rPr>
          <w:rFonts w:hint="eastAsia"/>
          <w:color w:val="auto"/>
          <w:highlight w:val="none"/>
          <w:lang w:val="en-US" w:eastAsia="zh-CN"/>
        </w:rPr>
        <w:t>10</w:t>
      </w:r>
      <w:r>
        <w:rPr>
          <w:color w:val="auto"/>
          <w:highlight w:val="none"/>
        </w:rPr>
        <w:t>分</w:t>
      </w:r>
      <w:r>
        <w:rPr>
          <w:rFonts w:hint="eastAsia"/>
          <w:color w:val="auto"/>
          <w:highlight w:val="none"/>
          <w:lang w:eastAsia="zh-CN"/>
        </w:rPr>
        <w:t>、</w:t>
      </w:r>
      <w:r>
        <w:rPr>
          <w:color w:val="auto"/>
          <w:highlight w:val="none"/>
        </w:rPr>
        <w:t>社会效益指标</w:t>
      </w:r>
      <w:r>
        <w:rPr>
          <w:rFonts w:hint="eastAsia"/>
          <w:color w:val="auto"/>
          <w:highlight w:val="none"/>
          <w:lang w:val="en-US" w:eastAsia="zh-CN"/>
        </w:rPr>
        <w:t>20</w:t>
      </w:r>
      <w:r>
        <w:rPr>
          <w:color w:val="auto"/>
          <w:highlight w:val="none"/>
        </w:rPr>
        <w:t>分、满意度指标10分、预算资金执行率10分，满分100分。</w:t>
      </w:r>
    </w:p>
    <w:p w14:paraId="1B194F49">
      <w:pPr>
        <w:pStyle w:val="54"/>
        <w:spacing w:line="560" w:lineRule="exact"/>
        <w:ind w:left="3" w:right="3" w:firstLine="560"/>
        <w:rPr>
          <w:color w:val="auto"/>
          <w:highlight w:val="none"/>
        </w:rPr>
      </w:pPr>
      <w:r>
        <w:rPr>
          <w:color w:val="auto"/>
          <w:highlight w:val="none"/>
        </w:rPr>
        <w:t>（2）绩效自评方法</w:t>
      </w:r>
    </w:p>
    <w:p w14:paraId="0B570EA4">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70F35797">
      <w:pPr>
        <w:pStyle w:val="54"/>
        <w:spacing w:line="560" w:lineRule="exact"/>
        <w:ind w:left="3" w:right="3" w:firstLine="560"/>
        <w:rPr>
          <w:color w:val="auto"/>
          <w:highlight w:val="none"/>
        </w:rPr>
      </w:pPr>
      <w:r>
        <w:rPr>
          <w:color w:val="auto"/>
          <w:highlight w:val="none"/>
        </w:rPr>
        <w:t>（3）绩效自评标准</w:t>
      </w:r>
    </w:p>
    <w:p w14:paraId="6D5997CC">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8398EAB">
      <w:pPr>
        <w:pStyle w:val="54"/>
        <w:spacing w:line="560" w:lineRule="exact"/>
        <w:ind w:left="3" w:right="3" w:firstLine="560"/>
        <w:rPr>
          <w:color w:val="auto"/>
          <w:highlight w:val="none"/>
        </w:rPr>
      </w:pPr>
      <w:r>
        <w:rPr>
          <w:color w:val="auto"/>
          <w:highlight w:val="none"/>
        </w:rPr>
        <w:t>（4）绩效自评等级</w:t>
      </w:r>
    </w:p>
    <w:p w14:paraId="4C567CA8">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3FE9C72F">
      <w:pPr>
        <w:pStyle w:val="31"/>
        <w:spacing w:before="120"/>
        <w:ind w:leftChars="0" w:right="3" w:firstLine="562" w:firstLineChars="200"/>
        <w:rPr>
          <w:color w:val="auto"/>
          <w:highlight w:val="none"/>
        </w:rPr>
      </w:pPr>
      <w:r>
        <w:rPr>
          <w:rFonts w:hint="eastAsia"/>
          <w:color w:val="auto"/>
          <w:highlight w:val="none"/>
        </w:rPr>
        <w:t>三、绩效目标自评完成情况分析</w:t>
      </w:r>
    </w:p>
    <w:p w14:paraId="323604CC">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（一）资金投入情况分析</w:t>
      </w:r>
    </w:p>
    <w:p w14:paraId="0753053A">
      <w:pPr>
        <w:pStyle w:val="35"/>
        <w:rPr>
          <w:color w:val="auto"/>
          <w:highlight w:val="none"/>
        </w:rPr>
      </w:pPr>
      <w:r>
        <w:rPr>
          <w:rFonts w:hint="eastAsia"/>
          <w:color w:val="auto"/>
          <w:highlight w:val="none"/>
        </w:rPr>
        <w:t>1.项目资金到位情况分析</w:t>
      </w:r>
    </w:p>
    <w:p w14:paraId="63477746">
      <w:pPr>
        <w:pStyle w:val="54"/>
        <w:spacing w:line="560" w:lineRule="exact"/>
        <w:ind w:left="0" w:leftChars="0" w:right="3" w:firstLine="560"/>
        <w:rPr>
          <w:color w:val="auto"/>
          <w:highlight w:val="none"/>
        </w:rPr>
      </w:pPr>
      <w:r>
        <w:rPr>
          <w:rFonts w:hint="eastAsia"/>
          <w:color w:val="auto"/>
          <w:highlight w:val="none"/>
          <w:lang w:eastAsia="zh-CN"/>
        </w:rPr>
        <w:t>于田县玫瑰基地北侧红柳大芸基地基础配套设施建设项目</w:t>
      </w:r>
      <w:r>
        <w:rPr>
          <w:rFonts w:hint="eastAsia"/>
          <w:color w:val="auto"/>
          <w:highlight w:val="none"/>
        </w:rPr>
        <w:t>预算安排总额为</w:t>
      </w:r>
      <w:r>
        <w:rPr>
          <w:rFonts w:hint="eastAsia"/>
          <w:color w:val="auto"/>
          <w:highlight w:val="none"/>
          <w:lang w:val="en-US" w:eastAsia="zh-CN"/>
        </w:rPr>
        <w:t>730.62万元</w:t>
      </w:r>
      <w:r>
        <w:rPr>
          <w:rFonts w:hint="eastAsia"/>
          <w:color w:val="auto"/>
          <w:highlight w:val="none"/>
        </w:rPr>
        <w:t>，其中：</w:t>
      </w:r>
      <w:r>
        <w:rPr>
          <w:rFonts w:hint="eastAsia"/>
          <w:color w:val="auto"/>
          <w:highlight w:val="none"/>
          <w:lang w:val="en-US" w:eastAsia="zh-CN"/>
        </w:rPr>
        <w:t>中央财政衔接推进乡村振兴补助资金730.62万元</w:t>
      </w:r>
      <w:r>
        <w:rPr>
          <w:rFonts w:hint="eastAsia"/>
          <w:color w:val="auto"/>
          <w:highlight w:val="none"/>
        </w:rPr>
        <w:t>。预算资金到位率为100.00%。</w:t>
      </w:r>
    </w:p>
    <w:p w14:paraId="53A8C061">
      <w:pPr>
        <w:pStyle w:val="54"/>
        <w:spacing w:line="560" w:lineRule="exact"/>
        <w:ind w:left="0" w:leftChars="0" w:right="3" w:firstLine="562"/>
        <w:rPr>
          <w:b/>
          <w:color w:val="auto"/>
          <w:highlight w:val="none"/>
        </w:rPr>
      </w:pPr>
      <w:r>
        <w:rPr>
          <w:rFonts w:hint="eastAsia"/>
          <w:b/>
          <w:color w:val="auto"/>
          <w:highlight w:val="none"/>
        </w:rPr>
        <w:t>2.项目资金执行情况分析</w:t>
      </w:r>
    </w:p>
    <w:p w14:paraId="4FFDC456">
      <w:pPr>
        <w:pStyle w:val="54"/>
        <w:spacing w:line="560" w:lineRule="exact"/>
        <w:ind w:left="0" w:leftChars="0" w:right="3" w:firstLine="560"/>
        <w:rPr>
          <w:color w:val="auto"/>
          <w:highlight w:val="none"/>
        </w:rPr>
      </w:pPr>
      <w:r>
        <w:rPr>
          <w:rFonts w:hint="eastAsia"/>
          <w:color w:val="auto"/>
          <w:highlight w:val="none"/>
          <w:lang w:eastAsia="zh-CN"/>
        </w:rPr>
        <w:t>于田县玫瑰基地北侧红柳大芸基地基础配套设施建设项目</w:t>
      </w:r>
      <w:r>
        <w:rPr>
          <w:rFonts w:hint="eastAsia"/>
          <w:color w:val="auto"/>
          <w:highlight w:val="none"/>
        </w:rPr>
        <w:t>预算投入资金</w:t>
      </w:r>
      <w:r>
        <w:rPr>
          <w:rFonts w:hint="eastAsia"/>
          <w:color w:val="auto"/>
          <w:highlight w:val="none"/>
          <w:lang w:val="en-US" w:eastAsia="zh-CN"/>
        </w:rPr>
        <w:t>730.62万元</w:t>
      </w:r>
      <w:r>
        <w:rPr>
          <w:rFonts w:hint="eastAsia"/>
          <w:color w:val="auto"/>
          <w:highlight w:val="none"/>
        </w:rPr>
        <w:t>，截至</w:t>
      </w: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rPr>
        <w:t>12月31日，项目实际支出</w:t>
      </w:r>
      <w:r>
        <w:rPr>
          <w:rFonts w:hint="eastAsia"/>
          <w:color w:val="auto"/>
          <w:highlight w:val="none"/>
          <w:lang w:val="en-US" w:eastAsia="zh-CN"/>
        </w:rPr>
        <w:t>578.76</w:t>
      </w:r>
      <w:r>
        <w:rPr>
          <w:rFonts w:hint="eastAsia"/>
          <w:color w:val="auto"/>
          <w:highlight w:val="none"/>
        </w:rPr>
        <w:t>万元，</w:t>
      </w:r>
      <w:r>
        <w:rPr>
          <w:rStyle w:val="21"/>
          <w:rFonts w:hint="eastAsia" w:ascii="仿宋_GB2312" w:hAnsi="仿宋"/>
          <w:b w:val="0"/>
          <w:color w:val="auto"/>
          <w:spacing w:val="-4"/>
          <w:szCs w:val="32"/>
          <w:highlight w:val="none"/>
          <w:lang w:val="en-US" w:eastAsia="zh-CN"/>
        </w:rPr>
        <w:t>剩余资金待支付</w:t>
      </w:r>
      <w:r>
        <w:rPr>
          <w:rStyle w:val="21"/>
          <w:rFonts w:hint="eastAsia" w:ascii="仿宋_GB2312" w:hAnsi="仿宋"/>
          <w:b w:val="0"/>
          <w:color w:val="auto"/>
          <w:spacing w:val="-4"/>
          <w:szCs w:val="32"/>
          <w:highlight w:val="none"/>
        </w:rPr>
        <w:t>。</w:t>
      </w:r>
      <w:r>
        <w:rPr>
          <w:rFonts w:hint="eastAsia"/>
          <w:color w:val="auto"/>
          <w:highlight w:val="none"/>
        </w:rPr>
        <w:t>预算资金执行率</w:t>
      </w:r>
      <w:r>
        <w:rPr>
          <w:rFonts w:hint="eastAsia"/>
          <w:color w:val="auto"/>
          <w:highlight w:val="none"/>
          <w:lang w:val="en-US" w:eastAsia="zh-CN"/>
        </w:rPr>
        <w:t>79.21</w:t>
      </w:r>
      <w:r>
        <w:rPr>
          <w:rFonts w:hint="eastAsia"/>
          <w:color w:val="auto"/>
          <w:highlight w:val="none"/>
        </w:rPr>
        <w:t>%。</w:t>
      </w:r>
    </w:p>
    <w:p w14:paraId="535A5C70">
      <w:pPr>
        <w:pStyle w:val="54"/>
        <w:spacing w:line="560" w:lineRule="exact"/>
        <w:ind w:right="3"/>
        <w:rPr>
          <w:color w:val="auto"/>
          <w:highlight w:val="none"/>
        </w:rPr>
      </w:pPr>
      <w:r>
        <w:rPr>
          <w:rFonts w:hint="eastAsia"/>
          <w:color w:val="auto"/>
          <w:highlight w:val="none"/>
          <w:lang w:val="en-US" w:eastAsia="zh-CN"/>
        </w:rPr>
        <w:t>3.</w:t>
      </w: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7507186">
      <w:pPr>
        <w:pStyle w:val="54"/>
        <w:spacing w:line="560" w:lineRule="exact"/>
        <w:ind w:leftChars="0" w:right="3" w:firstLine="562"/>
        <w:rPr>
          <w:b/>
          <w:color w:val="auto"/>
          <w:highlight w:val="none"/>
        </w:rPr>
      </w:pPr>
      <w:r>
        <w:rPr>
          <w:rFonts w:hint="eastAsia"/>
          <w:b/>
          <w:color w:val="auto"/>
          <w:highlight w:val="none"/>
        </w:rPr>
        <w:t>4.项目管理情况分析</w:t>
      </w:r>
    </w:p>
    <w:p w14:paraId="03745720">
      <w:pPr>
        <w:pStyle w:val="54"/>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eastAsia="zh-CN"/>
        </w:rPr>
        <w:t>于田县林业和草原局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02BBA33">
      <w:pPr>
        <w:spacing w:line="58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（二）绩效目标完成情况分析</w:t>
      </w:r>
    </w:p>
    <w:p w14:paraId="2F534D76">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本项目在</w:t>
      </w:r>
      <w:r>
        <w:rPr>
          <w:rFonts w:hint="eastAsia" w:ascii="仿宋_GB2312" w:hAnsi="Times New Roman" w:eastAsia="仿宋_GB2312" w:cs="Times New Roman"/>
          <w:color w:val="auto"/>
          <w:sz w:val="28"/>
          <w:szCs w:val="32"/>
          <w:highlight w:val="none"/>
          <w:lang w:val="zh-CN" w:eastAsia="zh-CN"/>
        </w:rPr>
        <w:t>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eastAsia="zh-CN"/>
        </w:rPr>
        <w:t>年</w:t>
      </w:r>
      <w:r>
        <w:rPr>
          <w:rFonts w:hint="eastAsia" w:ascii="仿宋_GB2312" w:hAnsi="Times New Roman" w:eastAsia="仿宋_GB2312" w:cs="Times New Roman"/>
          <w:color w:val="auto"/>
          <w:sz w:val="28"/>
          <w:szCs w:val="32"/>
          <w:highlight w:val="none"/>
          <w:lang w:val="zh-CN"/>
        </w:rPr>
        <w:t>截止</w:t>
      </w:r>
      <w:r>
        <w:rPr>
          <w:rFonts w:hint="eastAsia" w:ascii="仿宋_GB2312" w:hAnsi="Times New Roman" w:eastAsia="仿宋_GB2312" w:cs="Times New Roman"/>
          <w:color w:val="auto"/>
          <w:sz w:val="28"/>
          <w:szCs w:val="32"/>
          <w:highlight w:val="none"/>
          <w:lang w:val="en-US" w:eastAsia="zh-CN"/>
        </w:rPr>
        <w:t>12</w:t>
      </w:r>
      <w:r>
        <w:rPr>
          <w:rFonts w:hint="eastAsia" w:ascii="仿宋_GB2312" w:hAnsi="Times New Roman" w:eastAsia="仿宋_GB2312" w:cs="Times New Roman"/>
          <w:color w:val="auto"/>
          <w:sz w:val="28"/>
          <w:szCs w:val="32"/>
          <w:highlight w:val="none"/>
          <w:lang w:val="zh-CN"/>
        </w:rPr>
        <w:t>月底，（1）新建深水井工程：新建深水井 10 眼（含泵房），井深 150m，潜水泵 10 台；新建井房 10 座，井房采用砖混结构，基础采用素混凝土基础，每座泵房建筑面积 9m2。（2）新建砂砾石道路：4 米宽，共 9 条，田间道 1田间道 2 长 2.567km，田间道 3 长 0.719km，田间道 4 长 0.194km，田间道 5 长 0.538km，田间道 6 长 0.282km，田间道 7 长 1.061km，田间道 8 长 1.042km，田间道 9 长 6.912km，田间道总长 17.62km。（3） 建设 10kV 单回架空线路 9.1 千米，导线采用 JKLGYJ-10kV-150/25 型。电杆采用φ190×12×M×G 型。（4） 新建专变 200kVA 柱上变 10 台,含计量 10 套和综合配电箱 10 套。新建分段断路器 2 台。</w:t>
      </w:r>
    </w:p>
    <w:p w14:paraId="1AE602C5">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该工程</w:t>
      </w:r>
      <w:r>
        <w:rPr>
          <w:rFonts w:hint="eastAsia" w:ascii="仿宋_GB2312" w:hAnsi="Times New Roman" w:eastAsia="仿宋_GB2312" w:cs="Times New Roman"/>
          <w:color w:val="auto"/>
          <w:sz w:val="28"/>
          <w:szCs w:val="32"/>
          <w:highlight w:val="none"/>
          <w:lang w:val="en-US" w:eastAsia="zh-CN"/>
        </w:rPr>
        <w:t>未</w:t>
      </w:r>
      <w:r>
        <w:rPr>
          <w:rFonts w:hint="eastAsia" w:ascii="仿宋_GB2312" w:hAnsi="Times New Roman" w:eastAsia="仿宋_GB2312" w:cs="Times New Roman"/>
          <w:color w:val="auto"/>
          <w:sz w:val="28"/>
          <w:szCs w:val="32"/>
          <w:highlight w:val="none"/>
          <w:lang w:val="zh-CN"/>
        </w:rPr>
        <w:t>完成竣工验收。</w:t>
      </w:r>
    </w:p>
    <w:p w14:paraId="3EFE597D">
      <w:pPr>
        <w:spacing w:line="560" w:lineRule="exact"/>
        <w:ind w:firstLine="560" w:firstLineChars="200"/>
        <w:rPr>
          <w:rFonts w:hint="eastAsia" w:ascii="仿宋_GB2312" w:hAnsi="Times New Roman" w:eastAsia="仿宋_GB2312" w:cs="Times New Roman"/>
          <w:color w:val="auto"/>
          <w:kern w:val="2"/>
          <w:sz w:val="28"/>
          <w:szCs w:val="32"/>
          <w:highlight w:val="none"/>
          <w:lang w:val="zh-CN" w:eastAsia="zh-CN" w:bidi="ar-SA"/>
        </w:rPr>
      </w:pPr>
      <w:r>
        <w:rPr>
          <w:rFonts w:hint="eastAsia" w:ascii="仿宋_GB2312" w:hAnsi="Times New Roman" w:eastAsia="仿宋_GB2312" w:cs="Times New Roman"/>
          <w:color w:val="auto"/>
          <w:sz w:val="28"/>
          <w:szCs w:val="32"/>
          <w:highlight w:val="none"/>
          <w:lang w:val="zh-CN" w:eastAsia="zh-CN"/>
        </w:rPr>
        <w:t>本项目共设置一级指标3个，二级指标</w:t>
      </w:r>
      <w:r>
        <w:rPr>
          <w:rFonts w:hint="eastAsia" w:ascii="仿宋_GB2312" w:hAnsi="Times New Roman" w:eastAsia="仿宋_GB2312" w:cs="Times New Roman"/>
          <w:color w:val="auto"/>
          <w:sz w:val="28"/>
          <w:szCs w:val="32"/>
          <w:highlight w:val="none"/>
          <w:lang w:val="en-US" w:eastAsia="zh-CN"/>
        </w:rPr>
        <w:t>7</w:t>
      </w:r>
      <w:r>
        <w:rPr>
          <w:rFonts w:hint="eastAsia" w:ascii="仿宋_GB2312" w:hAnsi="Times New Roman" w:eastAsia="仿宋_GB2312" w:cs="Times New Roman"/>
          <w:color w:val="auto"/>
          <w:sz w:val="28"/>
          <w:szCs w:val="32"/>
          <w:highlight w:val="none"/>
          <w:lang w:val="zh-CN" w:eastAsia="zh-CN"/>
        </w:rPr>
        <w:t>个，三级指标1</w:t>
      </w:r>
      <w:r>
        <w:rPr>
          <w:rFonts w:hint="eastAsia" w:ascii="仿宋_GB2312" w:hAnsi="Times New Roman" w:eastAsia="仿宋_GB2312" w:cs="Times New Roman"/>
          <w:color w:val="auto"/>
          <w:sz w:val="28"/>
          <w:szCs w:val="32"/>
          <w:highlight w:val="none"/>
          <w:lang w:val="en-US" w:eastAsia="zh-CN"/>
        </w:rPr>
        <w:t>6</w:t>
      </w:r>
      <w:r>
        <w:rPr>
          <w:rFonts w:hint="eastAsia" w:ascii="仿宋_GB2312" w:hAnsi="Times New Roman" w:eastAsia="仿宋_GB2312" w:cs="Times New Roman"/>
          <w:color w:val="auto"/>
          <w:sz w:val="28"/>
          <w:szCs w:val="32"/>
          <w:highlight w:val="none"/>
          <w:lang w:val="zh-CN" w:eastAsia="zh-CN"/>
        </w:rPr>
        <w:t>个，其中已完成三级指标</w:t>
      </w:r>
      <w:r>
        <w:rPr>
          <w:rFonts w:hint="eastAsia" w:ascii="仿宋_GB2312" w:hAnsi="Times New Roman" w:eastAsia="仿宋_GB2312" w:cs="Times New Roman"/>
          <w:color w:val="auto"/>
          <w:sz w:val="28"/>
          <w:szCs w:val="32"/>
          <w:highlight w:val="none"/>
          <w:lang w:val="en-US" w:eastAsia="zh-CN"/>
        </w:rPr>
        <w:t>9</w:t>
      </w:r>
      <w:r>
        <w:rPr>
          <w:rFonts w:hint="eastAsia" w:ascii="仿宋_GB2312" w:hAnsi="Times New Roman" w:eastAsia="仿宋_GB2312" w:cs="Times New Roman"/>
          <w:color w:val="auto"/>
          <w:sz w:val="28"/>
          <w:szCs w:val="32"/>
          <w:highlight w:val="none"/>
          <w:lang w:val="zh-CN" w:eastAsia="zh-CN"/>
        </w:rPr>
        <w:t>个，指标完成率为</w:t>
      </w:r>
      <w:r>
        <w:rPr>
          <w:rFonts w:hint="eastAsia" w:ascii="仿宋_GB2312" w:hAnsi="Times New Roman" w:eastAsia="仿宋_GB2312" w:cs="Times New Roman"/>
          <w:color w:val="auto"/>
          <w:sz w:val="28"/>
          <w:szCs w:val="32"/>
          <w:highlight w:val="none"/>
          <w:lang w:val="en-US" w:eastAsia="zh-CN"/>
        </w:rPr>
        <w:t>56.25</w:t>
      </w:r>
      <w:r>
        <w:rPr>
          <w:rFonts w:hint="eastAsia" w:ascii="仿宋_GB2312" w:hAnsi="Times New Roman" w:eastAsia="仿宋_GB2312" w:cs="Times New Roman"/>
          <w:color w:val="auto"/>
          <w:sz w:val="28"/>
          <w:szCs w:val="32"/>
          <w:highlight w:val="none"/>
          <w:lang w:val="zh-CN" w:eastAsia="zh-CN"/>
        </w:rPr>
        <w:t>%，指标完成情况分析如下：</w:t>
      </w:r>
    </w:p>
    <w:p w14:paraId="4FCE40EF">
      <w:pPr>
        <w:pStyle w:val="54"/>
        <w:spacing w:line="580" w:lineRule="exact"/>
        <w:ind w:left="0" w:leftChars="0" w:right="0" w:rightChars="0" w:firstLine="562"/>
        <w:rPr>
          <w:b/>
          <w:color w:val="auto"/>
          <w:highlight w:val="none"/>
        </w:rPr>
      </w:pPr>
      <w:r>
        <w:rPr>
          <w:rFonts w:hint="eastAsia"/>
          <w:b/>
          <w:color w:val="auto"/>
          <w:highlight w:val="none"/>
        </w:rPr>
        <w:t>1.产出指标完成情况分析</w:t>
      </w:r>
    </w:p>
    <w:p w14:paraId="556F981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1.项目</w:t>
      </w:r>
      <w:r>
        <w:rPr>
          <w:rFonts w:hint="eastAsia"/>
          <w:color w:val="auto"/>
          <w:highlight w:val="none"/>
          <w:lang w:val="en-US" w:eastAsia="zh-CN"/>
        </w:rPr>
        <w:t>完成数量</w:t>
      </w:r>
    </w:p>
    <w:p w14:paraId="56352459">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新建深水井数量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10眼</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10眼</w:t>
      </w:r>
      <w:r>
        <w:rPr>
          <w:rFonts w:hint="eastAsia"/>
          <w:color w:val="auto"/>
          <w:highlight w:val="none"/>
        </w:rPr>
        <w:t>，指标完成率为100.00%;所设分值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425117B4">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新建井房数量</w:t>
      </w:r>
      <w:r>
        <w:rPr>
          <w:rFonts w:hint="eastAsia"/>
          <w:color w:val="auto"/>
          <w:highlight w:val="none"/>
        </w:rPr>
        <w:t>”指标，预期指标值为</w:t>
      </w:r>
      <w:r>
        <w:rPr>
          <w:rFonts w:hint="eastAsia"/>
          <w:color w:val="auto"/>
          <w:highlight w:val="none"/>
          <w:lang w:eastAsia="zh-CN"/>
        </w:rPr>
        <w:t>等于</w:t>
      </w:r>
      <w:r>
        <w:rPr>
          <w:rFonts w:hint="eastAsia"/>
          <w:color w:val="auto"/>
          <w:highlight w:val="none"/>
          <w:lang w:val="en-US" w:eastAsia="zh-CN"/>
        </w:rPr>
        <w:t>10座</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10座</w:t>
      </w:r>
      <w:r>
        <w:rPr>
          <w:rFonts w:hint="eastAsia"/>
          <w:color w:val="auto"/>
          <w:highlight w:val="none"/>
        </w:rPr>
        <w:t>，指标完成率为100.00%;所设分值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6E886910">
      <w:pPr>
        <w:pStyle w:val="54"/>
        <w:spacing w:line="560" w:lineRule="exact"/>
        <w:ind w:left="0" w:leftChars="0" w:right="0" w:rightChars="0" w:firstLine="560"/>
        <w:rPr>
          <w:rFonts w:hint="eastAsia"/>
          <w:color w:val="auto"/>
          <w:highlight w:val="none"/>
        </w:rPr>
      </w:pPr>
      <w:r>
        <w:rPr>
          <w:rFonts w:hint="eastAsia"/>
          <w:color w:val="auto"/>
          <w:highlight w:val="none"/>
        </w:rPr>
        <w:t>“新建</w:t>
      </w:r>
      <w:r>
        <w:rPr>
          <w:rFonts w:hint="eastAsia"/>
          <w:color w:val="auto"/>
          <w:highlight w:val="none"/>
          <w:lang w:val="en-US" w:eastAsia="zh-CN"/>
        </w:rPr>
        <w:t>砂砾石道路数量</w:t>
      </w:r>
      <w:r>
        <w:rPr>
          <w:rFonts w:hint="eastAsia"/>
          <w:color w:val="auto"/>
          <w:highlight w:val="none"/>
        </w:rPr>
        <w:t>”指标，预期指标值为</w:t>
      </w:r>
      <w:r>
        <w:rPr>
          <w:rFonts w:hint="eastAsia"/>
          <w:color w:val="auto"/>
          <w:highlight w:val="none"/>
          <w:lang w:val="en-US" w:eastAsia="zh-CN"/>
        </w:rPr>
        <w:t>大于</w:t>
      </w:r>
      <w:r>
        <w:rPr>
          <w:rFonts w:hint="eastAsia"/>
          <w:color w:val="auto"/>
          <w:highlight w:val="none"/>
          <w:lang w:eastAsia="zh-CN"/>
        </w:rPr>
        <w:t>等于</w:t>
      </w:r>
      <w:r>
        <w:rPr>
          <w:rFonts w:hint="eastAsia"/>
          <w:color w:val="auto"/>
          <w:highlight w:val="none"/>
          <w:lang w:val="en-US" w:eastAsia="zh-CN"/>
        </w:rPr>
        <w:t>9条</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9条</w:t>
      </w:r>
      <w:r>
        <w:rPr>
          <w:rFonts w:hint="eastAsia"/>
          <w:color w:val="auto"/>
          <w:highlight w:val="none"/>
        </w:rPr>
        <w:t>，指标完成率为100.00%;所设分值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36140091">
      <w:pPr>
        <w:pStyle w:val="54"/>
        <w:spacing w:line="560" w:lineRule="exact"/>
        <w:ind w:left="0" w:leftChars="0" w:right="0" w:rightChars="0" w:firstLine="560"/>
        <w:rPr>
          <w:rFonts w:hint="eastAsia"/>
          <w:color w:val="auto"/>
          <w:highlight w:val="none"/>
        </w:rPr>
      </w:pPr>
      <w:r>
        <w:rPr>
          <w:rFonts w:hint="eastAsia"/>
          <w:color w:val="auto"/>
          <w:highlight w:val="none"/>
        </w:rPr>
        <w:t>“新建</w:t>
      </w:r>
      <w:r>
        <w:rPr>
          <w:rFonts w:hint="eastAsia"/>
          <w:color w:val="auto"/>
          <w:highlight w:val="none"/>
          <w:lang w:val="en-US" w:eastAsia="zh-CN"/>
        </w:rPr>
        <w:t>10kv单回架空线路长度</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9.1千米</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9.1千米</w:t>
      </w:r>
      <w:r>
        <w:rPr>
          <w:rFonts w:hint="eastAsia"/>
          <w:color w:val="auto"/>
          <w:highlight w:val="none"/>
        </w:rPr>
        <w:t>，指标完成率为100.00%;所设分值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6D27E7C6">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“新建</w:t>
      </w:r>
      <w:r>
        <w:rPr>
          <w:rFonts w:hint="eastAsia"/>
          <w:color w:val="auto"/>
          <w:highlight w:val="none"/>
          <w:lang w:val="en-US" w:eastAsia="zh-CN"/>
        </w:rPr>
        <w:t>专变200kv柱上变数量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10台</w:t>
      </w:r>
      <w:r>
        <w:rPr>
          <w:rFonts w:hint="eastAsia"/>
          <w:color w:val="auto"/>
          <w:highlight w:val="none"/>
        </w:rPr>
        <w:t>,全年实际值为</w:t>
      </w:r>
      <w:r>
        <w:rPr>
          <w:rFonts w:hint="eastAsia"/>
          <w:color w:val="auto"/>
          <w:highlight w:val="none"/>
          <w:lang w:val="en-US" w:eastAsia="zh-CN"/>
        </w:rPr>
        <w:t>10台</w:t>
      </w:r>
      <w:r>
        <w:rPr>
          <w:rFonts w:hint="eastAsia"/>
          <w:color w:val="auto"/>
          <w:highlight w:val="none"/>
        </w:rPr>
        <w:t>，指标完成率为100.00%;所设分值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4B6379DE">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2.</w:t>
      </w:r>
      <w:r>
        <w:rPr>
          <w:rFonts w:hint="eastAsia"/>
          <w:color w:val="auto"/>
          <w:highlight w:val="none"/>
        </w:rPr>
        <w:t>项目完成质量。</w:t>
      </w:r>
    </w:p>
    <w:p w14:paraId="1F69F01D">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项目</w:t>
      </w:r>
      <w:r>
        <w:rPr>
          <w:rFonts w:hint="eastAsia"/>
          <w:color w:val="auto"/>
          <w:highlight w:val="none"/>
        </w:rPr>
        <w:t>验收合格率”指标，预期指标值为100.00%,全年实际值为</w:t>
      </w:r>
      <w:r>
        <w:rPr>
          <w:rFonts w:hint="eastAsia"/>
          <w:color w:val="auto"/>
          <w:highlight w:val="none"/>
          <w:lang w:val="en-US" w:eastAsia="zh-CN"/>
        </w:rPr>
        <w:t>0</w:t>
      </w:r>
      <w:r>
        <w:rPr>
          <w:rFonts w:hint="eastAsia"/>
          <w:color w:val="auto"/>
          <w:highlight w:val="none"/>
        </w:rPr>
        <w:t>%，指标完成率为</w:t>
      </w:r>
      <w:r>
        <w:rPr>
          <w:rFonts w:hint="eastAsia"/>
          <w:color w:val="auto"/>
          <w:highlight w:val="none"/>
          <w:lang w:val="en-US" w:eastAsia="zh-CN"/>
        </w:rPr>
        <w:t>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0</w:t>
      </w:r>
      <w:r>
        <w:rPr>
          <w:rFonts w:hint="eastAsia"/>
          <w:color w:val="auto"/>
          <w:highlight w:val="none"/>
        </w:rPr>
        <w:t>分。</w:t>
      </w:r>
    </w:p>
    <w:p w14:paraId="59F39A88">
      <w:pPr>
        <w:pStyle w:val="54"/>
        <w:spacing w:line="560" w:lineRule="exact"/>
        <w:ind w:left="0" w:leftChars="0" w:right="0" w:rightChars="0" w:firstLine="560"/>
        <w:rPr>
          <w:rFonts w:hint="eastAsia"/>
          <w:color w:val="auto"/>
          <w:highlight w:val="none"/>
        </w:rPr>
      </w:pPr>
      <w:r>
        <w:rPr>
          <w:rFonts w:hint="eastAsia"/>
          <w:color w:val="auto"/>
          <w:highlight w:val="none"/>
        </w:rPr>
        <w:t>偏差原因：项目已完工未完成验收。</w:t>
      </w:r>
    </w:p>
    <w:p w14:paraId="4E2D55EA">
      <w:pPr>
        <w:pStyle w:val="54"/>
        <w:spacing w:line="560" w:lineRule="exact"/>
        <w:ind w:left="0" w:leftChars="0" w:right="0" w:rightChars="0" w:firstLine="560"/>
        <w:rPr>
          <w:rFonts w:hint="eastAsia"/>
          <w:color w:val="auto"/>
          <w:highlight w:val="none"/>
        </w:rPr>
      </w:pPr>
      <w:r>
        <w:rPr>
          <w:rFonts w:hint="eastAsia"/>
          <w:color w:val="auto"/>
          <w:highlight w:val="none"/>
        </w:rPr>
        <w:t>改进措施：加快验收进度。</w:t>
      </w:r>
    </w:p>
    <w:p w14:paraId="47B47157">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资金支付</w:t>
      </w:r>
      <w:r>
        <w:rPr>
          <w:rFonts w:hint="eastAsia"/>
          <w:color w:val="auto"/>
          <w:highlight w:val="none"/>
        </w:rPr>
        <w:t>合格率”指标，预期指标值为100.00%,全年实际值为100.00%，指标完成率为100.00%。所设分值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57E2B031">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3.</w:t>
      </w:r>
      <w:r>
        <w:rPr>
          <w:rFonts w:hint="eastAsia"/>
          <w:color w:val="auto"/>
          <w:highlight w:val="none"/>
        </w:rPr>
        <w:t>项目完成时效。</w:t>
      </w:r>
    </w:p>
    <w:p w14:paraId="0F670B1B">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eastAsia="zh-CN"/>
        </w:rPr>
        <w:t>项目开工时间</w:t>
      </w:r>
      <w:r>
        <w:rPr>
          <w:rFonts w:hint="eastAsia"/>
          <w:color w:val="auto"/>
          <w:highlight w:val="none"/>
        </w:rPr>
        <w:t>”指标，预期指标值为202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3E5889B5">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eastAsia="zh-CN"/>
        </w:rPr>
        <w:t>项目完工时间</w:t>
      </w:r>
      <w:r>
        <w:rPr>
          <w:rFonts w:hint="eastAsia"/>
          <w:color w:val="auto"/>
          <w:highlight w:val="none"/>
        </w:rPr>
        <w:t>”指标，预期指标值为202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9</w:t>
      </w:r>
      <w:r>
        <w:rPr>
          <w:rFonts w:hint="eastAsia"/>
          <w:color w:val="auto"/>
          <w:highlight w:val="none"/>
        </w:rPr>
        <w:t>月,实际值为202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9</w:t>
      </w:r>
      <w:r>
        <w:rPr>
          <w:rFonts w:hint="eastAsia"/>
          <w:color w:val="auto"/>
          <w:highlight w:val="none"/>
        </w:rPr>
        <w:t>月，指标完成率为100.00%。所设分值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29A3AC67">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资金支付及时率</w:t>
      </w:r>
      <w:r>
        <w:rPr>
          <w:rFonts w:hint="eastAsia"/>
          <w:color w:val="auto"/>
          <w:highlight w:val="none"/>
        </w:rPr>
        <w:t>”指标，预期指标值为</w:t>
      </w:r>
      <w:r>
        <w:rPr>
          <w:rFonts w:hint="eastAsia"/>
          <w:color w:val="auto"/>
          <w:highlight w:val="none"/>
          <w:lang w:val="en-US" w:eastAsia="zh-CN"/>
        </w:rPr>
        <w:t>100%</w:t>
      </w:r>
      <w:r>
        <w:rPr>
          <w:rFonts w:hint="eastAsia"/>
          <w:color w:val="auto"/>
          <w:highlight w:val="none"/>
        </w:rPr>
        <w:t>,实际值为202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9</w:t>
      </w:r>
      <w:r>
        <w:rPr>
          <w:rFonts w:hint="eastAsia"/>
          <w:color w:val="auto"/>
          <w:highlight w:val="none"/>
        </w:rPr>
        <w:t>月，指标完成率为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5A5E58DE">
      <w:pPr>
        <w:pStyle w:val="54"/>
        <w:spacing w:line="560" w:lineRule="exact"/>
        <w:ind w:left="0" w:leftChars="0" w:right="0" w:rightChars="0" w:firstLine="560"/>
        <w:rPr>
          <w:rFonts w:hint="eastAsia"/>
          <w:color w:val="auto"/>
          <w:highlight w:val="none"/>
        </w:rPr>
      </w:pPr>
      <w:r>
        <w:rPr>
          <w:rFonts w:hint="eastAsia"/>
          <w:color w:val="auto"/>
          <w:highlight w:val="none"/>
        </w:rPr>
        <w:t>4.项目成本节约情况。</w:t>
      </w:r>
    </w:p>
    <w:p w14:paraId="39A2AD8F">
      <w:pPr>
        <w:pStyle w:val="54"/>
        <w:spacing w:line="560" w:lineRule="exact"/>
        <w:ind w:left="0" w:leftChars="0" w:right="0" w:rightChars="0" w:firstLine="560"/>
        <w:rPr>
          <w:rFonts w:hint="eastAsia"/>
          <w:color w:val="auto"/>
          <w:highlight w:val="none"/>
        </w:rPr>
      </w:pPr>
      <w:r>
        <w:rPr>
          <w:rFonts w:hint="eastAsia"/>
          <w:color w:val="auto"/>
          <w:highlight w:val="none"/>
        </w:rPr>
        <w:t>为有效控制项目实施成本，我单位在实施项目前就该项目设定了成本控制指标，实施过程中我单位通过公开招标的方式有效降低了项目执行成本，具体指标设置及完成情况如下：</w:t>
      </w:r>
    </w:p>
    <w:p w14:paraId="22494FC8">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工程费用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641.06</w:t>
      </w:r>
      <w:r>
        <w:rPr>
          <w:rFonts w:hint="eastAsia"/>
          <w:color w:val="auto"/>
          <w:highlight w:val="none"/>
        </w:rPr>
        <w:t>万元, 全年实际值为</w:t>
      </w:r>
      <w:r>
        <w:rPr>
          <w:rFonts w:hint="eastAsia"/>
          <w:color w:val="auto"/>
          <w:highlight w:val="none"/>
          <w:lang w:val="en-US" w:eastAsia="zh-CN"/>
        </w:rPr>
        <w:t>536.58</w:t>
      </w:r>
      <w:r>
        <w:rPr>
          <w:rFonts w:hint="eastAsia"/>
          <w:color w:val="auto"/>
          <w:highlight w:val="none"/>
        </w:rPr>
        <w:t>万元，指标完成率为</w:t>
      </w:r>
      <w:r>
        <w:rPr>
          <w:rFonts w:hint="eastAsia"/>
          <w:color w:val="auto"/>
          <w:highlight w:val="none"/>
          <w:lang w:val="en-US" w:eastAsia="zh-CN"/>
        </w:rPr>
        <w:t>83.7%</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4.19</w:t>
      </w:r>
      <w:r>
        <w:rPr>
          <w:rFonts w:hint="eastAsia"/>
          <w:color w:val="auto"/>
          <w:highlight w:val="none"/>
        </w:rPr>
        <w:t>分。</w:t>
      </w:r>
    </w:p>
    <w:p w14:paraId="5CE8F7E1">
      <w:pPr>
        <w:pStyle w:val="54"/>
        <w:spacing w:line="560" w:lineRule="exact"/>
        <w:ind w:left="0" w:leftChars="0" w:right="0" w:rightChars="0" w:firstLine="560" w:firstLineChars="200"/>
        <w:rPr>
          <w:rFonts w:hint="eastAsia"/>
          <w:color w:val="auto"/>
          <w:highlight w:val="none"/>
        </w:rPr>
      </w:pPr>
      <w:r>
        <w:rPr>
          <w:rFonts w:hint="eastAsia"/>
          <w:color w:val="auto"/>
          <w:highlight w:val="none"/>
        </w:rPr>
        <w:t>偏差原因：项目已完工暂未验收，剩余资金待支付。</w:t>
      </w:r>
    </w:p>
    <w:p w14:paraId="77AEDDA0">
      <w:pPr>
        <w:pStyle w:val="54"/>
        <w:spacing w:line="560" w:lineRule="exact"/>
        <w:ind w:left="0" w:leftChars="0" w:right="0" w:rightChars="0" w:firstLine="560" w:firstLineChars="200"/>
        <w:rPr>
          <w:rFonts w:hint="eastAsia"/>
          <w:color w:val="auto"/>
          <w:highlight w:val="none"/>
        </w:rPr>
      </w:pPr>
      <w:r>
        <w:rPr>
          <w:rFonts w:hint="eastAsia"/>
          <w:color w:val="auto"/>
          <w:highlight w:val="none"/>
        </w:rPr>
        <w:t>改进措施：加强项目管理，加快验收及资金支付进度。</w:t>
      </w:r>
    </w:p>
    <w:p w14:paraId="5DD3471B">
      <w:pPr>
        <w:pStyle w:val="54"/>
        <w:spacing w:line="560" w:lineRule="exact"/>
        <w:ind w:left="0" w:leftChars="0" w:right="0" w:rightChars="0" w:firstLine="560"/>
        <w:rPr>
          <w:rFonts w:hint="eastAsia"/>
          <w:color w:val="auto"/>
          <w:highlight w:val="none"/>
        </w:rPr>
      </w:pPr>
      <w:r>
        <w:rPr>
          <w:rFonts w:hint="eastAsia"/>
          <w:color w:val="auto"/>
          <w:highlight w:val="none"/>
        </w:rPr>
        <w:t>“其他</w:t>
      </w:r>
      <w:r>
        <w:rPr>
          <w:rFonts w:hint="eastAsia"/>
          <w:color w:val="auto"/>
          <w:highlight w:val="none"/>
          <w:lang w:val="en-US" w:eastAsia="zh-CN"/>
        </w:rPr>
        <w:t>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89.56</w:t>
      </w:r>
      <w:r>
        <w:rPr>
          <w:rFonts w:hint="eastAsia"/>
          <w:color w:val="auto"/>
          <w:highlight w:val="none"/>
        </w:rPr>
        <w:t>万元, 全年实际值为</w:t>
      </w:r>
      <w:r>
        <w:rPr>
          <w:rFonts w:hint="eastAsia"/>
          <w:color w:val="auto"/>
          <w:highlight w:val="none"/>
          <w:lang w:eastAsia="zh-CN"/>
        </w:rPr>
        <w:t>小于等于</w:t>
      </w:r>
      <w:r>
        <w:rPr>
          <w:rFonts w:hint="eastAsia"/>
          <w:color w:val="auto"/>
          <w:highlight w:val="none"/>
          <w:lang w:val="en-US" w:eastAsia="zh-CN"/>
        </w:rPr>
        <w:t>42.18</w:t>
      </w:r>
      <w:r>
        <w:rPr>
          <w:rFonts w:hint="eastAsia"/>
          <w:color w:val="auto"/>
          <w:highlight w:val="none"/>
        </w:rPr>
        <w:t>万元，指标完成率为</w:t>
      </w:r>
      <w:r>
        <w:rPr>
          <w:rFonts w:hint="eastAsia"/>
          <w:color w:val="auto"/>
          <w:highlight w:val="none"/>
          <w:lang w:val="en-US" w:eastAsia="zh-CN"/>
        </w:rPr>
        <w:t>47.10</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2.36</w:t>
      </w:r>
      <w:r>
        <w:rPr>
          <w:rFonts w:hint="eastAsia"/>
          <w:color w:val="auto"/>
          <w:highlight w:val="none"/>
        </w:rPr>
        <w:t>分。</w:t>
      </w:r>
    </w:p>
    <w:p w14:paraId="69F5B1C9">
      <w:pPr>
        <w:pStyle w:val="35"/>
        <w:rPr>
          <w:rFonts w:hint="eastAsia"/>
          <w:color w:val="auto"/>
          <w:highlight w:val="none"/>
        </w:rPr>
      </w:pPr>
      <w:r>
        <w:rPr>
          <w:rFonts w:hint="eastAsia"/>
          <w:color w:val="auto"/>
          <w:highlight w:val="none"/>
        </w:rPr>
        <w:t>偏差原因：项目已完工暂未验收，剩余资金待支付。</w:t>
      </w:r>
    </w:p>
    <w:p w14:paraId="78075230">
      <w:pPr>
        <w:pStyle w:val="35"/>
        <w:rPr>
          <w:rFonts w:hint="eastAsia"/>
          <w:color w:val="auto"/>
          <w:highlight w:val="none"/>
        </w:rPr>
      </w:pPr>
      <w:r>
        <w:rPr>
          <w:rFonts w:hint="eastAsia"/>
          <w:color w:val="auto"/>
          <w:highlight w:val="none"/>
        </w:rPr>
        <w:t>改进措施：加强项目管理，加快验收及资金支付进度。</w:t>
      </w:r>
    </w:p>
    <w:p w14:paraId="0074FF9D">
      <w:pPr>
        <w:pStyle w:val="35"/>
        <w:rPr>
          <w:b/>
          <w:bCs w:val="0"/>
          <w:color w:val="auto"/>
          <w:highlight w:val="none"/>
        </w:rPr>
      </w:pPr>
      <w:r>
        <w:rPr>
          <w:rFonts w:hint="eastAsia"/>
          <w:b/>
          <w:bCs w:val="0"/>
          <w:color w:val="auto"/>
          <w:highlight w:val="none"/>
        </w:rPr>
        <w:t>2.效益指标完成情况分析</w:t>
      </w:r>
    </w:p>
    <w:p w14:paraId="6C43BDC3">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2.1 项目实施的经济效益分析</w:t>
      </w:r>
    </w:p>
    <w:p w14:paraId="52D0C04F">
      <w:pPr>
        <w:pStyle w:val="54"/>
        <w:spacing w:line="560" w:lineRule="exact"/>
        <w:ind w:left="0" w:leftChars="0" w:right="0" w:rightChars="0" w:firstLine="560"/>
        <w:rPr>
          <w:rFonts w:hint="default"/>
          <w:color w:val="auto"/>
          <w:highlight w:val="none"/>
          <w:lang w:val="en-US" w:eastAsia="zh-CN"/>
        </w:rPr>
      </w:pPr>
      <w:r>
        <w:rPr>
          <w:rFonts w:hint="default"/>
          <w:color w:val="auto"/>
          <w:highlight w:val="none"/>
          <w:lang w:val="en-US" w:eastAsia="zh-CN"/>
        </w:rPr>
        <w:t>“带动增加脱贫人口及劳动者全年总收入”指标，指标预期值为大于等于</w:t>
      </w:r>
      <w:r>
        <w:rPr>
          <w:rFonts w:hint="eastAsia"/>
          <w:color w:val="auto"/>
          <w:highlight w:val="none"/>
          <w:lang w:val="en-US" w:eastAsia="zh-CN"/>
        </w:rPr>
        <w:t>522.98</w:t>
      </w:r>
      <w:r>
        <w:rPr>
          <w:rFonts w:hint="default"/>
          <w:color w:val="auto"/>
          <w:highlight w:val="none"/>
          <w:lang w:val="en-US" w:eastAsia="zh-CN"/>
        </w:rPr>
        <w:t>万元，实际完成值为等于</w:t>
      </w:r>
      <w:r>
        <w:rPr>
          <w:rFonts w:hint="eastAsia"/>
          <w:color w:val="auto"/>
          <w:highlight w:val="none"/>
          <w:lang w:val="en-US" w:eastAsia="zh-CN"/>
        </w:rPr>
        <w:t>150.96</w:t>
      </w:r>
      <w:r>
        <w:rPr>
          <w:rFonts w:hint="default"/>
          <w:color w:val="auto"/>
          <w:highlight w:val="none"/>
          <w:lang w:val="en-US" w:eastAsia="zh-CN"/>
        </w:rPr>
        <w:t>万元，指标完成率为</w:t>
      </w:r>
      <w:r>
        <w:rPr>
          <w:rFonts w:hint="eastAsia"/>
          <w:color w:val="auto"/>
          <w:highlight w:val="none"/>
          <w:lang w:val="en-US" w:eastAsia="zh-CN"/>
        </w:rPr>
        <w:t>28.87</w:t>
      </w:r>
      <w:r>
        <w:rPr>
          <w:rFonts w:hint="default"/>
          <w:color w:val="auto"/>
          <w:highlight w:val="none"/>
          <w:lang w:val="en-US" w:eastAsia="zh-CN"/>
        </w:rPr>
        <w:t>%。所设分值</w:t>
      </w:r>
      <w:r>
        <w:rPr>
          <w:rFonts w:hint="eastAsia"/>
          <w:color w:val="auto"/>
          <w:highlight w:val="none"/>
          <w:lang w:val="en-US" w:eastAsia="zh-CN"/>
        </w:rPr>
        <w:t>10</w:t>
      </w:r>
      <w:r>
        <w:rPr>
          <w:rFonts w:hint="default"/>
          <w:color w:val="auto"/>
          <w:highlight w:val="none"/>
          <w:lang w:val="en-US" w:eastAsia="zh-CN"/>
        </w:rPr>
        <w:t>分，实际得分</w:t>
      </w:r>
      <w:r>
        <w:rPr>
          <w:rFonts w:hint="eastAsia"/>
          <w:color w:val="auto"/>
          <w:highlight w:val="none"/>
          <w:lang w:val="en-US" w:eastAsia="zh-CN"/>
        </w:rPr>
        <w:t>2.89</w:t>
      </w:r>
      <w:r>
        <w:rPr>
          <w:rFonts w:hint="default"/>
          <w:color w:val="auto"/>
          <w:highlight w:val="none"/>
          <w:lang w:val="en-US" w:eastAsia="zh-CN"/>
        </w:rPr>
        <w:t>分。</w:t>
      </w:r>
    </w:p>
    <w:p w14:paraId="5F76021D">
      <w:pPr>
        <w:pStyle w:val="54"/>
        <w:spacing w:line="560" w:lineRule="exact"/>
        <w:ind w:left="0" w:leftChars="0" w:right="0" w:rightChars="0" w:firstLine="560"/>
        <w:rPr>
          <w:rFonts w:hint="default"/>
          <w:color w:val="auto"/>
          <w:highlight w:val="none"/>
          <w:lang w:val="en-US" w:eastAsia="zh-CN"/>
        </w:rPr>
      </w:pPr>
      <w:r>
        <w:rPr>
          <w:rFonts w:hint="default"/>
          <w:color w:val="auto"/>
          <w:highlight w:val="none"/>
          <w:lang w:val="en-US" w:eastAsia="zh-CN"/>
        </w:rPr>
        <w:t>偏差原因：项目实际发放劳务人员工资150.96万元。</w:t>
      </w:r>
    </w:p>
    <w:p w14:paraId="26546E6A">
      <w:pPr>
        <w:pStyle w:val="54"/>
        <w:spacing w:line="560" w:lineRule="exact"/>
        <w:ind w:left="0" w:leftChars="0" w:right="0" w:rightChars="0" w:firstLine="560"/>
        <w:rPr>
          <w:rFonts w:hint="default"/>
          <w:color w:val="auto"/>
          <w:highlight w:val="none"/>
          <w:lang w:val="en-US" w:eastAsia="zh-CN"/>
        </w:rPr>
      </w:pPr>
      <w:r>
        <w:rPr>
          <w:rFonts w:hint="default"/>
          <w:color w:val="auto"/>
          <w:highlight w:val="none"/>
          <w:lang w:val="en-US" w:eastAsia="zh-CN"/>
        </w:rPr>
        <w:t>改进措施：加强项目管理，完善方案编制。</w:t>
      </w:r>
    </w:p>
    <w:p w14:paraId="297B3309">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2.2</w:t>
      </w:r>
      <w:r>
        <w:rPr>
          <w:rFonts w:hint="eastAsia"/>
          <w:color w:val="auto"/>
          <w:highlight w:val="none"/>
        </w:rPr>
        <w:t>项目实施的社会效益分析</w:t>
      </w:r>
    </w:p>
    <w:p w14:paraId="17104F9C">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“受益异地搬迁脱贫人口数”指标，指标预期值为大于等于38人，实际完成值为等于83人，指标完成率为90%。所设分值10分，实际得分9分。</w:t>
      </w:r>
    </w:p>
    <w:p w14:paraId="4D955BC7">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偏差原因：项目实际需要劳务人员平均83人。</w:t>
      </w:r>
    </w:p>
    <w:p w14:paraId="21A66370">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改进措施：加强项目管理，完善方案编制。</w:t>
      </w:r>
    </w:p>
    <w:p w14:paraId="1BA9DBCD">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“提高村民生活水平”指标，指标预期值为有效提高，实际完成值为未完成预期指标，指标完成率为0%。所设分值10分，实际得分0分。</w:t>
      </w:r>
    </w:p>
    <w:p w14:paraId="3DAD1C29">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偏差原因：项目已完工未完成验收，未投入使用，暂未产生效益。</w:t>
      </w:r>
    </w:p>
    <w:p w14:paraId="2DAE4FC7">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改进措施：加快验收进度，尽快投入使用。</w:t>
      </w:r>
    </w:p>
    <w:p w14:paraId="33B2793D">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3.满意度指标完成情况分析</w:t>
      </w:r>
    </w:p>
    <w:p w14:paraId="40870213">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“村民满意度”指标，指标预期值为大于等于95%，实际完成值为0%，指标完成率为0%。所设分值10分，实际得分0分。</w:t>
      </w:r>
    </w:p>
    <w:p w14:paraId="48B67CC1">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偏差原因：项目已完工未完成验收，未投入使用，暂未产生效益。</w:t>
      </w:r>
    </w:p>
    <w:p w14:paraId="0C2D4B0F">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改进措施：加快验收进度，尽快投入使用。</w:t>
      </w:r>
    </w:p>
    <w:p w14:paraId="61F3C700">
      <w:pPr>
        <w:pStyle w:val="31"/>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2FF4EA61">
      <w:pPr>
        <w:pStyle w:val="54"/>
        <w:spacing w:line="560" w:lineRule="exact"/>
        <w:ind w:left="3" w:right="3" w:firstLine="552"/>
        <w:rPr>
          <w:rFonts w:hint="eastAsia" w:ascii="仿宋_GB2312"/>
          <w:color w:val="auto"/>
          <w:spacing w:val="-4"/>
          <w:szCs w:val="32"/>
          <w:highlight w:val="none"/>
          <w:lang w:val="en-US" w:eastAsia="zh-CN"/>
        </w:rPr>
      </w:pPr>
      <w:r>
        <w:rPr>
          <w:rFonts w:hint="eastAsia" w:ascii="仿宋_GB2312"/>
          <w:color w:val="auto"/>
          <w:spacing w:val="-4"/>
          <w:szCs w:val="32"/>
          <w:highlight w:val="none"/>
          <w:lang w:val="en-US" w:eastAsia="zh-CN"/>
        </w:rPr>
        <w:t>1.质量指标-“项目验收合格率”指标，预期指标值为100.00%,全年实际值为0%。</w:t>
      </w:r>
    </w:p>
    <w:p w14:paraId="5078B585">
      <w:pPr>
        <w:pStyle w:val="54"/>
        <w:spacing w:line="560" w:lineRule="exact"/>
        <w:ind w:left="3" w:right="3" w:firstLine="552"/>
        <w:rPr>
          <w:rFonts w:hint="eastAsia" w:ascii="仿宋_GB2312"/>
          <w:color w:val="auto"/>
          <w:spacing w:val="-4"/>
          <w:szCs w:val="32"/>
          <w:highlight w:val="none"/>
          <w:lang w:val="en-US" w:eastAsia="zh-CN"/>
        </w:rPr>
      </w:pPr>
      <w:r>
        <w:rPr>
          <w:rFonts w:hint="eastAsia" w:ascii="仿宋_GB2312"/>
          <w:color w:val="auto"/>
          <w:spacing w:val="-4"/>
          <w:szCs w:val="32"/>
          <w:highlight w:val="none"/>
          <w:lang w:val="en-US" w:eastAsia="zh-CN"/>
        </w:rPr>
        <w:t>偏差原因：项目已完工未完成验收。</w:t>
      </w:r>
    </w:p>
    <w:p w14:paraId="7880E7E5">
      <w:pPr>
        <w:pStyle w:val="54"/>
        <w:spacing w:line="560" w:lineRule="exact"/>
        <w:ind w:left="3" w:right="3" w:firstLine="552"/>
        <w:rPr>
          <w:rFonts w:hint="eastAsia" w:ascii="仿宋_GB2312"/>
          <w:color w:val="auto"/>
          <w:spacing w:val="-4"/>
          <w:szCs w:val="32"/>
          <w:highlight w:val="none"/>
          <w:lang w:val="en-US" w:eastAsia="zh-CN"/>
        </w:rPr>
      </w:pPr>
      <w:r>
        <w:rPr>
          <w:rFonts w:hint="eastAsia" w:ascii="仿宋_GB2312"/>
          <w:color w:val="auto"/>
          <w:spacing w:val="-4"/>
          <w:szCs w:val="32"/>
          <w:highlight w:val="none"/>
          <w:lang w:val="en-US" w:eastAsia="zh-CN"/>
        </w:rPr>
        <w:t>改进措施：加快验收进度。</w:t>
      </w:r>
    </w:p>
    <w:p w14:paraId="6E602A32">
      <w:pPr>
        <w:pStyle w:val="54"/>
        <w:spacing w:line="560" w:lineRule="exact"/>
        <w:ind w:left="3" w:right="3" w:firstLine="552"/>
        <w:rPr>
          <w:rFonts w:hint="eastAsia" w:ascii="仿宋_GB2312" w:eastAsia="仿宋_GB2312"/>
          <w:color w:val="auto"/>
          <w:spacing w:val="-4"/>
          <w:szCs w:val="32"/>
          <w:highlight w:val="none"/>
          <w:lang w:eastAsia="zh-CN"/>
        </w:rPr>
      </w:pPr>
      <w:r>
        <w:rPr>
          <w:rFonts w:hint="eastAsia" w:ascii="仿宋_GB2312"/>
          <w:color w:val="auto"/>
          <w:spacing w:val="-4"/>
          <w:szCs w:val="32"/>
          <w:highlight w:val="none"/>
          <w:lang w:val="en-US" w:eastAsia="zh-CN"/>
        </w:rPr>
        <w:t>2</w:t>
      </w:r>
      <w:r>
        <w:rPr>
          <w:rFonts w:hint="eastAsia" w:ascii="仿宋_GB2312"/>
          <w:color w:val="auto"/>
          <w:spacing w:val="-4"/>
          <w:szCs w:val="32"/>
          <w:highlight w:val="none"/>
        </w:rPr>
        <w:t>.成本指标-“工程</w:t>
      </w:r>
      <w:r>
        <w:rPr>
          <w:rFonts w:hint="eastAsia" w:ascii="仿宋_GB2312"/>
          <w:color w:val="auto"/>
          <w:spacing w:val="-4"/>
          <w:szCs w:val="32"/>
          <w:highlight w:val="none"/>
          <w:lang w:val="en-US" w:eastAsia="zh-CN"/>
        </w:rPr>
        <w:t>费用</w:t>
      </w:r>
      <w:r>
        <w:rPr>
          <w:rFonts w:hint="eastAsia" w:ascii="仿宋_GB2312"/>
          <w:color w:val="auto"/>
          <w:spacing w:val="-4"/>
          <w:szCs w:val="32"/>
          <w:highlight w:val="none"/>
        </w:rPr>
        <w:t>”指标，预期指标值为小于等于641.06万元, 全年实际值为536.58万元</w:t>
      </w:r>
      <w:r>
        <w:rPr>
          <w:rFonts w:hint="eastAsia" w:ascii="仿宋_GB2312"/>
          <w:color w:val="auto"/>
          <w:spacing w:val="-4"/>
          <w:szCs w:val="32"/>
          <w:highlight w:val="none"/>
          <w:lang w:eastAsia="zh-CN"/>
        </w:rPr>
        <w:t>。</w:t>
      </w:r>
    </w:p>
    <w:p w14:paraId="2C5E7CD8">
      <w:pPr>
        <w:pStyle w:val="54"/>
        <w:spacing w:line="560" w:lineRule="exact"/>
        <w:ind w:left="3" w:right="3" w:firstLine="552"/>
        <w:rPr>
          <w:rFonts w:hint="eastAsia" w:ascii="仿宋_GB2312"/>
          <w:color w:val="auto"/>
          <w:spacing w:val="-4"/>
          <w:szCs w:val="32"/>
          <w:highlight w:val="none"/>
          <w:lang w:val="en-US" w:eastAsia="zh-CN"/>
        </w:rPr>
      </w:pPr>
      <w:r>
        <w:rPr>
          <w:rFonts w:hint="eastAsia" w:ascii="仿宋_GB2312"/>
          <w:color w:val="auto"/>
          <w:spacing w:val="-4"/>
          <w:szCs w:val="32"/>
          <w:highlight w:val="none"/>
          <w:lang w:val="en-US" w:eastAsia="zh-CN"/>
        </w:rPr>
        <w:t>偏差原因：项目已完工暂未验收，剩余资金待支付。</w:t>
      </w:r>
    </w:p>
    <w:p w14:paraId="5933C3D4">
      <w:pPr>
        <w:pStyle w:val="54"/>
        <w:spacing w:line="560" w:lineRule="exact"/>
        <w:ind w:left="3" w:right="3" w:firstLine="552"/>
        <w:rPr>
          <w:rFonts w:hint="eastAsia" w:ascii="仿宋_GB2312"/>
          <w:color w:val="auto"/>
          <w:spacing w:val="-4"/>
          <w:szCs w:val="32"/>
          <w:highlight w:val="none"/>
          <w:lang w:val="en-US" w:eastAsia="zh-CN"/>
        </w:rPr>
      </w:pPr>
      <w:r>
        <w:rPr>
          <w:rFonts w:hint="eastAsia" w:ascii="仿宋_GB2312"/>
          <w:color w:val="auto"/>
          <w:spacing w:val="-4"/>
          <w:szCs w:val="32"/>
          <w:highlight w:val="none"/>
          <w:lang w:val="en-US" w:eastAsia="zh-CN"/>
        </w:rPr>
        <w:t>改进措施：加强项目管理，加快验收及资金支付进度。</w:t>
      </w:r>
    </w:p>
    <w:p w14:paraId="33440892">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lang w:val="en-US" w:eastAsia="zh-CN"/>
        </w:rPr>
        <w:t>3.</w:t>
      </w:r>
      <w:r>
        <w:rPr>
          <w:rFonts w:hint="eastAsia" w:ascii="仿宋_GB2312"/>
          <w:color w:val="auto"/>
          <w:spacing w:val="-4"/>
          <w:szCs w:val="32"/>
          <w:highlight w:val="none"/>
        </w:rPr>
        <w:t>成本指标-“其他</w:t>
      </w:r>
      <w:r>
        <w:rPr>
          <w:rFonts w:hint="eastAsia" w:ascii="仿宋_GB2312"/>
          <w:color w:val="auto"/>
          <w:spacing w:val="-4"/>
          <w:szCs w:val="32"/>
          <w:highlight w:val="none"/>
          <w:lang w:val="en-US" w:eastAsia="zh-CN"/>
        </w:rPr>
        <w:t>费用</w:t>
      </w:r>
      <w:r>
        <w:rPr>
          <w:rFonts w:hint="eastAsia" w:ascii="仿宋_GB2312"/>
          <w:color w:val="auto"/>
          <w:spacing w:val="-4"/>
          <w:szCs w:val="32"/>
          <w:highlight w:val="none"/>
        </w:rPr>
        <w:t>”指标，预期指标值为小于等于89.56万元, 全年实际值为小于等于42.18万元。</w:t>
      </w:r>
    </w:p>
    <w:p w14:paraId="10125709">
      <w:pPr>
        <w:pStyle w:val="54"/>
        <w:spacing w:line="560" w:lineRule="exact"/>
        <w:ind w:left="3" w:right="3" w:firstLine="552"/>
        <w:rPr>
          <w:rFonts w:hint="eastAsia" w:ascii="仿宋_GB2312"/>
          <w:color w:val="auto"/>
          <w:spacing w:val="-4"/>
          <w:szCs w:val="32"/>
          <w:highlight w:val="none"/>
          <w:lang w:val="en-US" w:eastAsia="zh-CN"/>
        </w:rPr>
      </w:pPr>
      <w:r>
        <w:rPr>
          <w:rFonts w:hint="eastAsia" w:ascii="仿宋_GB2312"/>
          <w:color w:val="auto"/>
          <w:spacing w:val="-4"/>
          <w:szCs w:val="32"/>
          <w:highlight w:val="none"/>
          <w:lang w:val="en-US" w:eastAsia="zh-CN"/>
        </w:rPr>
        <w:t>偏差原因：项目已完工暂未验收，剩余资金待支付。</w:t>
      </w:r>
    </w:p>
    <w:p w14:paraId="283529E9">
      <w:pPr>
        <w:pStyle w:val="54"/>
        <w:spacing w:line="560" w:lineRule="exact"/>
        <w:ind w:left="3" w:right="3" w:firstLine="552"/>
        <w:rPr>
          <w:rFonts w:hint="eastAsia" w:ascii="仿宋_GB2312"/>
          <w:color w:val="auto"/>
          <w:spacing w:val="-4"/>
          <w:szCs w:val="32"/>
          <w:highlight w:val="none"/>
          <w:lang w:val="en-US" w:eastAsia="zh-CN"/>
        </w:rPr>
      </w:pPr>
      <w:r>
        <w:rPr>
          <w:rFonts w:hint="eastAsia" w:ascii="仿宋_GB2312"/>
          <w:color w:val="auto"/>
          <w:spacing w:val="-4"/>
          <w:szCs w:val="32"/>
          <w:highlight w:val="none"/>
          <w:lang w:val="en-US" w:eastAsia="zh-CN"/>
        </w:rPr>
        <w:t>改进措施：加强项目管理，加快验收及资金支付进度。</w:t>
      </w:r>
    </w:p>
    <w:p w14:paraId="17F2BCBA">
      <w:pPr>
        <w:pStyle w:val="54"/>
        <w:spacing w:line="560" w:lineRule="exact"/>
        <w:ind w:left="3" w:right="3" w:firstLine="552"/>
        <w:rPr>
          <w:rFonts w:hint="default" w:ascii="仿宋_GB2312"/>
          <w:color w:val="auto"/>
          <w:spacing w:val="-4"/>
          <w:szCs w:val="32"/>
          <w:highlight w:val="none"/>
          <w:lang w:val="en-US" w:eastAsia="zh-CN"/>
        </w:rPr>
      </w:pPr>
      <w:r>
        <w:rPr>
          <w:rFonts w:hint="eastAsia" w:ascii="仿宋_GB2312"/>
          <w:color w:val="auto"/>
          <w:spacing w:val="-4"/>
          <w:szCs w:val="32"/>
          <w:highlight w:val="none"/>
          <w:lang w:val="en-US" w:eastAsia="zh-CN"/>
        </w:rPr>
        <w:t>4.经济效益指标-</w:t>
      </w:r>
      <w:r>
        <w:rPr>
          <w:rFonts w:hint="default"/>
          <w:color w:val="auto"/>
          <w:highlight w:val="none"/>
          <w:lang w:val="en-US" w:eastAsia="zh-CN"/>
        </w:rPr>
        <w:t>“带动增加脱贫人口及劳动者全年总收入”指标，指标预期值为大于等于</w:t>
      </w:r>
      <w:r>
        <w:rPr>
          <w:rFonts w:hint="eastAsia"/>
          <w:color w:val="auto"/>
          <w:highlight w:val="none"/>
          <w:lang w:val="en-US" w:eastAsia="zh-CN"/>
        </w:rPr>
        <w:t>522.98</w:t>
      </w:r>
      <w:r>
        <w:rPr>
          <w:rFonts w:hint="default"/>
          <w:color w:val="auto"/>
          <w:highlight w:val="none"/>
          <w:lang w:val="en-US" w:eastAsia="zh-CN"/>
        </w:rPr>
        <w:t>万元，实际完成值为等于</w:t>
      </w:r>
      <w:r>
        <w:rPr>
          <w:rFonts w:hint="eastAsia"/>
          <w:color w:val="auto"/>
          <w:highlight w:val="none"/>
          <w:lang w:val="en-US" w:eastAsia="zh-CN"/>
        </w:rPr>
        <w:t>150.96</w:t>
      </w:r>
      <w:r>
        <w:rPr>
          <w:rFonts w:hint="default"/>
          <w:color w:val="auto"/>
          <w:highlight w:val="none"/>
          <w:lang w:val="en-US" w:eastAsia="zh-CN"/>
        </w:rPr>
        <w:t>万元</w:t>
      </w:r>
      <w:r>
        <w:rPr>
          <w:rFonts w:hint="eastAsia"/>
          <w:color w:val="auto"/>
          <w:highlight w:val="none"/>
          <w:lang w:val="en-US" w:eastAsia="zh-CN"/>
        </w:rPr>
        <w:t>。</w:t>
      </w:r>
    </w:p>
    <w:p w14:paraId="786E5E75">
      <w:pPr>
        <w:pStyle w:val="54"/>
        <w:spacing w:line="560" w:lineRule="exact"/>
        <w:ind w:left="0" w:leftChars="0" w:right="0" w:rightChars="0" w:firstLine="560"/>
        <w:rPr>
          <w:rFonts w:hint="default"/>
          <w:color w:val="auto"/>
          <w:highlight w:val="none"/>
          <w:lang w:val="en-US" w:eastAsia="zh-CN"/>
        </w:rPr>
      </w:pPr>
      <w:r>
        <w:rPr>
          <w:rFonts w:hint="default"/>
          <w:color w:val="auto"/>
          <w:highlight w:val="none"/>
          <w:lang w:val="en-US" w:eastAsia="zh-CN"/>
        </w:rPr>
        <w:t>偏差原因：项目实际发放劳务人员工资150.96万元。</w:t>
      </w:r>
    </w:p>
    <w:p w14:paraId="42FE6269">
      <w:pPr>
        <w:pStyle w:val="54"/>
        <w:spacing w:line="560" w:lineRule="exact"/>
        <w:ind w:left="3" w:right="3" w:firstLine="552"/>
        <w:rPr>
          <w:rFonts w:hint="eastAsia" w:ascii="仿宋_GB2312"/>
          <w:color w:val="auto"/>
          <w:spacing w:val="-4"/>
          <w:szCs w:val="32"/>
          <w:highlight w:val="none"/>
          <w:lang w:val="en-US" w:eastAsia="zh-CN"/>
        </w:rPr>
      </w:pPr>
      <w:r>
        <w:rPr>
          <w:rFonts w:hint="default"/>
          <w:color w:val="auto"/>
          <w:highlight w:val="none"/>
          <w:lang w:val="en-US" w:eastAsia="zh-CN"/>
        </w:rPr>
        <w:t>改进措施：加强项目管理，完善方案编制</w:t>
      </w:r>
    </w:p>
    <w:p w14:paraId="7946094E">
      <w:pPr>
        <w:pStyle w:val="54"/>
        <w:spacing w:line="560" w:lineRule="exact"/>
        <w:ind w:left="3" w:right="3" w:firstLine="552"/>
        <w:rPr>
          <w:rFonts w:hint="default" w:ascii="仿宋_GB2312"/>
          <w:color w:val="auto"/>
          <w:spacing w:val="-4"/>
          <w:szCs w:val="32"/>
          <w:highlight w:val="none"/>
          <w:lang w:val="en-US" w:eastAsia="zh-CN"/>
        </w:rPr>
      </w:pPr>
      <w:r>
        <w:rPr>
          <w:rFonts w:hint="eastAsia" w:ascii="仿宋_GB2312"/>
          <w:color w:val="auto"/>
          <w:spacing w:val="-4"/>
          <w:szCs w:val="32"/>
          <w:highlight w:val="none"/>
          <w:lang w:val="en-US" w:eastAsia="zh-CN"/>
        </w:rPr>
        <w:t>5.社会效益指标-</w:t>
      </w:r>
      <w:r>
        <w:rPr>
          <w:rFonts w:hint="eastAsia"/>
          <w:color w:val="auto"/>
          <w:highlight w:val="none"/>
          <w:lang w:val="en-US" w:eastAsia="zh-CN"/>
        </w:rPr>
        <w:t>“受益异地搬迁脱贫人口数”指标，指标预期值为大于等于38人，实际完成值为等于83人。</w:t>
      </w:r>
    </w:p>
    <w:p w14:paraId="492CB1F1">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偏差原因：项目实际需要劳务人员平均83人。</w:t>
      </w:r>
    </w:p>
    <w:p w14:paraId="3C613C4A">
      <w:pPr>
        <w:pStyle w:val="54"/>
        <w:spacing w:line="560" w:lineRule="exact"/>
        <w:ind w:left="3" w:right="3" w:firstLine="552"/>
        <w:rPr>
          <w:rFonts w:hint="eastAsia" w:ascii="仿宋_GB2312"/>
          <w:color w:val="auto"/>
          <w:spacing w:val="-4"/>
          <w:szCs w:val="32"/>
          <w:highlight w:val="none"/>
          <w:lang w:val="en-US" w:eastAsia="zh-CN"/>
        </w:rPr>
      </w:pPr>
      <w:r>
        <w:rPr>
          <w:rFonts w:hint="eastAsia"/>
          <w:color w:val="auto"/>
          <w:highlight w:val="none"/>
          <w:lang w:val="en-US" w:eastAsia="zh-CN"/>
        </w:rPr>
        <w:t>改进措施：加强项目管理，完善方案编制。</w:t>
      </w:r>
    </w:p>
    <w:p w14:paraId="1CC39B07">
      <w:pPr>
        <w:pStyle w:val="54"/>
        <w:spacing w:line="560" w:lineRule="exact"/>
        <w:ind w:left="3" w:right="3" w:firstLine="552"/>
        <w:rPr>
          <w:rFonts w:hint="default" w:ascii="仿宋_GB2312"/>
          <w:color w:val="auto"/>
          <w:spacing w:val="-4"/>
          <w:szCs w:val="32"/>
          <w:highlight w:val="none"/>
          <w:lang w:val="en-US" w:eastAsia="zh-CN"/>
        </w:rPr>
      </w:pPr>
      <w:r>
        <w:rPr>
          <w:rFonts w:hint="eastAsia" w:ascii="仿宋_GB2312"/>
          <w:color w:val="auto"/>
          <w:spacing w:val="-4"/>
          <w:szCs w:val="32"/>
          <w:highlight w:val="none"/>
          <w:lang w:val="en-US" w:eastAsia="zh-CN"/>
        </w:rPr>
        <w:t>6.社会效益指标-</w:t>
      </w:r>
      <w:r>
        <w:rPr>
          <w:rFonts w:hint="eastAsia"/>
          <w:color w:val="auto"/>
          <w:highlight w:val="none"/>
          <w:lang w:val="en-US" w:eastAsia="zh-CN"/>
        </w:rPr>
        <w:t>“提高村民生活水平”指标，指标预期值为有效提高，实际完成值为未完成预期指标，指标完成率为0%。</w:t>
      </w:r>
    </w:p>
    <w:p w14:paraId="3FAAF839">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偏差原因：项目已完工未完成验收，未投入使用，暂未产生效益。</w:t>
      </w:r>
    </w:p>
    <w:p w14:paraId="5C0C7BDC">
      <w:pPr>
        <w:pStyle w:val="54"/>
        <w:spacing w:line="560" w:lineRule="exact"/>
        <w:ind w:left="3" w:right="3" w:firstLine="552"/>
        <w:rPr>
          <w:rFonts w:hint="eastAsia" w:ascii="仿宋_GB2312"/>
          <w:color w:val="auto"/>
          <w:spacing w:val="-4"/>
          <w:szCs w:val="32"/>
          <w:highlight w:val="none"/>
          <w:lang w:val="en-US" w:eastAsia="zh-CN"/>
        </w:rPr>
      </w:pPr>
      <w:r>
        <w:rPr>
          <w:rFonts w:hint="eastAsia"/>
          <w:color w:val="auto"/>
          <w:highlight w:val="none"/>
          <w:lang w:val="en-US" w:eastAsia="zh-CN"/>
        </w:rPr>
        <w:t>改进措施：加快验收进度，尽快投入使用。</w:t>
      </w:r>
    </w:p>
    <w:p w14:paraId="42CA5633">
      <w:pPr>
        <w:pStyle w:val="54"/>
        <w:spacing w:line="560" w:lineRule="exact"/>
        <w:ind w:left="3" w:right="3" w:firstLine="552"/>
        <w:rPr>
          <w:rFonts w:hint="default" w:ascii="仿宋_GB2312"/>
          <w:color w:val="auto"/>
          <w:spacing w:val="-4"/>
          <w:szCs w:val="32"/>
          <w:highlight w:val="none"/>
          <w:lang w:val="en-US" w:eastAsia="zh-CN"/>
        </w:rPr>
      </w:pPr>
      <w:r>
        <w:rPr>
          <w:rFonts w:hint="eastAsia" w:ascii="仿宋_GB2312"/>
          <w:color w:val="auto"/>
          <w:spacing w:val="-4"/>
          <w:szCs w:val="32"/>
          <w:highlight w:val="none"/>
          <w:lang w:val="en-US" w:eastAsia="zh-CN"/>
        </w:rPr>
        <w:t>7.满意度指标-</w:t>
      </w:r>
      <w:r>
        <w:rPr>
          <w:rFonts w:hint="eastAsia"/>
          <w:color w:val="auto"/>
          <w:highlight w:val="none"/>
          <w:lang w:val="en-US" w:eastAsia="zh-CN"/>
        </w:rPr>
        <w:t>“村民满意度”指标，指标预期值为大于等于95%，实际完成值为0%，指标完成率为0%。</w:t>
      </w:r>
    </w:p>
    <w:p w14:paraId="196ACCFF">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偏差原因：项目已完工未完成验收，未投入使用，暂未产生效益。</w:t>
      </w:r>
    </w:p>
    <w:p w14:paraId="348A9512">
      <w:pPr>
        <w:pStyle w:val="54"/>
        <w:spacing w:line="560" w:lineRule="exact"/>
        <w:ind w:left="3" w:right="3" w:firstLine="552"/>
        <w:rPr>
          <w:rFonts w:hint="eastAsia" w:ascii="仿宋_GB2312"/>
          <w:color w:val="auto"/>
          <w:spacing w:val="-4"/>
          <w:szCs w:val="32"/>
          <w:highlight w:val="none"/>
          <w:lang w:val="en-US" w:eastAsia="zh-CN"/>
        </w:rPr>
      </w:pPr>
      <w:r>
        <w:rPr>
          <w:rFonts w:hint="eastAsia"/>
          <w:color w:val="auto"/>
          <w:highlight w:val="none"/>
          <w:lang w:val="en-US" w:eastAsia="zh-CN"/>
        </w:rPr>
        <w:t>改进措施：加快验收进度，尽快投入使用。</w:t>
      </w:r>
    </w:p>
    <w:p w14:paraId="22ED6BB3">
      <w:pPr>
        <w:pStyle w:val="31"/>
        <w:spacing w:before="120"/>
        <w:ind w:left="0" w:leftChars="0" w:right="3" w:firstLine="562" w:firstLineChars="200"/>
        <w:rPr>
          <w:color w:val="auto"/>
          <w:highlight w:val="none"/>
        </w:rPr>
      </w:pPr>
      <w:r>
        <w:rPr>
          <w:rFonts w:hint="eastAsia"/>
          <w:color w:val="auto"/>
          <w:highlight w:val="none"/>
        </w:rPr>
        <w:t>五、绩效自评结果拟应用和公开情况</w:t>
      </w:r>
    </w:p>
    <w:p w14:paraId="089BFCF9">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项目本次评价通过文件研读、实地调研、数据采集、问卷调查方式下，全面了解</w:t>
      </w:r>
      <w:r>
        <w:rPr>
          <w:rFonts w:hint="eastAsia" w:ascii="仿宋_GB2312"/>
          <w:color w:val="auto"/>
          <w:spacing w:val="-4"/>
          <w:szCs w:val="32"/>
          <w:highlight w:val="none"/>
          <w:lang w:eastAsia="zh-CN"/>
        </w:rPr>
        <w:t>于田县玫瑰基地北侧红柳大芸基地基础配套设施建设项目</w:t>
      </w:r>
      <w:r>
        <w:rPr>
          <w:rFonts w:hint="eastAsia" w:ascii="仿宋_GB2312"/>
          <w:color w:val="auto"/>
          <w:spacing w:val="-4"/>
          <w:szCs w:val="32"/>
          <w:highlight w:val="none"/>
        </w:rPr>
        <w:t>资金的使用效率和效果，从而得出以下综合评价结论：在绩效目标方面，本项目共设置一级指标3个，二级指标</w:t>
      </w:r>
      <w:r>
        <w:rPr>
          <w:rFonts w:hint="eastAsia" w:ascii="仿宋_GB2312"/>
          <w:color w:val="auto"/>
          <w:spacing w:val="-4"/>
          <w:szCs w:val="32"/>
          <w:highlight w:val="none"/>
          <w:lang w:val="en-US" w:eastAsia="zh-CN"/>
        </w:rPr>
        <w:t>7</w:t>
      </w:r>
      <w:r>
        <w:rPr>
          <w:rFonts w:hint="eastAsia" w:ascii="仿宋_GB2312"/>
          <w:color w:val="auto"/>
          <w:spacing w:val="-4"/>
          <w:szCs w:val="32"/>
          <w:highlight w:val="none"/>
        </w:rPr>
        <w:t>个，三级指标</w:t>
      </w:r>
      <w:r>
        <w:rPr>
          <w:rFonts w:hint="eastAsia" w:ascii="仿宋_GB2312"/>
          <w:color w:val="auto"/>
          <w:spacing w:val="-4"/>
          <w:szCs w:val="32"/>
          <w:highlight w:val="none"/>
          <w:lang w:val="en-US" w:eastAsia="zh-CN"/>
        </w:rPr>
        <w:t>16</w:t>
      </w:r>
      <w:r>
        <w:rPr>
          <w:rFonts w:hint="eastAsia" w:ascii="仿宋_GB2312"/>
          <w:color w:val="auto"/>
          <w:spacing w:val="-4"/>
          <w:szCs w:val="32"/>
          <w:highlight w:val="none"/>
        </w:rPr>
        <w:t>个，其中已完成三级指标</w:t>
      </w:r>
      <w:r>
        <w:rPr>
          <w:rFonts w:hint="eastAsia" w:ascii="仿宋_GB2312"/>
          <w:color w:val="auto"/>
          <w:spacing w:val="-4"/>
          <w:szCs w:val="32"/>
          <w:highlight w:val="none"/>
          <w:lang w:val="en-US" w:eastAsia="zh-CN"/>
        </w:rPr>
        <w:t>9</w:t>
      </w:r>
      <w:r>
        <w:rPr>
          <w:rFonts w:hint="eastAsia" w:ascii="仿宋_GB2312"/>
          <w:color w:val="auto"/>
          <w:spacing w:val="-4"/>
          <w:szCs w:val="32"/>
          <w:highlight w:val="none"/>
        </w:rPr>
        <w:t>个，指标完成率为</w:t>
      </w:r>
      <w:r>
        <w:rPr>
          <w:rFonts w:hint="eastAsia" w:ascii="仿宋_GB2312"/>
          <w:color w:val="auto"/>
          <w:spacing w:val="-4"/>
          <w:szCs w:val="32"/>
          <w:highlight w:val="none"/>
          <w:lang w:val="en-US" w:eastAsia="zh-CN"/>
        </w:rPr>
        <w:t>56.25</w:t>
      </w:r>
      <w:r>
        <w:rPr>
          <w:rFonts w:hint="eastAsia" w:ascii="仿宋_GB2312"/>
          <w:color w:val="auto"/>
          <w:spacing w:val="-4"/>
          <w:szCs w:val="32"/>
          <w:highlight w:val="none"/>
        </w:rPr>
        <w:t>%；在资金使用方面，严格按照《于田县扶贫资金财务管理制度》、《</w:t>
      </w:r>
      <w:r>
        <w:rPr>
          <w:rFonts w:hint="eastAsia" w:ascii="仿宋_GB2312"/>
          <w:color w:val="auto"/>
          <w:spacing w:val="-4"/>
          <w:szCs w:val="32"/>
          <w:highlight w:val="none"/>
          <w:lang w:eastAsia="zh-CN"/>
        </w:rPr>
        <w:t>于田县林业和草原局</w:t>
      </w:r>
      <w:r>
        <w:rPr>
          <w:rFonts w:hint="eastAsia" w:ascii="仿宋_GB2312"/>
          <w:color w:val="auto"/>
          <w:spacing w:val="-4"/>
          <w:szCs w:val="32"/>
          <w:highlight w:val="none"/>
        </w:rPr>
        <w:t>财务管理制度》执行，保障了资金使用规范、安全，无挪用、截留资金的情况发生。在项目管理方面，制定了《</w:t>
      </w:r>
      <w:r>
        <w:rPr>
          <w:rFonts w:hint="eastAsia" w:ascii="仿宋_GB2312"/>
          <w:color w:val="auto"/>
          <w:spacing w:val="-4"/>
          <w:szCs w:val="32"/>
          <w:highlight w:val="none"/>
          <w:lang w:eastAsia="zh-CN"/>
        </w:rPr>
        <w:t>于田县玫瑰基地北侧红柳大芸基地基础配套设施建设项目</w:t>
      </w:r>
      <w:r>
        <w:rPr>
          <w:rFonts w:hint="eastAsia" w:ascii="仿宋_GB2312"/>
          <w:color w:val="auto"/>
          <w:spacing w:val="-4"/>
          <w:szCs w:val="32"/>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2DFCBB51">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项目最终得分</w:t>
      </w:r>
      <w:r>
        <w:rPr>
          <w:rFonts w:hint="eastAsia" w:ascii="仿宋_GB2312"/>
          <w:color w:val="auto"/>
          <w:spacing w:val="-4"/>
          <w:szCs w:val="32"/>
          <w:highlight w:val="none"/>
          <w:lang w:val="en-US" w:eastAsia="zh-CN"/>
        </w:rPr>
        <w:t>62.36</w:t>
      </w:r>
      <w:r>
        <w:rPr>
          <w:rFonts w:hint="eastAsia" w:ascii="仿宋_GB2312"/>
          <w:color w:val="auto"/>
          <w:spacing w:val="-4"/>
          <w:szCs w:val="32"/>
          <w:highlight w:val="none"/>
        </w:rPr>
        <w:t>分，评价等级为</w:t>
      </w:r>
      <w:r>
        <w:rPr>
          <w:rFonts w:hint="eastAsia" w:ascii="仿宋_GB2312"/>
          <w:color w:val="auto"/>
          <w:spacing w:val="-4"/>
          <w:szCs w:val="32"/>
          <w:highlight w:val="none"/>
          <w:lang w:val="en-US" w:eastAsia="zh-CN"/>
        </w:rPr>
        <w:t>中</w:t>
      </w:r>
      <w:r>
        <w:rPr>
          <w:rFonts w:hint="eastAsia" w:ascii="仿宋_GB2312"/>
          <w:color w:val="auto"/>
          <w:spacing w:val="-4"/>
          <w:szCs w:val="32"/>
          <w:highlight w:val="none"/>
        </w:rPr>
        <w:t>。</w:t>
      </w:r>
    </w:p>
    <w:p w14:paraId="0DC8CAB8">
      <w:pPr>
        <w:pStyle w:val="54"/>
        <w:spacing w:line="560" w:lineRule="exact"/>
        <w:ind w:left="3" w:right="3" w:firstLine="554"/>
        <w:rPr>
          <w:rStyle w:val="21"/>
          <w:rFonts w:ascii="楷体_GB2312" w:hAnsi="楷体"/>
          <w:color w:val="auto"/>
          <w:spacing w:val="-4"/>
          <w:szCs w:val="32"/>
          <w:highlight w:val="none"/>
        </w:rPr>
      </w:pPr>
      <w:r>
        <w:rPr>
          <w:rStyle w:val="21"/>
          <w:rFonts w:hint="eastAsia" w:ascii="楷体_GB2312" w:hAnsi="楷体"/>
          <w:color w:val="auto"/>
          <w:spacing w:val="-4"/>
          <w:szCs w:val="32"/>
          <w:highlight w:val="none"/>
        </w:rPr>
        <w:t>（一）绩效自评结果拟应用情况</w:t>
      </w:r>
    </w:p>
    <w:p w14:paraId="245931E0">
      <w:pPr>
        <w:pStyle w:val="54"/>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44F1FF20">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（二）指标佐证材料说明</w:t>
      </w:r>
    </w:p>
    <w:p w14:paraId="39BAEE47">
      <w:pPr>
        <w:pStyle w:val="54"/>
        <w:spacing w:line="560" w:lineRule="exact"/>
        <w:ind w:left="3" w:right="3" w:firstLine="560"/>
        <w:rPr>
          <w:rFonts w:ascii="仿宋_GB2312"/>
          <w:color w:val="auto"/>
          <w:highlight w:val="none"/>
        </w:rPr>
      </w:pPr>
      <w:r>
        <w:rPr>
          <w:rFonts w:hint="eastAsia" w:ascii="仿宋_GB2312"/>
          <w:color w:val="auto"/>
          <w:highlight w:val="none"/>
        </w:rPr>
        <w:t>项目状况：该项目不存在立项，由</w:t>
      </w:r>
      <w:r>
        <w:rPr>
          <w:rFonts w:hint="eastAsia" w:ascii="仿宋_GB2312"/>
          <w:color w:val="auto"/>
          <w:highlight w:val="none"/>
          <w:lang w:val="en-US" w:eastAsia="zh-CN"/>
        </w:rPr>
        <w:t>林草局</w:t>
      </w:r>
      <w:r>
        <w:rPr>
          <w:rFonts w:hint="eastAsia" w:ascii="仿宋_GB2312"/>
          <w:color w:val="auto"/>
          <w:highlight w:val="none"/>
        </w:rPr>
        <w:t>负责项目的实施方案，并由</w:t>
      </w:r>
      <w:r>
        <w:rPr>
          <w:rFonts w:hint="eastAsia" w:ascii="仿宋_GB2312"/>
          <w:color w:val="auto"/>
          <w:highlight w:val="none"/>
          <w:lang w:val="en-US" w:eastAsia="zh-CN"/>
        </w:rPr>
        <w:t>于田县发展和改革委员会</w:t>
      </w:r>
      <w:r>
        <w:rPr>
          <w:rFonts w:hint="eastAsia" w:ascii="仿宋_GB2312"/>
          <w:color w:val="auto"/>
          <w:highlight w:val="none"/>
        </w:rPr>
        <w:t>，下发了《关于对</w:t>
      </w:r>
      <w:r>
        <w:rPr>
          <w:rFonts w:hint="eastAsia" w:ascii="仿宋_GB2312"/>
          <w:color w:val="auto"/>
          <w:highlight w:val="none"/>
          <w:lang w:eastAsia="zh-CN"/>
        </w:rPr>
        <w:t>于田县玫瑰基地北侧红柳大芸基地基础配套设施建设项目</w:t>
      </w:r>
      <w:r>
        <w:rPr>
          <w:rFonts w:hint="eastAsia" w:ascii="仿宋_GB2312"/>
          <w:color w:val="auto"/>
          <w:highlight w:val="none"/>
        </w:rPr>
        <w:t>方案的批复》（于发改项目【2024】34号）。</w:t>
      </w:r>
    </w:p>
    <w:p w14:paraId="46E5C53B">
      <w:pPr>
        <w:pStyle w:val="54"/>
        <w:spacing w:line="560" w:lineRule="exact"/>
        <w:ind w:left="3" w:right="3" w:firstLine="560"/>
        <w:rPr>
          <w:rFonts w:ascii="仿宋_GB2312"/>
          <w:color w:val="auto"/>
          <w:highlight w:val="none"/>
        </w:rPr>
      </w:pPr>
      <w:r>
        <w:rPr>
          <w:rFonts w:hint="eastAsia" w:ascii="仿宋_GB2312"/>
          <w:color w:val="auto"/>
          <w:highlight w:val="none"/>
        </w:rPr>
        <w:t>资金状况：预算资金来源为</w:t>
      </w:r>
      <w:r>
        <w:rPr>
          <w:rFonts w:hint="eastAsia" w:ascii="仿宋_GB2312"/>
          <w:color w:val="auto"/>
          <w:highlight w:val="none"/>
          <w:lang w:val="en-US" w:eastAsia="zh-CN"/>
        </w:rPr>
        <w:t>以工代赈资金</w:t>
      </w:r>
      <w:r>
        <w:rPr>
          <w:rFonts w:hint="eastAsia" w:ascii="仿宋_GB2312"/>
          <w:color w:val="auto"/>
          <w:highlight w:val="none"/>
        </w:rPr>
        <w:t>，文件依据：</w:t>
      </w:r>
      <w:r>
        <w:rPr>
          <w:rFonts w:hint="eastAsia" w:ascii="仿宋_GB2312"/>
          <w:color w:val="auto"/>
          <w:highlight w:val="none"/>
          <w:lang w:val="en-US" w:eastAsia="zh-CN"/>
        </w:rPr>
        <w:t>和田地区关于下达2024年中央财政衔接资金任务计划的通知</w:t>
      </w:r>
      <w:r>
        <w:rPr>
          <w:rFonts w:hint="eastAsia" w:ascii="仿宋_GB2312"/>
          <w:color w:val="auto"/>
          <w:highlight w:val="none"/>
        </w:rPr>
        <w:t>》（</w:t>
      </w:r>
      <w:r>
        <w:rPr>
          <w:rFonts w:hint="eastAsia" w:ascii="仿宋_GB2312"/>
          <w:color w:val="auto"/>
          <w:highlight w:val="none"/>
          <w:lang w:val="en-US" w:eastAsia="zh-CN"/>
        </w:rPr>
        <w:t>和地财农【2024】5号</w:t>
      </w:r>
      <w:r>
        <w:rPr>
          <w:rFonts w:hint="eastAsia" w:ascii="仿宋_GB2312"/>
          <w:color w:val="auto"/>
          <w:highlight w:val="none"/>
        </w:rPr>
        <w:t>）。</w:t>
      </w:r>
    </w:p>
    <w:p w14:paraId="451F5A4D">
      <w:pPr>
        <w:pStyle w:val="54"/>
        <w:spacing w:line="560" w:lineRule="exact"/>
        <w:ind w:left="3" w:right="3" w:firstLine="560"/>
        <w:rPr>
          <w:rFonts w:hint="eastAsia" w:ascii="仿宋_GB2312"/>
          <w:color w:val="auto"/>
          <w:highlight w:val="none"/>
          <w:lang w:val="en-US" w:eastAsia="zh-CN"/>
        </w:rPr>
      </w:pPr>
      <w:r>
        <w:rPr>
          <w:rFonts w:hint="eastAsia" w:ascii="仿宋_GB2312"/>
          <w:color w:val="auto"/>
          <w:highlight w:val="none"/>
          <w:lang w:val="en-US" w:eastAsia="zh-CN"/>
        </w:rPr>
        <w:t>过程状况：该项目于2024</w:t>
      </w:r>
      <w:r>
        <w:rPr>
          <w:rFonts w:hint="eastAsia" w:ascii="仿宋_GB2312"/>
          <w:color w:val="auto"/>
          <w:highlight w:val="none"/>
          <w:lang w:val="en-US" w:eastAsia="zh-CN"/>
        </w:rPr>
        <w:tab/>
      </w:r>
      <w:r>
        <w:rPr>
          <w:rFonts w:hint="eastAsia" w:ascii="仿宋_GB2312"/>
          <w:color w:val="auto"/>
          <w:highlight w:val="none"/>
          <w:lang w:val="en-US" w:eastAsia="zh-CN"/>
        </w:rPr>
        <w:t>年6月27日制订实施方案并得到批复，2024年7月26日进行招标，2024年7月31日确定施工单位签订施工合同，2024</w:t>
      </w:r>
      <w:r>
        <w:rPr>
          <w:rFonts w:hint="eastAsia" w:ascii="仿宋_GB2312"/>
          <w:color w:val="auto"/>
          <w:highlight w:val="none"/>
          <w:lang w:val="en-US" w:eastAsia="zh-CN"/>
        </w:rPr>
        <w:tab/>
      </w:r>
      <w:r>
        <w:rPr>
          <w:rFonts w:hint="eastAsia" w:ascii="仿宋_GB2312"/>
          <w:color w:val="auto"/>
          <w:highlight w:val="none"/>
          <w:lang w:val="en-US" w:eastAsia="zh-CN"/>
        </w:rPr>
        <w:t>年8月开始拨付工程款，暂未完成验收。</w:t>
      </w:r>
    </w:p>
    <w:p w14:paraId="7B1582B1">
      <w:pPr>
        <w:pStyle w:val="54"/>
        <w:spacing w:line="560" w:lineRule="exact"/>
        <w:ind w:left="3" w:right="3" w:firstLine="560"/>
        <w:rPr>
          <w:rFonts w:hint="eastAsia" w:ascii="仿宋_GB2312"/>
          <w:color w:val="auto"/>
          <w:highlight w:val="none"/>
          <w:lang w:val="en-US" w:eastAsia="zh-CN"/>
        </w:rPr>
      </w:pPr>
      <w:r>
        <w:rPr>
          <w:rFonts w:hint="eastAsia" w:ascii="仿宋_GB2312"/>
          <w:color w:val="auto"/>
          <w:highlight w:val="none"/>
        </w:rPr>
        <w:t>结果状况：</w:t>
      </w:r>
      <w:r>
        <w:rPr>
          <w:rFonts w:hint="eastAsia" w:ascii="仿宋_GB2312"/>
          <w:color w:val="auto"/>
          <w:highlight w:val="none"/>
          <w:lang w:val="en-US" w:eastAsia="zh-CN"/>
        </w:rPr>
        <w:t>暂未完成验收。</w:t>
      </w:r>
    </w:p>
    <w:p w14:paraId="6DC476CA">
      <w:pPr>
        <w:pStyle w:val="54"/>
        <w:spacing w:line="560" w:lineRule="exact"/>
        <w:ind w:left="3" w:right="3" w:firstLine="562"/>
        <w:rPr>
          <w:rStyle w:val="21"/>
          <w:rFonts w:ascii="楷体_GB2312"/>
          <w:color w:val="auto"/>
          <w:highlight w:val="none"/>
        </w:rPr>
      </w:pPr>
      <w:r>
        <w:rPr>
          <w:rStyle w:val="21"/>
          <w:rFonts w:hint="eastAsia" w:ascii="楷体_GB2312"/>
          <w:color w:val="auto"/>
          <w:highlight w:val="none"/>
        </w:rPr>
        <w:t>（三）主要经验及做法</w:t>
      </w:r>
    </w:p>
    <w:p w14:paraId="3A707DF4">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于田县玫瑰基地北侧红柳大芸基地基础配套设施建设项目</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1DC00AA6">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（四）存在的问题</w:t>
      </w:r>
    </w:p>
    <w:p w14:paraId="0864DA58">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于田县玫瑰基地北侧红柳大芸基地基础配套设施建设项目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77F1AB88">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（五）建议</w:t>
      </w:r>
    </w:p>
    <w:p w14:paraId="2520475B">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2E5FE8EF">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（六）项目绩效公告公示情况</w:t>
      </w:r>
    </w:p>
    <w:p w14:paraId="40C27F45">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HYb2gj">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41B514C5">
        <w:pPr>
          <w:pStyle w:val="15"/>
          <w:jc w:val="center"/>
        </w:pPr>
        <w:r>
          <w:fldChar w:fldCharType="begin"/>
        </w:r>
        <w:r>
          <w:instrText xml:space="preserve">PAGE   \* MERGEFORMAT</w:instrText>
        </w:r>
        <w:r>
          <w:fldChar w:fldCharType="separate"/>
        </w:r>
        <w:r>
          <w:rPr>
            <w:lang w:val="zh-CN"/>
          </w:rPr>
          <w:t>1</w:t>
        </w:r>
        <w:r>
          <w:fldChar w:fldCharType="end"/>
        </w:r>
      </w:p>
    </w:sdtContent>
  </w:sdt>
  <w:p w14:paraId="634B5A98">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25055">
    <w:pPr>
      <w:pStyle w:val="1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A7BE9"/>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7322E14"/>
    <w:rsid w:val="086471C3"/>
    <w:rsid w:val="0D186906"/>
    <w:rsid w:val="142B0848"/>
    <w:rsid w:val="198F618D"/>
    <w:rsid w:val="1B35613E"/>
    <w:rsid w:val="31523460"/>
    <w:rsid w:val="337D1BC3"/>
    <w:rsid w:val="34EF419F"/>
    <w:rsid w:val="36657C06"/>
    <w:rsid w:val="3E982E81"/>
    <w:rsid w:val="4037219F"/>
    <w:rsid w:val="40AA57C4"/>
    <w:rsid w:val="485A725E"/>
    <w:rsid w:val="4B110D0E"/>
    <w:rsid w:val="4EF3230B"/>
    <w:rsid w:val="55CE7228"/>
    <w:rsid w:val="56A43B97"/>
    <w:rsid w:val="59E97076"/>
    <w:rsid w:val="62923AAE"/>
    <w:rsid w:val="62C0120F"/>
    <w:rsid w:val="65114482"/>
    <w:rsid w:val="74041319"/>
    <w:rsid w:val="7B142541"/>
    <w:rsid w:val="7B163EDC"/>
    <w:rsid w:val="7BAB7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5">
    <w:name w:val="heading 3"/>
    <w:basedOn w:val="1"/>
    <w:next w:val="1"/>
    <w:link w:val="25"/>
    <w:qFormat/>
    <w:uiPriority w:val="9"/>
    <w:pPr>
      <w:keepNext/>
      <w:keepLines/>
      <w:spacing w:before="260" w:after="260" w:line="415" w:lineRule="auto"/>
      <w:outlineLvl w:val="2"/>
    </w:pPr>
    <w:rPr>
      <w:rFonts w:cs="宋体"/>
      <w:b/>
      <w:bCs/>
      <w:szCs w:val="32"/>
    </w:rPr>
  </w:style>
  <w:style w:type="paragraph" w:styleId="6">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7">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8">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64"/>
    <w:qFormat/>
    <w:uiPriority w:val="9"/>
    <w:pPr>
      <w:keepNext/>
      <w:keepLines/>
      <w:spacing w:before="240" w:after="64" w:line="320" w:lineRule="auto"/>
      <w:outlineLvl w:val="6"/>
    </w:pPr>
    <w:rPr>
      <w:b/>
      <w:bCs/>
      <w:sz w:val="24"/>
      <w:szCs w:val="24"/>
    </w:rPr>
  </w:style>
  <w:style w:type="paragraph" w:styleId="10">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12">
    <w:name w:val="annotation text"/>
    <w:basedOn w:val="1"/>
    <w:link w:val="69"/>
    <w:semiHidden/>
    <w:unhideWhenUsed/>
    <w:qFormat/>
    <w:uiPriority w:val="99"/>
    <w:pPr>
      <w:jc w:val="left"/>
    </w:pPr>
  </w:style>
  <w:style w:type="paragraph" w:styleId="13">
    <w:name w:val="Body Text"/>
    <w:basedOn w:val="1"/>
    <w:qFormat/>
    <w:uiPriority w:val="0"/>
    <w:pPr>
      <w:spacing w:after="120"/>
    </w:pPr>
    <w:rPr>
      <w:rFonts w:ascii="宋体"/>
      <w:snapToGrid w:val="0"/>
      <w:sz w:val="28"/>
      <w:szCs w:val="20"/>
    </w:rPr>
  </w:style>
  <w:style w:type="paragraph" w:styleId="14">
    <w:name w:val="Balloon Text"/>
    <w:basedOn w:val="1"/>
    <w:link w:val="71"/>
    <w:semiHidden/>
    <w:unhideWhenUsed/>
    <w:qFormat/>
    <w:uiPriority w:val="99"/>
    <w:rPr>
      <w:sz w:val="18"/>
      <w:szCs w:val="18"/>
    </w:rPr>
  </w:style>
  <w:style w:type="paragraph" w:styleId="15">
    <w:name w:val="footer"/>
    <w:basedOn w:val="1"/>
    <w:link w:val="68"/>
    <w:unhideWhenUsed/>
    <w:qFormat/>
    <w:uiPriority w:val="99"/>
    <w:pPr>
      <w:tabs>
        <w:tab w:val="center" w:pos="4153"/>
        <w:tab w:val="right" w:pos="8306"/>
      </w:tabs>
      <w:snapToGrid w:val="0"/>
      <w:jc w:val="left"/>
    </w:pPr>
    <w:rPr>
      <w:sz w:val="18"/>
      <w:szCs w:val="18"/>
    </w:rPr>
  </w:style>
  <w:style w:type="paragraph" w:styleId="16">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12"/>
    <w:next w:val="12"/>
    <w:link w:val="70"/>
    <w:semiHidden/>
    <w:unhideWhenUsed/>
    <w:qFormat/>
    <w:uiPriority w:val="99"/>
    <w:rPr>
      <w:b/>
      <w:bCs/>
    </w:rPr>
  </w:style>
  <w:style w:type="character" w:styleId="21">
    <w:name w:val="Strong"/>
    <w:basedOn w:val="20"/>
    <w:qFormat/>
    <w:uiPriority w:val="0"/>
    <w:rPr>
      <w:b/>
      <w:bCs/>
    </w:rPr>
  </w:style>
  <w:style w:type="character" w:styleId="22">
    <w:name w:val="annotation reference"/>
    <w:basedOn w:val="20"/>
    <w:semiHidden/>
    <w:unhideWhenUsed/>
    <w:qFormat/>
    <w:uiPriority w:val="99"/>
    <w:rPr>
      <w:sz w:val="21"/>
      <w:szCs w:val="21"/>
    </w:rPr>
  </w:style>
  <w:style w:type="character" w:customStyle="1" w:styleId="23">
    <w:name w:val="标题 1 Char"/>
    <w:basedOn w:val="20"/>
    <w:link w:val="3"/>
    <w:qFormat/>
    <w:locked/>
    <w:uiPriority w:val="9"/>
    <w:rPr>
      <w:b/>
      <w:bCs/>
      <w:kern w:val="44"/>
      <w:sz w:val="44"/>
      <w:szCs w:val="44"/>
    </w:rPr>
  </w:style>
  <w:style w:type="character" w:customStyle="1" w:styleId="24">
    <w:name w:val="标题 2 Char"/>
    <w:basedOn w:val="20"/>
    <w:link w:val="4"/>
    <w:semiHidden/>
    <w:qFormat/>
    <w:locked/>
    <w:uiPriority w:val="9"/>
    <w:rPr>
      <w:rFonts w:hint="eastAsia" w:asciiTheme="majorHAnsi" w:hAnsiTheme="majorHAnsi" w:eastAsiaTheme="majorEastAsia" w:cstheme="majorBidi"/>
      <w:b/>
      <w:bCs/>
      <w:sz w:val="32"/>
      <w:szCs w:val="32"/>
    </w:rPr>
  </w:style>
  <w:style w:type="character" w:customStyle="1" w:styleId="25">
    <w:name w:val="标题 3 Char"/>
    <w:basedOn w:val="20"/>
    <w:link w:val="5"/>
    <w:semiHidden/>
    <w:qFormat/>
    <w:locked/>
    <w:uiPriority w:val="9"/>
    <w:rPr>
      <w:b/>
      <w:bCs/>
      <w:sz w:val="32"/>
      <w:szCs w:val="32"/>
    </w:rPr>
  </w:style>
  <w:style w:type="character" w:customStyle="1" w:styleId="26">
    <w:name w:val="标题 4 Char"/>
    <w:basedOn w:val="20"/>
    <w:link w:val="6"/>
    <w:semiHidden/>
    <w:qFormat/>
    <w:locked/>
    <w:uiPriority w:val="9"/>
    <w:rPr>
      <w:rFonts w:hint="eastAsia" w:asciiTheme="majorHAnsi" w:hAnsiTheme="majorHAnsi" w:eastAsiaTheme="majorEastAsia" w:cstheme="majorBidi"/>
      <w:b/>
      <w:bCs/>
      <w:sz w:val="28"/>
      <w:szCs w:val="28"/>
    </w:rPr>
  </w:style>
  <w:style w:type="character" w:customStyle="1" w:styleId="27">
    <w:name w:val="标题 5 Char"/>
    <w:basedOn w:val="20"/>
    <w:link w:val="7"/>
    <w:semiHidden/>
    <w:qFormat/>
    <w:locked/>
    <w:uiPriority w:val="9"/>
    <w:rPr>
      <w:b/>
      <w:bCs/>
      <w:sz w:val="28"/>
      <w:szCs w:val="28"/>
    </w:rPr>
  </w:style>
  <w:style w:type="character" w:customStyle="1" w:styleId="28">
    <w:name w:val="FZ标题1 字符"/>
    <w:basedOn w:val="20"/>
    <w:link w:val="29"/>
    <w:qFormat/>
    <w:locked/>
    <w:uiPriority w:val="0"/>
    <w:rPr>
      <w:rFonts w:hint="eastAsia" w:ascii="宋体" w:hAnsi="宋体" w:eastAsia="宋体"/>
      <w:b/>
      <w:color w:val="000000"/>
      <w:sz w:val="32"/>
    </w:rPr>
  </w:style>
  <w:style w:type="paragraph" w:customStyle="1" w:styleId="29">
    <w:name w:val="FZ标题1"/>
    <w:basedOn w:val="3"/>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20"/>
    <w:link w:val="31"/>
    <w:qFormat/>
    <w:locked/>
    <w:uiPriority w:val="0"/>
    <w:rPr>
      <w:rFonts w:eastAsia="黑体"/>
      <w:b/>
      <w:bCs/>
      <w:color w:val="000000"/>
      <w:kern w:val="2"/>
      <w:sz w:val="28"/>
      <w:szCs w:val="44"/>
    </w:rPr>
  </w:style>
  <w:style w:type="paragraph" w:customStyle="1" w:styleId="31">
    <w:name w:val="FZ标题2"/>
    <w:basedOn w:val="4"/>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20"/>
    <w:link w:val="33"/>
    <w:qFormat/>
    <w:locked/>
    <w:uiPriority w:val="0"/>
    <w:rPr>
      <w:rFonts w:eastAsia="仿宋_GB2312" w:cstheme="majorBidi"/>
      <w:b/>
      <w:bCs/>
      <w:color w:val="000000"/>
      <w:kern w:val="2"/>
      <w:sz w:val="28"/>
      <w:szCs w:val="32"/>
    </w:rPr>
  </w:style>
  <w:style w:type="paragraph" w:customStyle="1" w:styleId="33">
    <w:name w:val="FZ标题3"/>
    <w:basedOn w:val="5"/>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20"/>
    <w:link w:val="35"/>
    <w:qFormat/>
    <w:locked/>
    <w:uiPriority w:val="0"/>
    <w:rPr>
      <w:rFonts w:ascii="仿宋_GB2312" w:eastAsia="仿宋_GB2312"/>
      <w:bCs/>
      <w:color w:val="000000"/>
      <w:kern w:val="2"/>
      <w:sz w:val="28"/>
      <w:szCs w:val="32"/>
    </w:rPr>
  </w:style>
  <w:style w:type="paragraph" w:customStyle="1" w:styleId="35">
    <w:name w:val="FZ标题4"/>
    <w:basedOn w:val="6"/>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20"/>
    <w:link w:val="37"/>
    <w:qFormat/>
    <w:locked/>
    <w:uiPriority w:val="0"/>
    <w:rPr>
      <w:rFonts w:hint="eastAsia" w:ascii="宋体" w:hAnsi="宋体" w:eastAsia="宋体" w:cstheme="majorBidi"/>
      <w:bCs/>
      <w:color w:val="000000"/>
      <w:szCs w:val="28"/>
    </w:rPr>
  </w:style>
  <w:style w:type="paragraph" w:customStyle="1" w:styleId="37">
    <w:name w:val="FZ标题5"/>
    <w:basedOn w:val="7"/>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Char"/>
    <w:basedOn w:val="20"/>
    <w:link w:val="8"/>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20"/>
    <w:link w:val="40"/>
    <w:qFormat/>
    <w:locked/>
    <w:uiPriority w:val="0"/>
    <w:rPr>
      <w:rFonts w:hint="eastAsia" w:ascii="宋体" w:hAnsi="宋体" w:eastAsia="宋体"/>
      <w:bCs/>
      <w:color w:val="000000"/>
      <w:szCs w:val="28"/>
    </w:rPr>
  </w:style>
  <w:style w:type="paragraph" w:customStyle="1" w:styleId="40">
    <w:name w:val="FZ标题6"/>
    <w:basedOn w:val="8"/>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20"/>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20"/>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20"/>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20"/>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20"/>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20"/>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20"/>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20"/>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20"/>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20"/>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20"/>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Char"/>
    <w:basedOn w:val="20"/>
    <w:link w:val="9"/>
    <w:semiHidden/>
    <w:qFormat/>
    <w:uiPriority w:val="9"/>
    <w:rPr>
      <w:rFonts w:asciiTheme="minorHAnsi" w:hAnsiTheme="minorHAnsi" w:eastAsiaTheme="minorEastAsia"/>
      <w:b/>
      <w:bCs/>
      <w:kern w:val="2"/>
      <w:sz w:val="24"/>
      <w:szCs w:val="24"/>
    </w:rPr>
  </w:style>
  <w:style w:type="character" w:customStyle="1" w:styleId="65">
    <w:name w:val="标题 8 Char"/>
    <w:basedOn w:val="20"/>
    <w:link w:val="10"/>
    <w:semiHidden/>
    <w:qFormat/>
    <w:uiPriority w:val="9"/>
    <w:rPr>
      <w:rFonts w:asciiTheme="majorHAnsi" w:hAnsiTheme="majorHAnsi" w:eastAsiaTheme="majorEastAsia" w:cstheme="majorBidi"/>
      <w:kern w:val="2"/>
      <w:sz w:val="24"/>
      <w:szCs w:val="24"/>
    </w:rPr>
  </w:style>
  <w:style w:type="character" w:customStyle="1" w:styleId="66">
    <w:name w:val="标题 9 Char"/>
    <w:basedOn w:val="20"/>
    <w:link w:val="11"/>
    <w:semiHidden/>
    <w:qFormat/>
    <w:uiPriority w:val="9"/>
    <w:rPr>
      <w:rFonts w:asciiTheme="majorHAnsi" w:hAnsiTheme="majorHAnsi" w:eastAsiaTheme="majorEastAsia" w:cstheme="majorBidi"/>
      <w:kern w:val="2"/>
      <w:sz w:val="21"/>
      <w:szCs w:val="21"/>
    </w:rPr>
  </w:style>
  <w:style w:type="character" w:customStyle="1" w:styleId="67">
    <w:name w:val="页眉 Char"/>
    <w:basedOn w:val="20"/>
    <w:link w:val="16"/>
    <w:qFormat/>
    <w:uiPriority w:val="99"/>
    <w:rPr>
      <w:rFonts w:asciiTheme="minorHAnsi" w:hAnsiTheme="minorHAnsi" w:eastAsiaTheme="minorEastAsia"/>
      <w:kern w:val="2"/>
      <w:sz w:val="18"/>
      <w:szCs w:val="18"/>
    </w:rPr>
  </w:style>
  <w:style w:type="character" w:customStyle="1" w:styleId="68">
    <w:name w:val="页脚 Char"/>
    <w:basedOn w:val="20"/>
    <w:link w:val="15"/>
    <w:qFormat/>
    <w:uiPriority w:val="99"/>
    <w:rPr>
      <w:rFonts w:asciiTheme="minorHAnsi" w:hAnsiTheme="minorHAnsi" w:eastAsiaTheme="minorEastAsia"/>
      <w:kern w:val="2"/>
      <w:sz w:val="18"/>
      <w:szCs w:val="18"/>
    </w:rPr>
  </w:style>
  <w:style w:type="character" w:customStyle="1" w:styleId="69">
    <w:name w:val="批注文字 Char"/>
    <w:basedOn w:val="20"/>
    <w:link w:val="12"/>
    <w:semiHidden/>
    <w:qFormat/>
    <w:uiPriority w:val="99"/>
    <w:rPr>
      <w:rFonts w:asciiTheme="minorHAnsi" w:hAnsiTheme="minorHAnsi" w:eastAsiaTheme="minorEastAsia"/>
      <w:kern w:val="2"/>
      <w:sz w:val="21"/>
      <w:szCs w:val="22"/>
    </w:rPr>
  </w:style>
  <w:style w:type="character" w:customStyle="1" w:styleId="70">
    <w:name w:val="批注主题 Char"/>
    <w:basedOn w:val="69"/>
    <w:link w:val="18"/>
    <w:semiHidden/>
    <w:qFormat/>
    <w:uiPriority w:val="99"/>
    <w:rPr>
      <w:rFonts w:asciiTheme="minorHAnsi" w:hAnsiTheme="minorHAnsi" w:eastAsiaTheme="minorEastAsia"/>
      <w:b/>
      <w:bCs/>
      <w:kern w:val="2"/>
      <w:sz w:val="21"/>
      <w:szCs w:val="22"/>
    </w:rPr>
  </w:style>
  <w:style w:type="character" w:customStyle="1" w:styleId="71">
    <w:name w:val="批注框文本 Char"/>
    <w:basedOn w:val="20"/>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7208</Words>
  <Characters>7975</Characters>
  <Lines>9</Lines>
  <Paragraphs>15</Paragraphs>
  <TotalTime>1</TotalTime>
  <ScaleCrop>false</ScaleCrop>
  <LinksUpToDate>false</LinksUpToDate>
  <CharactersWithSpaces>8449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2025-12-15T10:15:54Z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eyJoZGlkIjoiY2RlOGExMTJjOWFmYjNiZTJjMWUwNDM2NWFmZTM5NmEiLCJ1c2VySWQiOiIxMTAwNDE5NzU4In0=</vt:lpwstr>
  </property>
</Properties>
</file>