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5BD22C5">
      <w:pPr>
        <w:spacing w:before="120" w:after="120" w:line="480" w:lineRule="auto"/>
        <w:ind w:firstLine="883" w:firstLineChars="200"/>
        <w:jc w:val="center"/>
        <w:outlineLvl w:val="0"/>
        <w:rPr>
          <w:rFonts w:ascii="仿宋_GB2312" w:hAnsi="Arial"/>
          <w:b/>
          <w:color w:val="auto"/>
          <w:sz w:val="44"/>
          <w:szCs w:val="44"/>
          <w:highlight w:val="none"/>
        </w:rPr>
      </w:pPr>
      <w:bookmarkStart w:id="0" w:name="_GoBack"/>
      <w:bookmarkEnd w:id="0"/>
    </w:p>
    <w:p w14:paraId="1F2C439B">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550F69AB">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4539C80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1398AB5C">
      <w:pPr>
        <w:spacing w:line="540" w:lineRule="exact"/>
        <w:ind w:firstLine="600" w:firstLineChars="200"/>
        <w:jc w:val="center"/>
        <w:rPr>
          <w:rFonts w:hAnsi="宋体" w:cs="宋体"/>
          <w:color w:val="auto"/>
          <w:kern w:val="0"/>
          <w:sz w:val="30"/>
          <w:szCs w:val="30"/>
          <w:highlight w:val="none"/>
        </w:rPr>
      </w:pPr>
    </w:p>
    <w:p w14:paraId="4B9354DC">
      <w:pPr>
        <w:spacing w:line="540" w:lineRule="exact"/>
        <w:ind w:firstLine="600" w:firstLineChars="200"/>
        <w:jc w:val="center"/>
        <w:rPr>
          <w:rFonts w:hAnsi="宋体" w:cs="宋体"/>
          <w:color w:val="auto"/>
          <w:kern w:val="0"/>
          <w:sz w:val="30"/>
          <w:szCs w:val="30"/>
          <w:highlight w:val="none"/>
        </w:rPr>
      </w:pPr>
    </w:p>
    <w:p w14:paraId="5A2D2ED0">
      <w:pPr>
        <w:spacing w:line="540" w:lineRule="exact"/>
        <w:ind w:firstLine="600" w:firstLineChars="200"/>
        <w:jc w:val="center"/>
        <w:rPr>
          <w:rFonts w:hAnsi="宋体" w:cs="宋体"/>
          <w:color w:val="auto"/>
          <w:kern w:val="0"/>
          <w:sz w:val="30"/>
          <w:szCs w:val="30"/>
          <w:highlight w:val="none"/>
        </w:rPr>
      </w:pPr>
    </w:p>
    <w:p w14:paraId="5498F0B4">
      <w:pPr>
        <w:spacing w:line="540" w:lineRule="exact"/>
        <w:ind w:firstLine="600" w:firstLineChars="200"/>
        <w:jc w:val="center"/>
        <w:rPr>
          <w:rFonts w:hAnsi="宋体" w:cs="宋体"/>
          <w:color w:val="auto"/>
          <w:kern w:val="0"/>
          <w:sz w:val="30"/>
          <w:szCs w:val="30"/>
          <w:highlight w:val="none"/>
        </w:rPr>
      </w:pPr>
    </w:p>
    <w:p w14:paraId="1E8D411E">
      <w:pPr>
        <w:spacing w:line="540" w:lineRule="exact"/>
        <w:ind w:firstLine="600" w:firstLineChars="200"/>
        <w:rPr>
          <w:rFonts w:hAnsi="宋体" w:cs="宋体"/>
          <w:color w:val="auto"/>
          <w:kern w:val="0"/>
          <w:sz w:val="30"/>
          <w:szCs w:val="30"/>
          <w:highlight w:val="none"/>
        </w:rPr>
      </w:pPr>
    </w:p>
    <w:p w14:paraId="0123FE55">
      <w:pPr>
        <w:spacing w:line="540" w:lineRule="exact"/>
        <w:ind w:firstLine="600" w:firstLineChars="200"/>
        <w:rPr>
          <w:rFonts w:hAnsi="宋体" w:cs="宋体"/>
          <w:color w:val="auto"/>
          <w:kern w:val="0"/>
          <w:sz w:val="30"/>
          <w:szCs w:val="30"/>
          <w:highlight w:val="none"/>
        </w:rPr>
      </w:pPr>
    </w:p>
    <w:p w14:paraId="742C7CDC">
      <w:pPr>
        <w:spacing w:line="360" w:lineRule="auto"/>
        <w:ind w:left="640" w:leftChars="200" w:firstLine="640" w:firstLineChars="200"/>
        <w:rPr>
          <w:rFonts w:ascii="仿宋" w:hAnsi="仿宋" w:eastAsia="仿宋" w:cs="仿宋"/>
          <w:color w:val="auto"/>
          <w:szCs w:val="32"/>
          <w:highlight w:val="none"/>
        </w:rPr>
      </w:pPr>
    </w:p>
    <w:p w14:paraId="325855AB">
      <w:pPr>
        <w:spacing w:line="360" w:lineRule="auto"/>
        <w:ind w:left="640" w:leftChars="200" w:firstLine="640" w:firstLineChars="200"/>
        <w:rPr>
          <w:rFonts w:ascii="仿宋" w:hAnsi="仿宋" w:eastAsia="仿宋" w:cs="仿宋"/>
          <w:color w:val="auto"/>
          <w:szCs w:val="32"/>
          <w:highlight w:val="none"/>
        </w:rPr>
      </w:pPr>
    </w:p>
    <w:p w14:paraId="6D81CD10">
      <w:pPr>
        <w:spacing w:line="560" w:lineRule="exact"/>
        <w:ind w:left="640" w:leftChars="200" w:firstLine="640" w:firstLineChars="200"/>
        <w:rPr>
          <w:rFonts w:ascii="仿宋" w:hAnsi="仿宋" w:eastAsia="仿宋" w:cs="仿宋"/>
          <w:color w:val="auto"/>
          <w:szCs w:val="32"/>
          <w:highlight w:val="none"/>
        </w:rPr>
      </w:pPr>
    </w:p>
    <w:p w14:paraId="0D9A1228">
      <w:pPr>
        <w:spacing w:line="560" w:lineRule="exact"/>
        <w:ind w:firstLine="640" w:firstLineChars="200"/>
        <w:rPr>
          <w:rFonts w:hint="eastAsia" w:ascii="仿宋" w:hAnsi="仿宋" w:eastAsia="仿宋" w:cs="仿宋"/>
          <w:color w:val="auto"/>
          <w:szCs w:val="32"/>
          <w:highlight w:val="none"/>
          <w:lang w:eastAsia="zh-CN"/>
        </w:rPr>
      </w:pPr>
      <w:r>
        <w:rPr>
          <w:rFonts w:hint="eastAsia" w:ascii="仿宋" w:hAnsi="仿宋" w:eastAsia="仿宋" w:cs="仿宋"/>
          <w:color w:val="auto"/>
          <w:szCs w:val="32"/>
          <w:highlight w:val="none"/>
        </w:rPr>
        <w:t>项  目  名  称:</w:t>
      </w:r>
      <w:r>
        <w:rPr>
          <w:rFonts w:hint="eastAsia" w:ascii="仿宋" w:hAnsi="仿宋" w:eastAsia="仿宋" w:cs="仿宋"/>
          <w:bCs/>
          <w:color w:val="auto"/>
          <w:kern w:val="0"/>
          <w:highlight w:val="none"/>
          <w:lang w:eastAsia="zh-CN"/>
        </w:rPr>
        <w:t>于田县达里雅布依老村民宿改造提升项目</w:t>
      </w:r>
    </w:p>
    <w:p w14:paraId="27E1BCA1">
      <w:pPr>
        <w:spacing w:line="560" w:lineRule="exact"/>
        <w:ind w:firstLine="640" w:firstLineChars="200"/>
        <w:rPr>
          <w:rFonts w:hint="eastAsia" w:ascii="仿宋" w:hAnsi="仿宋" w:eastAsia="仿宋" w:cs="仿宋"/>
          <w:color w:val="auto"/>
          <w:szCs w:val="32"/>
          <w:highlight w:val="none"/>
          <w:lang w:val="en-US"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val="en-US" w:eastAsia="zh-CN"/>
        </w:rPr>
        <w:t>于田县文化体育广播电视和旅游局</w:t>
      </w:r>
    </w:p>
    <w:p w14:paraId="6013E83C">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val="en-US" w:eastAsia="zh-CN"/>
        </w:rPr>
        <w:t>于田县文化体育广播电视和旅游局</w:t>
      </w:r>
    </w:p>
    <w:p w14:paraId="75E4654B">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项目负责人(签章):</w:t>
      </w:r>
      <w:r>
        <w:rPr>
          <w:rFonts w:hint="eastAsia" w:ascii="仿宋" w:hAnsi="仿宋" w:eastAsia="仿宋" w:cs="仿宋"/>
          <w:color w:val="auto"/>
          <w:szCs w:val="32"/>
          <w:highlight w:val="none"/>
          <w:lang w:val="en-US" w:eastAsia="zh-CN"/>
        </w:rPr>
        <w:t>康宽堂</w:t>
      </w:r>
    </w:p>
    <w:p w14:paraId="3F79AB83">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w:t>
      </w:r>
      <w:r>
        <w:rPr>
          <w:rFonts w:hint="eastAsia" w:ascii="仿宋" w:hAnsi="仿宋" w:eastAsia="仿宋" w:cs="仿宋"/>
          <w:color w:val="auto"/>
          <w:szCs w:val="32"/>
          <w:highlight w:val="none"/>
          <w:lang w:val="en-US" w:eastAsia="zh-CN"/>
        </w:rPr>
        <w:t>5</w:t>
      </w:r>
      <w:r>
        <w:rPr>
          <w:rFonts w:ascii="仿宋" w:hAnsi="仿宋" w:eastAsia="仿宋" w:cs="仿宋"/>
          <w:color w:val="auto"/>
          <w:szCs w:val="32"/>
          <w:highlight w:val="none"/>
        </w:rPr>
        <w:t>年</w:t>
      </w:r>
      <w:r>
        <w:rPr>
          <w:rFonts w:hint="eastAsia" w:ascii="仿宋" w:hAnsi="仿宋" w:eastAsia="仿宋" w:cs="仿宋"/>
          <w:color w:val="auto"/>
          <w:szCs w:val="32"/>
          <w:highlight w:val="none"/>
        </w:rPr>
        <w:t>1</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15</w:t>
      </w:r>
      <w:r>
        <w:rPr>
          <w:rFonts w:ascii="仿宋" w:hAnsi="仿宋" w:eastAsia="仿宋" w:cs="仿宋"/>
          <w:color w:val="auto"/>
          <w:szCs w:val="32"/>
          <w:highlight w:val="none"/>
        </w:rPr>
        <w:t>日</w:t>
      </w:r>
    </w:p>
    <w:p w14:paraId="458E1AD7">
      <w:pPr>
        <w:spacing w:line="560" w:lineRule="exact"/>
        <w:ind w:firstLine="640" w:firstLineChars="200"/>
        <w:rPr>
          <w:rFonts w:ascii="仿宋_GB2312" w:hAnsi="仿宋_GB2312" w:cs="仿宋_GB2312"/>
          <w:color w:val="auto"/>
          <w:kern w:val="0"/>
          <w:szCs w:val="32"/>
          <w:highlight w:val="none"/>
          <w:lang w:bidi="en-US"/>
        </w:rPr>
      </w:pPr>
    </w:p>
    <w:p w14:paraId="23712B16">
      <w:pPr>
        <w:spacing w:line="560" w:lineRule="exact"/>
        <w:ind w:firstLine="640" w:firstLineChars="200"/>
        <w:rPr>
          <w:rFonts w:ascii="仿宋_GB2312" w:hAnsi="仿宋_GB2312" w:cs="仿宋_GB2312"/>
          <w:color w:val="auto"/>
          <w:kern w:val="0"/>
          <w:szCs w:val="32"/>
          <w:highlight w:val="none"/>
          <w:lang w:bidi="en-US"/>
        </w:rPr>
      </w:pPr>
    </w:p>
    <w:p w14:paraId="388E5A00">
      <w:pPr>
        <w:spacing w:line="360" w:lineRule="auto"/>
        <w:ind w:firstLine="627" w:firstLineChars="200"/>
        <w:rPr>
          <w:rStyle w:val="19"/>
          <w:rFonts w:ascii="黑体" w:hAnsi="黑体" w:eastAsia="黑体" w:cs="Times New Roman"/>
          <w:color w:val="auto"/>
          <w:spacing w:val="-4"/>
          <w:szCs w:val="32"/>
          <w:highlight w:val="none"/>
        </w:rPr>
      </w:pPr>
    </w:p>
    <w:p w14:paraId="6848B042">
      <w:pPr>
        <w:spacing w:line="360" w:lineRule="auto"/>
        <w:ind w:firstLine="627" w:firstLineChars="200"/>
        <w:rPr>
          <w:rStyle w:val="19"/>
          <w:rFonts w:ascii="黑体" w:hAnsi="黑体" w:eastAsia="黑体" w:cs="Times New Roman"/>
          <w:color w:val="auto"/>
          <w:spacing w:val="-4"/>
          <w:szCs w:val="32"/>
          <w:highlight w:val="none"/>
        </w:rPr>
      </w:pPr>
      <w:r>
        <w:rPr>
          <w:rStyle w:val="19"/>
          <w:rFonts w:hint="eastAsia" w:ascii="黑体" w:hAnsi="黑体" w:eastAsia="黑体" w:cs="Times New Roman"/>
          <w:color w:val="auto"/>
          <w:spacing w:val="-4"/>
          <w:szCs w:val="32"/>
          <w:highlight w:val="none"/>
        </w:rPr>
        <w:t>一、绩效目标分解下达情况</w:t>
      </w:r>
    </w:p>
    <w:p w14:paraId="5AD40313">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23A24261">
      <w:pPr>
        <w:pStyle w:val="52"/>
        <w:ind w:left="3" w:right="3" w:firstLine="562"/>
        <w:rPr>
          <w:rFonts w:ascii="仿宋_GB2312"/>
          <w:b/>
          <w:color w:val="auto"/>
          <w:szCs w:val="32"/>
          <w:highlight w:val="none"/>
        </w:rPr>
      </w:pPr>
      <w:r>
        <w:rPr>
          <w:rFonts w:hint="eastAsia" w:ascii="仿宋_GB2312"/>
          <w:b/>
          <w:color w:val="auto"/>
          <w:szCs w:val="32"/>
          <w:highlight w:val="none"/>
        </w:rPr>
        <w:t>1.下达预算情况</w:t>
      </w:r>
    </w:p>
    <w:p w14:paraId="5D22E034">
      <w:pPr>
        <w:pStyle w:val="52"/>
        <w:ind w:left="3" w:right="3" w:firstLine="560"/>
        <w:rPr>
          <w:rFonts w:ascii="仿宋_GB2312"/>
          <w:color w:val="auto"/>
          <w:szCs w:val="32"/>
          <w:highlight w:val="none"/>
        </w:rPr>
      </w:pPr>
      <w:r>
        <w:rPr>
          <w:rFonts w:hint="eastAsia" w:ascii="仿宋_GB2312"/>
          <w:color w:val="auto"/>
          <w:szCs w:val="32"/>
          <w:highlight w:val="none"/>
        </w:rPr>
        <w:t>本项目根据于田县发展和改革委员会下发的《关于对</w:t>
      </w:r>
      <w:r>
        <w:rPr>
          <w:rFonts w:hint="eastAsia" w:ascii="仿宋_GB2312" w:hAnsi="Times New Roman" w:eastAsia="仿宋_GB2312" w:cs="Times New Roman"/>
          <w:color w:val="auto"/>
          <w:sz w:val="28"/>
          <w:szCs w:val="32"/>
          <w:highlight w:val="none"/>
        </w:rPr>
        <w:t>于田县达里雅布依老村民宿改造提升项目</w:t>
      </w:r>
      <w:r>
        <w:rPr>
          <w:rFonts w:hint="eastAsia" w:ascii="仿宋_GB2312"/>
          <w:color w:val="auto"/>
          <w:szCs w:val="32"/>
          <w:highlight w:val="none"/>
          <w:lang w:val="en-US" w:eastAsia="zh-CN"/>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发改项目</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130</w:t>
      </w:r>
      <w:r>
        <w:rPr>
          <w:rFonts w:hint="eastAsia" w:ascii="仿宋_GB2312"/>
          <w:color w:val="auto"/>
          <w:szCs w:val="32"/>
          <w:highlight w:val="none"/>
        </w:rPr>
        <w:t>号）立项实施，</w:t>
      </w:r>
      <w:r>
        <w:rPr>
          <w:rFonts w:hint="eastAsia" w:ascii="仿宋_GB2312" w:hAnsi="Times New Roman" w:eastAsia="仿宋_GB2312" w:cs="Times New Roman"/>
          <w:color w:val="auto"/>
          <w:sz w:val="28"/>
          <w:szCs w:val="32"/>
          <w:highlight w:val="none"/>
        </w:rPr>
        <w:t>于田县达里雅布依老村民宿改造提升项目</w:t>
      </w:r>
      <w:r>
        <w:rPr>
          <w:rFonts w:hint="eastAsia" w:ascii="仿宋_GB2312"/>
          <w:color w:val="auto"/>
          <w:szCs w:val="32"/>
          <w:highlight w:val="none"/>
        </w:rPr>
        <w:t>预算安排总额为500.00万元，预算资金到位率为100.00%。</w:t>
      </w:r>
    </w:p>
    <w:p w14:paraId="4FC83817">
      <w:pPr>
        <w:pStyle w:val="52"/>
        <w:ind w:left="3" w:right="3" w:firstLine="562"/>
        <w:rPr>
          <w:rFonts w:ascii="仿宋_GB2312"/>
          <w:b/>
          <w:color w:val="auto"/>
          <w:szCs w:val="32"/>
          <w:highlight w:val="none"/>
        </w:rPr>
      </w:pPr>
      <w:r>
        <w:rPr>
          <w:rFonts w:hint="eastAsia" w:ascii="仿宋_GB2312"/>
          <w:b/>
          <w:color w:val="auto"/>
          <w:szCs w:val="32"/>
          <w:highlight w:val="none"/>
        </w:rPr>
        <w:t>2.项目实施背景</w:t>
      </w:r>
    </w:p>
    <w:p w14:paraId="30C0DB93">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于田旅游资源丰富，文化底蕴深厚，拥有龙湖、亚洲最年轻的活火山——普鲁火山、坐落 于“万山之祖”的昆仑瑶池、穿越巍巍昆仑的克里雅古道、被称为“最后的沙漠守望者”的原 始古村落——达里雅布依，浓郁的民俗风情和原始纯美的风物，自然资源的层次分明，旅游资 源得天独厚。 政策背景——国家层面 第三次中央新疆工作座谈会 2020 年 9 月 25 日至 26 日第三次中央新疆工作座谈会在北京召开。中共中央总书记、国家 主席、中央军委主席习近平指出，要牢牢扭住新疆工作总目标，依法治疆、团结稳疆、文化润 疆、富民兴疆、长期建疆，以推进治理体系和治理能力现代化为保障，多谋长远之策，多行固 本之举，努力建设团结和谐、 繁荣富裕、文明进步、安居乐业、生态良好的新时代中国特色 社会主义新疆。 《乡村振兴战略规划》（2018 年－2022 年）2018 年 5 月 31 日，共中央政治 局召开会议审议。规划以习近平新时代中国特色社会主义思想为指导，深入贯彻党的十九大和 十九届二中、三中全会精神，在全面总结农业农村发展历史性成就和历史性变革的基础上，科 学研判经济社会发展趋势和乡村演变发展态势，围绕农业农村现代化的总目标，坚持农业农村 优先发展的总方针，按照分三个阶段实施乡村振兴战略的部署，设定了阶段性目标。 《“健 康中国 2030”规划纲要》2016 年 10 月 25 日，中共中央、国务院发布。为推进健康中国建设， 提高人民健康水平，根 据党的十八届五中全会战略部署制定。 政策背景——省市层面 《新疆维吾尔自治区乡村振兴战略规划》（2018-2022 年）2018 年 10 月，《规划》指出， 实施乡村振兴战略，是以习近平同志为核心的党中央从党和国家事业全局出发、着眼于实现“两 个一百年”奋斗目标、顺应亿万农民对美好生活的向往作出的重大战略决策，是决胜全面建成 小康社会、全面建设社会主义现代化国家的重大历史任务，是新时代做好“三农”工作的总抓 手。《新疆维吾尔自治区旅游业发展第十三个五年规划》（2016 年-2020 年）2017 年 2 月，规 划从新疆旅游发展基础与环境、“十四五”旅游发展目标、布局、任务、保障措施五个章节进 行了阐述，提出了围绕</w:t>
      </w:r>
      <w:r>
        <w:rPr>
          <w:rFonts w:hint="eastAsia" w:ascii="仿宋_GB2312" w:hAnsi="Times New Roman" w:eastAsia="仿宋_GB2312" w:cs="Times New Roman"/>
          <w:color w:val="auto"/>
          <w:sz w:val="28"/>
          <w:szCs w:val="32"/>
          <w:highlight w:val="none"/>
          <w:lang w:eastAsia="zh-CN"/>
        </w:rPr>
        <w:t>“一带一路”倡议</w:t>
      </w:r>
      <w:r>
        <w:rPr>
          <w:rFonts w:hint="eastAsia" w:ascii="仿宋_GB2312" w:hAnsi="Times New Roman" w:eastAsia="仿宋_GB2312" w:cs="Times New Roman"/>
          <w:color w:val="auto"/>
          <w:sz w:val="28"/>
          <w:szCs w:val="32"/>
          <w:highlight w:val="none"/>
        </w:rPr>
        <w:t xml:space="preserve">，紧抓“旅游援疆”历史机遇，以“特色为要、 文化为魂、自然为基、人民为本”的总方针。《新疆维吾尔自治区乡村旅游促进办法》 实行 规模化、集约化经营和品牌化建设，鼓励发展从事乡村旅游的农民合作社。抓住改革契机，整 合乡村资源，探索设立“乡村省图休闲度假旅游区”，形成品牌聚集效应，打造“一乡一景、 一村一品、一家一艺”品牌。 上位规划背景解读——和田地区 《和田地区城镇体系规划》（2011 年-2030 年），和田地区城镇体系规划编制是以推动新 型城镇化为目标，新型城镇化就是以城乡统筹、城乡一体、 产城互动、节约集约、生态宜居、 和谐发展为基本特征的城镇化。是大中小城市、小城镇、新型农村社区协调发展、互促共进的 城镇化。《新疆于田县城总体规划》（2011 年—2030 年），于田县城总体规划依托西部大开 发政策与新一轮援疆工作、区域基础设施条件的改善为发展带来机遇、新疆新的发展战略为经 济与产业发展提供强劲动力等发展条件，落实援疆任务，大力推进于田县县域经济持续快速增 长和社会全面进步，把于田县建设成为资源节约、环境友好、经济繁荣、社会和谐的县城。 </w:t>
      </w:r>
    </w:p>
    <w:p w14:paraId="598EEEE4">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由于上述原因开展于田县达里雅布依老村民宿改造提升项目，本项目由</w:t>
      </w:r>
      <w:r>
        <w:rPr>
          <w:rFonts w:hint="eastAsia" w:ascii="仿宋_GB2312" w:hAnsi="Times New Roman" w:eastAsia="仿宋_GB2312" w:cs="Times New Roman"/>
          <w:color w:val="auto"/>
          <w:sz w:val="28"/>
          <w:szCs w:val="32"/>
          <w:highlight w:val="none"/>
          <w:lang w:val="en-US" w:eastAsia="zh-CN"/>
        </w:rPr>
        <w:t>于田县文化体育广播电视和旅游局</w:t>
      </w:r>
      <w:r>
        <w:rPr>
          <w:rFonts w:hint="eastAsia" w:ascii="仿宋_GB2312" w:hAnsi="Times New Roman" w:eastAsia="仿宋_GB2312" w:cs="Times New Roman"/>
          <w:color w:val="auto"/>
          <w:sz w:val="28"/>
          <w:szCs w:val="32"/>
          <w:highlight w:val="none"/>
        </w:rPr>
        <w:t>主管，</w:t>
      </w:r>
      <w:r>
        <w:rPr>
          <w:rFonts w:hint="eastAsia" w:ascii="仿宋_GB2312" w:hAnsi="Times New Roman" w:eastAsia="仿宋_GB2312" w:cs="Times New Roman"/>
          <w:color w:val="auto"/>
          <w:sz w:val="28"/>
          <w:szCs w:val="32"/>
          <w:highlight w:val="none"/>
          <w:lang w:val="en-US" w:eastAsia="zh-CN"/>
        </w:rPr>
        <w:t>于田县文化体育广播电视和旅游局</w:t>
      </w:r>
      <w:r>
        <w:rPr>
          <w:rFonts w:hint="eastAsia" w:ascii="仿宋_GB2312" w:hAnsi="Times New Roman" w:eastAsia="仿宋_GB2312" w:cs="Times New Roman"/>
          <w:color w:val="auto"/>
          <w:sz w:val="28"/>
          <w:szCs w:val="32"/>
          <w:highlight w:val="none"/>
        </w:rPr>
        <w:t>负责实施，项目施工期为2024年4月—2024年10月。</w:t>
      </w:r>
    </w:p>
    <w:p w14:paraId="66850157">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00116227">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于田县达里雅布依老村民宿改造提升项目，根据于田县发展和改革委员会下发的《关于对于田县达里雅布依老村民宿改造提升项目</w:t>
      </w:r>
      <w:r>
        <w:rPr>
          <w:rFonts w:hint="eastAsia" w:ascii="仿宋_GB2312" w:hAnsi="Times New Roman" w:eastAsia="仿宋_GB2312" w:cs="Times New Roman"/>
          <w:color w:val="auto"/>
          <w:sz w:val="28"/>
          <w:szCs w:val="32"/>
          <w:highlight w:val="none"/>
          <w:lang w:val="en-US" w:eastAsia="zh-CN"/>
        </w:rPr>
        <w:t>实施</w:t>
      </w:r>
      <w:r>
        <w:rPr>
          <w:rFonts w:hint="eastAsia" w:ascii="仿宋_GB2312" w:hAnsi="Times New Roman" w:eastAsia="仿宋_GB2312" w:cs="Times New Roman"/>
          <w:color w:val="auto"/>
          <w:sz w:val="28"/>
          <w:szCs w:val="32"/>
          <w:highlight w:val="none"/>
        </w:rPr>
        <w:t>方案的批复》（于</w:t>
      </w:r>
      <w:r>
        <w:rPr>
          <w:rFonts w:hint="eastAsia" w:ascii="仿宋_GB2312" w:hAnsi="Times New Roman" w:eastAsia="仿宋_GB2312" w:cs="Times New Roman"/>
          <w:color w:val="auto"/>
          <w:sz w:val="28"/>
          <w:szCs w:val="32"/>
          <w:highlight w:val="none"/>
          <w:lang w:val="en-US" w:eastAsia="zh-CN"/>
        </w:rPr>
        <w:t>发改项目</w:t>
      </w:r>
      <w:r>
        <w:rPr>
          <w:rFonts w:hint="eastAsia" w:ascii="仿宋_GB2312" w:hAnsi="Times New Roman" w:eastAsia="仿宋_GB2312" w:cs="Times New Roman"/>
          <w:color w:val="auto"/>
          <w:sz w:val="28"/>
          <w:szCs w:val="32"/>
          <w:highlight w:val="none"/>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w:t>
      </w:r>
      <w:r>
        <w:rPr>
          <w:rFonts w:hint="eastAsia" w:ascii="仿宋_GB2312" w:hAnsi="Times New Roman" w:eastAsia="仿宋_GB2312" w:cs="Times New Roman"/>
          <w:color w:val="auto"/>
          <w:sz w:val="28"/>
          <w:szCs w:val="32"/>
          <w:highlight w:val="none"/>
          <w:lang w:val="en-US" w:eastAsia="zh-CN"/>
        </w:rPr>
        <w:t>130</w:t>
      </w:r>
      <w:r>
        <w:rPr>
          <w:rFonts w:hint="eastAsia" w:ascii="仿宋_GB2312" w:hAnsi="Times New Roman" w:eastAsia="仿宋_GB2312" w:cs="Times New Roman"/>
          <w:color w:val="auto"/>
          <w:sz w:val="28"/>
          <w:szCs w:val="32"/>
          <w:highlight w:val="none"/>
        </w:rPr>
        <w:t>号），实施范围涉及</w:t>
      </w:r>
      <w:r>
        <w:rPr>
          <w:rFonts w:hint="eastAsia" w:ascii="仿宋_GB2312" w:hAnsi="Times New Roman" w:eastAsia="仿宋_GB2312" w:cs="Times New Roman"/>
          <w:color w:val="auto"/>
          <w:sz w:val="28"/>
          <w:szCs w:val="32"/>
          <w:highlight w:val="none"/>
          <w:lang w:val="en-US" w:eastAsia="zh-CN"/>
        </w:rPr>
        <w:t>1</w:t>
      </w:r>
      <w:r>
        <w:rPr>
          <w:rFonts w:hint="eastAsia" w:ascii="仿宋_GB2312" w:hAnsi="Times New Roman" w:eastAsia="仿宋_GB2312" w:cs="Times New Roman"/>
          <w:color w:val="auto"/>
          <w:sz w:val="28"/>
          <w:szCs w:val="32"/>
          <w:highlight w:val="none"/>
        </w:rPr>
        <w:t>个行政村即</w:t>
      </w:r>
      <w:r>
        <w:rPr>
          <w:rFonts w:hint="eastAsia" w:ascii="仿宋_GB2312" w:hAnsi="Times New Roman" w:eastAsia="仿宋_GB2312" w:cs="Times New Roman"/>
          <w:color w:val="auto"/>
          <w:sz w:val="28"/>
          <w:szCs w:val="32"/>
          <w:highlight w:val="none"/>
          <w:lang w:val="en-US" w:eastAsia="zh-CN"/>
        </w:rPr>
        <w:t>达理雅布依乡达理雅布依村</w:t>
      </w:r>
      <w:r>
        <w:rPr>
          <w:rFonts w:hint="eastAsia" w:ascii="仿宋_GB2312" w:hAnsi="Times New Roman" w:eastAsia="仿宋_GB2312" w:cs="Times New Roman"/>
          <w:color w:val="auto"/>
          <w:sz w:val="28"/>
          <w:szCs w:val="32"/>
          <w:highlight w:val="none"/>
        </w:rPr>
        <w:t>。 建设内容：</w:t>
      </w:r>
      <w:r>
        <w:rPr>
          <w:rFonts w:hint="eastAsia" w:ascii="仿宋_GB2312" w:hAnsi="Times New Roman" w:eastAsia="仿宋_GB2312" w:cs="Times New Roman"/>
          <w:color w:val="auto"/>
          <w:sz w:val="28"/>
          <w:szCs w:val="32"/>
          <w:highlight w:val="none"/>
          <w:lang w:val="en-US" w:eastAsia="zh-CN"/>
        </w:rPr>
        <w:t>提升改造达理雅布依乡老村4套民宿和一套餐厅</w:t>
      </w:r>
      <w:r>
        <w:rPr>
          <w:rFonts w:hint="eastAsia" w:ascii="仿宋_GB2312" w:hAnsi="Times New Roman" w:eastAsia="仿宋_GB2312" w:cs="Times New Roman"/>
          <w:color w:val="auto"/>
          <w:sz w:val="28"/>
          <w:szCs w:val="32"/>
          <w:highlight w:val="none"/>
        </w:rPr>
        <w:t>。</w:t>
      </w:r>
    </w:p>
    <w:p w14:paraId="30DDC417">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2E67F81A">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于田县达里雅布依老村民宿改造提升项目性质为</w:t>
      </w:r>
      <w:r>
        <w:rPr>
          <w:rFonts w:hint="eastAsia" w:ascii="仿宋_GB2312" w:hAnsi="Times New Roman" w:eastAsia="仿宋_GB2312" w:cs="Times New Roman"/>
          <w:color w:val="auto"/>
          <w:sz w:val="28"/>
          <w:szCs w:val="32"/>
          <w:highlight w:val="none"/>
          <w:lang w:val="en-US" w:eastAsia="zh-CN"/>
        </w:rPr>
        <w:t>其他</w:t>
      </w:r>
      <w:r>
        <w:rPr>
          <w:rFonts w:hint="eastAsia" w:ascii="仿宋_GB2312" w:hAnsi="Times New Roman" w:eastAsia="仿宋_GB2312" w:cs="Times New Roman"/>
          <w:color w:val="auto"/>
          <w:sz w:val="28"/>
          <w:szCs w:val="32"/>
          <w:highlight w:val="none"/>
        </w:rPr>
        <w:t>项目，属于乡村振兴衔接资金项目。</w:t>
      </w:r>
    </w:p>
    <w:p w14:paraId="072DC093">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（二）财政专项乡村振兴衔接资金项目绩效目标设定情况</w:t>
      </w:r>
    </w:p>
    <w:p w14:paraId="40128F42">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1A16FEBD">
      <w:pPr>
        <w:pStyle w:val="52"/>
        <w:spacing w:line="560" w:lineRule="exact"/>
        <w:ind w:left="3" w:right="3" w:firstLine="560"/>
        <w:rPr>
          <w:rFonts w:ascii="仿宋_GB2312"/>
          <w:color w:val="auto"/>
          <w:szCs w:val="32"/>
          <w:highlight w:val="none"/>
        </w:rPr>
      </w:pPr>
      <w:r>
        <w:rPr>
          <w:rFonts w:hint="eastAsia" w:ascii="仿宋_GB2312"/>
          <w:color w:val="auto"/>
          <w:szCs w:val="32"/>
          <w:highlight w:val="none"/>
          <w:lang w:eastAsia="zh-CN"/>
        </w:rPr>
        <w:t>于田县达里雅布依老村民宿改造提升项目</w:t>
      </w:r>
      <w:r>
        <w:rPr>
          <w:rFonts w:hint="eastAsia" w:ascii="仿宋_GB2312"/>
          <w:color w:val="auto"/>
          <w:szCs w:val="32"/>
          <w:highlight w:val="none"/>
        </w:rPr>
        <w:t>总投资500.00万元，全部申请</w:t>
      </w:r>
      <w:r>
        <w:rPr>
          <w:rFonts w:hint="eastAsia" w:ascii="仿宋_GB2312" w:hAnsi="Times New Roman" w:eastAsia="仿宋_GB2312" w:cs="Times New Roman"/>
          <w:color w:val="auto"/>
          <w:sz w:val="28"/>
          <w:szCs w:val="32"/>
          <w:highlight w:val="none"/>
        </w:rPr>
        <w:t>乡村振兴衔接资金</w:t>
      </w:r>
      <w:r>
        <w:rPr>
          <w:rFonts w:hint="eastAsia" w:ascii="仿宋_GB2312"/>
          <w:color w:val="auto"/>
          <w:szCs w:val="32"/>
          <w:highlight w:val="none"/>
        </w:rPr>
        <w:t>。主要内容为：</w:t>
      </w:r>
      <w:r>
        <w:rPr>
          <w:rFonts w:hint="eastAsia" w:ascii="仿宋_GB2312" w:hAnsi="Times New Roman" w:eastAsia="仿宋_GB2312" w:cs="Times New Roman"/>
          <w:color w:val="auto"/>
          <w:sz w:val="28"/>
          <w:szCs w:val="32"/>
          <w:highlight w:val="none"/>
          <w:lang w:val="en-US" w:eastAsia="zh-CN"/>
        </w:rPr>
        <w:t>提升改造达理雅布依乡老村4套民宿和一套餐厅</w:t>
      </w:r>
      <w:r>
        <w:rPr>
          <w:rFonts w:hint="eastAsia" w:ascii="仿宋_GB2312"/>
          <w:color w:val="auto"/>
          <w:szCs w:val="32"/>
          <w:highlight w:val="none"/>
        </w:rPr>
        <w:t>。</w:t>
      </w:r>
    </w:p>
    <w:p w14:paraId="4837C3A8">
      <w:pPr>
        <w:pStyle w:val="52"/>
        <w:spacing w:line="560" w:lineRule="exact"/>
        <w:ind w:left="3" w:right="3" w:firstLine="560"/>
        <w:rPr>
          <w:rFonts w:ascii="仿宋_GB2312"/>
          <w:color w:val="auto"/>
          <w:szCs w:val="32"/>
          <w:highlight w:val="none"/>
        </w:rPr>
      </w:pPr>
      <w:r>
        <w:rPr>
          <w:rFonts w:hint="eastAsia" w:ascii="仿宋_GB2312"/>
          <w:color w:val="auto"/>
          <w:szCs w:val="32"/>
          <w:highlight w:val="none"/>
        </w:rPr>
        <w:t>通过</w:t>
      </w:r>
      <w:r>
        <w:rPr>
          <w:rFonts w:hint="eastAsia" w:ascii="仿宋_GB2312"/>
          <w:color w:val="auto"/>
          <w:szCs w:val="32"/>
          <w:highlight w:val="none"/>
          <w:lang w:eastAsia="zh-CN"/>
        </w:rPr>
        <w:t>于田县达里雅布依老村民宿改造提升项目</w:t>
      </w:r>
      <w:r>
        <w:rPr>
          <w:rFonts w:hint="eastAsia" w:ascii="仿宋_GB2312"/>
          <w:color w:val="auto"/>
          <w:szCs w:val="32"/>
          <w:highlight w:val="none"/>
        </w:rPr>
        <w:t>实施，提高周边居民以及外来游客旅游质量，满足了人民群众的基本需求 和高层次需求，而且完善旅游业有利于经济可持续发展。此外有利于为于田县旅游发展打开新 思路，同时优化和田地区旅游供给结构，提升区域内旅游业发展品质与创新能力，通过深化“特 色+旅游”融合发展，做强本地旅游软实力，有力促进全县及地区文化旅游产业发展迈上新台阶。</w:t>
      </w:r>
    </w:p>
    <w:p w14:paraId="1700B6D9">
      <w:pPr>
        <w:pStyle w:val="52"/>
        <w:spacing w:line="560" w:lineRule="exact"/>
        <w:ind w:left="3" w:right="3" w:firstLine="562"/>
        <w:rPr>
          <w:rFonts w:ascii="仿宋_GB2312"/>
          <w:b/>
          <w:bCs/>
          <w:color w:val="auto"/>
          <w:szCs w:val="32"/>
          <w:highlight w:val="none"/>
        </w:rPr>
      </w:pPr>
      <w:r>
        <w:rPr>
          <w:rFonts w:hint="eastAsia" w:ascii="仿宋_GB2312"/>
          <w:b/>
          <w:bCs/>
          <w:color w:val="auto"/>
          <w:szCs w:val="32"/>
          <w:highlight w:val="none"/>
        </w:rPr>
        <w:t>2.具体绩效指标</w:t>
      </w:r>
    </w:p>
    <w:p w14:paraId="381BC367">
      <w:pPr>
        <w:pStyle w:val="52"/>
        <w:spacing w:line="560" w:lineRule="exact"/>
        <w:ind w:left="3" w:right="3" w:firstLine="560"/>
        <w:rPr>
          <w:rFonts w:ascii="仿宋_GB2312"/>
          <w:color w:val="auto"/>
          <w:szCs w:val="32"/>
          <w:highlight w:val="none"/>
        </w:rPr>
      </w:pPr>
      <w:r>
        <w:rPr>
          <w:rFonts w:ascii="仿宋_GB2312"/>
          <w:color w:val="auto"/>
          <w:szCs w:val="32"/>
          <w:highlight w:val="none"/>
        </w:rPr>
        <w:t>根据《自治区财政专项扶贫资金绩效管理操作指南》（新财预〔2019〕170号）的规定，结合项目具体情况，</w:t>
      </w:r>
      <w:r>
        <w:rPr>
          <w:rFonts w:hint="eastAsia" w:ascii="仿宋_GB2312"/>
          <w:color w:val="auto"/>
          <w:szCs w:val="32"/>
          <w:highlight w:val="none"/>
        </w:rPr>
        <w:t>本项目共设置一级指标3个，二级指标</w:t>
      </w:r>
      <w:r>
        <w:rPr>
          <w:rFonts w:hint="eastAsia" w:ascii="仿宋_GB2312"/>
          <w:color w:val="auto"/>
          <w:szCs w:val="32"/>
          <w:highlight w:val="none"/>
          <w:lang w:val="en-US" w:eastAsia="zh-CN"/>
        </w:rPr>
        <w:t>6</w:t>
      </w:r>
      <w:r>
        <w:rPr>
          <w:rFonts w:hint="eastAsia" w:ascii="仿宋_GB2312"/>
          <w:color w:val="auto"/>
          <w:szCs w:val="32"/>
          <w:highlight w:val="none"/>
        </w:rPr>
        <w:t>个，三级指标1</w:t>
      </w:r>
      <w:r>
        <w:rPr>
          <w:rFonts w:hint="eastAsia" w:ascii="仿宋_GB2312"/>
          <w:color w:val="auto"/>
          <w:szCs w:val="32"/>
          <w:highlight w:val="none"/>
          <w:lang w:val="en-US" w:eastAsia="zh-CN"/>
        </w:rPr>
        <w:t>1</w:t>
      </w:r>
      <w:r>
        <w:rPr>
          <w:rFonts w:hint="eastAsia" w:ascii="仿宋_GB2312"/>
          <w:color w:val="auto"/>
          <w:szCs w:val="32"/>
          <w:highlight w:val="none"/>
        </w:rPr>
        <w:t>个。</w:t>
      </w:r>
    </w:p>
    <w:p w14:paraId="75E13888">
      <w:pPr>
        <w:pStyle w:val="29"/>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7D7A2595">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（一）绩效自评工作开展范围</w:t>
      </w:r>
    </w:p>
    <w:p w14:paraId="7FE42FB3">
      <w:pPr>
        <w:pStyle w:val="52"/>
        <w:spacing w:line="560" w:lineRule="exact"/>
        <w:ind w:left="3" w:right="3" w:firstLine="560"/>
        <w:rPr>
          <w:color w:val="auto"/>
          <w:highlight w:val="none"/>
        </w:rPr>
      </w:pPr>
      <w:r>
        <w:rPr>
          <w:color w:val="auto"/>
          <w:highlight w:val="none"/>
        </w:rPr>
        <w:t>本次自评范围涵盖项目总体绩效目标、各项绩效指标完成情况以及预算执行情况。</w:t>
      </w:r>
    </w:p>
    <w:p w14:paraId="064FB84C">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（二）绩效自评工作对象</w:t>
      </w:r>
    </w:p>
    <w:p w14:paraId="51AE118B">
      <w:pPr>
        <w:pStyle w:val="52"/>
        <w:spacing w:line="560" w:lineRule="exact"/>
        <w:ind w:left="3" w:right="3" w:firstLine="560"/>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color w:val="auto"/>
          <w:highlight w:val="none"/>
          <w:lang w:eastAsia="zh-CN"/>
        </w:rPr>
        <w:t>于田县达里雅布依老村民宿改造提升项目</w:t>
      </w:r>
      <w:r>
        <w:rPr>
          <w:color w:val="auto"/>
          <w:highlight w:val="none"/>
        </w:rPr>
        <w:t>资金的使用管理、项目产出、综合效益等进行评价。</w:t>
      </w:r>
    </w:p>
    <w:p w14:paraId="46DAD31D">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（三）绩效自评工作方式</w:t>
      </w:r>
    </w:p>
    <w:p w14:paraId="01A98F66">
      <w:pPr>
        <w:pStyle w:val="33"/>
        <w:rPr>
          <w:color w:val="auto"/>
          <w:highlight w:val="none"/>
        </w:rPr>
      </w:pPr>
      <w:r>
        <w:rPr>
          <w:rFonts w:hint="eastAsia"/>
          <w:color w:val="auto"/>
          <w:highlight w:val="none"/>
        </w:rPr>
        <w:t>1.前期准备</w:t>
      </w:r>
    </w:p>
    <w:p w14:paraId="72EDA27E">
      <w:pPr>
        <w:pStyle w:val="52"/>
        <w:spacing w:line="560" w:lineRule="exact"/>
        <w:ind w:left="3" w:right="0" w:rightChars="0" w:firstLine="560"/>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2DB5B9E7">
      <w:pPr>
        <w:pStyle w:val="52"/>
        <w:spacing w:line="560" w:lineRule="exact"/>
        <w:ind w:left="3" w:right="3" w:firstLine="560"/>
        <w:rPr>
          <w:color w:val="auto"/>
          <w:highlight w:val="none"/>
        </w:rPr>
      </w:pPr>
      <w:r>
        <w:rPr>
          <w:rFonts w:hint="eastAsia"/>
          <w:color w:val="auto"/>
          <w:highlight w:val="none"/>
        </w:rPr>
        <w:t>组     长：</w:t>
      </w:r>
      <w:r>
        <w:rPr>
          <w:rFonts w:hint="eastAsia"/>
          <w:color w:val="auto"/>
          <w:highlight w:val="none"/>
          <w:lang w:val="en-US" w:eastAsia="zh-CN"/>
        </w:rPr>
        <w:t>文磊</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文旅局</w:t>
      </w:r>
      <w:r>
        <w:rPr>
          <w:rFonts w:hint="eastAsia"/>
          <w:color w:val="auto"/>
          <w:highlight w:val="none"/>
        </w:rPr>
        <w:t>党</w:t>
      </w:r>
      <w:r>
        <w:rPr>
          <w:rFonts w:hint="eastAsia"/>
          <w:color w:val="auto"/>
          <w:highlight w:val="none"/>
          <w:lang w:val="en-US" w:eastAsia="zh-CN"/>
        </w:rPr>
        <w:t>组</w:t>
      </w:r>
      <w:r>
        <w:rPr>
          <w:rFonts w:hint="eastAsia"/>
          <w:color w:val="auto"/>
          <w:highlight w:val="none"/>
        </w:rPr>
        <w:t>书记、</w:t>
      </w:r>
      <w:r>
        <w:rPr>
          <w:rFonts w:hint="eastAsia"/>
          <w:color w:val="auto"/>
          <w:highlight w:val="none"/>
          <w:lang w:val="en-US" w:eastAsia="zh-CN"/>
        </w:rPr>
        <w:t>副</w:t>
      </w:r>
      <w:r>
        <w:rPr>
          <w:rFonts w:hint="eastAsia"/>
          <w:color w:val="auto"/>
          <w:highlight w:val="none"/>
        </w:rPr>
        <w:t>局长</w:t>
      </w:r>
    </w:p>
    <w:p w14:paraId="0D27922F">
      <w:pPr>
        <w:pStyle w:val="52"/>
        <w:spacing w:line="560" w:lineRule="exact"/>
        <w:ind w:left="3" w:right="3" w:firstLine="560"/>
        <w:rPr>
          <w:color w:val="auto"/>
          <w:highlight w:val="none"/>
        </w:rPr>
      </w:pPr>
      <w:r>
        <w:rPr>
          <w:rFonts w:hint="eastAsia"/>
          <w:color w:val="auto"/>
          <w:highlight w:val="none"/>
        </w:rPr>
        <w:t>副组长：</w:t>
      </w:r>
      <w:r>
        <w:rPr>
          <w:rFonts w:hint="eastAsia"/>
          <w:color w:val="auto"/>
          <w:highlight w:val="none"/>
          <w:lang w:val="en-US" w:eastAsia="zh-CN"/>
        </w:rPr>
        <w:t>坎山·买提库尔班</w:t>
      </w:r>
      <w:r>
        <w:rPr>
          <w:rFonts w:hint="eastAsia"/>
          <w:color w:val="auto"/>
          <w:highlight w:val="none"/>
        </w:rPr>
        <w:t xml:space="preserve">                             </w:t>
      </w:r>
      <w:r>
        <w:rPr>
          <w:rFonts w:hint="eastAsia"/>
          <w:color w:val="auto"/>
          <w:highlight w:val="none"/>
          <w:lang w:val="en-US" w:eastAsia="zh-CN"/>
        </w:rPr>
        <w:t>文旅</w:t>
      </w:r>
      <w:r>
        <w:rPr>
          <w:rFonts w:hint="eastAsia"/>
          <w:color w:val="auto"/>
          <w:highlight w:val="none"/>
        </w:rPr>
        <w:t>局</w:t>
      </w:r>
      <w:r>
        <w:rPr>
          <w:rFonts w:hint="eastAsia"/>
          <w:color w:val="auto"/>
          <w:highlight w:val="none"/>
          <w:lang w:val="en-US" w:eastAsia="zh-CN"/>
        </w:rPr>
        <w:t>党组副书记、</w:t>
      </w:r>
      <w:r>
        <w:rPr>
          <w:rFonts w:hint="eastAsia"/>
          <w:color w:val="auto"/>
          <w:highlight w:val="none"/>
        </w:rPr>
        <w:t>局长</w:t>
      </w:r>
    </w:p>
    <w:p w14:paraId="5CE763F7">
      <w:pPr>
        <w:pStyle w:val="52"/>
        <w:spacing w:line="560" w:lineRule="exact"/>
        <w:ind w:left="3" w:right="3" w:firstLine="560"/>
        <w:rPr>
          <w:rFonts w:hint="eastAsia" w:eastAsia="仿宋_GB2312"/>
          <w:color w:val="auto"/>
          <w:highlight w:val="none"/>
          <w:lang w:eastAsia="zh-CN"/>
        </w:rPr>
      </w:pPr>
      <w:r>
        <w:rPr>
          <w:rFonts w:hint="eastAsia"/>
          <w:color w:val="auto"/>
          <w:highlight w:val="none"/>
        </w:rPr>
        <w:t>成    员：</w:t>
      </w:r>
      <w:r>
        <w:rPr>
          <w:rFonts w:hint="eastAsia"/>
          <w:color w:val="auto"/>
          <w:highlight w:val="none"/>
          <w:lang w:val="en-US" w:eastAsia="zh-CN"/>
        </w:rPr>
        <w:t>康宽堂</w:t>
      </w:r>
      <w:r>
        <w:rPr>
          <w:rFonts w:hint="eastAsia"/>
          <w:color w:val="auto"/>
          <w:highlight w:val="none"/>
        </w:rPr>
        <w:t xml:space="preserve">              </w:t>
      </w:r>
      <w:r>
        <w:rPr>
          <w:color w:val="auto"/>
          <w:highlight w:val="none"/>
        </w:rPr>
        <w:t xml:space="preserve">                 </w:t>
      </w:r>
      <w:r>
        <w:rPr>
          <w:rFonts w:hint="eastAsia"/>
          <w:color w:val="auto"/>
          <w:highlight w:val="none"/>
        </w:rPr>
        <w:t xml:space="preserve">                                          项目</w:t>
      </w:r>
      <w:r>
        <w:rPr>
          <w:rFonts w:hint="eastAsia"/>
          <w:color w:val="auto"/>
          <w:highlight w:val="none"/>
          <w:lang w:val="en-US" w:eastAsia="zh-CN"/>
        </w:rPr>
        <w:t>办主任</w:t>
      </w:r>
    </w:p>
    <w:p w14:paraId="1399ABC6">
      <w:pPr>
        <w:pStyle w:val="52"/>
        <w:spacing w:line="560" w:lineRule="exact"/>
        <w:ind w:left="3" w:right="3" w:firstLine="1680" w:firstLineChars="600"/>
        <w:rPr>
          <w:rFonts w:hint="eastAsia" w:eastAsia="仿宋_GB2312"/>
          <w:color w:val="auto"/>
          <w:highlight w:val="none"/>
          <w:lang w:val="en-US" w:eastAsia="zh-CN"/>
        </w:rPr>
      </w:pPr>
      <w:r>
        <w:rPr>
          <w:rFonts w:hint="eastAsia"/>
          <w:color w:val="auto"/>
          <w:highlight w:val="none"/>
          <w:lang w:val="en-US" w:eastAsia="zh-CN"/>
        </w:rPr>
        <w:t>图送江·胡加布杜拉</w:t>
      </w:r>
      <w:r>
        <w:rPr>
          <w:color w:val="auto"/>
          <w:highlight w:val="none"/>
        </w:rPr>
        <w:t xml:space="preserve">                      </w:t>
      </w:r>
      <w:r>
        <w:rPr>
          <w:rFonts w:hint="eastAsia"/>
          <w:color w:val="auto"/>
          <w:highlight w:val="none"/>
        </w:rPr>
        <w:t xml:space="preserve">                           财务室</w:t>
      </w:r>
      <w:r>
        <w:rPr>
          <w:rFonts w:hint="eastAsia"/>
          <w:color w:val="auto"/>
          <w:highlight w:val="none"/>
          <w:lang w:val="en-US" w:eastAsia="zh-CN"/>
        </w:rPr>
        <w:t>干部</w:t>
      </w:r>
    </w:p>
    <w:p w14:paraId="7D30E6A5">
      <w:pPr>
        <w:pStyle w:val="52"/>
        <w:spacing w:line="560" w:lineRule="exact"/>
        <w:ind w:left="3" w:right="3" w:firstLine="1680" w:firstLineChars="600"/>
        <w:rPr>
          <w:color w:val="auto"/>
          <w:highlight w:val="none"/>
        </w:rPr>
      </w:pPr>
      <w:r>
        <w:rPr>
          <w:rFonts w:hint="eastAsia"/>
          <w:color w:val="auto"/>
          <w:highlight w:val="none"/>
          <w:lang w:val="en-US" w:eastAsia="zh-CN"/>
        </w:rPr>
        <w:t>依帕尔古丽</w:t>
      </w: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 xml:space="preserve">  档案管理负责人</w:t>
      </w:r>
    </w:p>
    <w:p w14:paraId="76F06643">
      <w:pPr>
        <w:pStyle w:val="52"/>
        <w:spacing w:line="560" w:lineRule="exact"/>
        <w:ind w:left="3" w:right="3" w:firstLine="560"/>
        <w:rPr>
          <w:color w:val="auto"/>
          <w:highlight w:val="none"/>
        </w:rPr>
      </w:pPr>
      <w:r>
        <w:rPr>
          <w:rFonts w:hint="eastAsia"/>
          <w:color w:val="auto"/>
          <w:highlight w:val="none"/>
          <w:lang w:val="en-US" w:eastAsia="zh-CN"/>
        </w:rPr>
        <w:t>项目办</w:t>
      </w:r>
      <w:r>
        <w:rPr>
          <w:rFonts w:hint="eastAsia"/>
          <w:color w:val="auto"/>
          <w:highlight w:val="none"/>
        </w:rPr>
        <w:t>负责项目的计划制定、实施，督查、指导相关单位共同做好项目管理工作。切实把该项目作为</w:t>
      </w:r>
      <w:r>
        <w:rPr>
          <w:rFonts w:hint="eastAsia"/>
          <w:color w:val="auto"/>
          <w:highlight w:val="none"/>
          <w:lang w:val="en-US" w:eastAsia="zh-CN"/>
        </w:rPr>
        <w:t>旅游发展工作</w:t>
      </w:r>
      <w:r>
        <w:rPr>
          <w:rFonts w:hint="eastAsia"/>
          <w:color w:val="auto"/>
          <w:highlight w:val="none"/>
        </w:rPr>
        <w:t>的重要举措来抓，加强领导，明确分工，落实责任，密切配合，形成合力，推动该项目顺利实施。由</w:t>
      </w:r>
      <w:r>
        <w:rPr>
          <w:rFonts w:hint="eastAsia"/>
          <w:b w:val="0"/>
          <w:bCs w:val="0"/>
          <w:color w:val="auto"/>
          <w:highlight w:val="none"/>
          <w:lang w:val="en-US" w:eastAsia="zh-CN"/>
        </w:rPr>
        <w:t>于田县文旅局</w:t>
      </w:r>
      <w:r>
        <w:rPr>
          <w:rFonts w:hint="eastAsia"/>
          <w:color w:val="auto"/>
          <w:highlight w:val="none"/>
        </w:rPr>
        <w:t>牵头，负责整个项目的统筹安排和经费使用管理工作，实现分级管理制度。</w:t>
      </w:r>
    </w:p>
    <w:p w14:paraId="1507524F">
      <w:pPr>
        <w:pStyle w:val="33"/>
        <w:rPr>
          <w:color w:val="auto"/>
          <w:highlight w:val="none"/>
        </w:rPr>
      </w:pPr>
      <w:r>
        <w:rPr>
          <w:rFonts w:hint="eastAsia"/>
          <w:color w:val="auto"/>
          <w:highlight w:val="none"/>
        </w:rPr>
        <w:t>2.组织实施</w:t>
      </w:r>
    </w:p>
    <w:p w14:paraId="0DA6D576">
      <w:pPr>
        <w:pStyle w:val="52"/>
        <w:spacing w:line="560" w:lineRule="exact"/>
        <w:ind w:left="3" w:right="3" w:firstLine="560"/>
        <w:rPr>
          <w:color w:val="auto"/>
          <w:highlight w:val="none"/>
        </w:rPr>
      </w:pPr>
      <w:r>
        <w:rPr>
          <w:color w:val="auto"/>
          <w:highlight w:val="none"/>
        </w:rPr>
        <w:t>成立绩效自评工作组后，经评价组通过实地调研等方式，采用综合分析法对项目的决策、管理、绩效进行的综合评价分析。</w:t>
      </w:r>
    </w:p>
    <w:p w14:paraId="2A9E1C3C">
      <w:pPr>
        <w:pStyle w:val="33"/>
        <w:rPr>
          <w:color w:val="auto"/>
          <w:highlight w:val="none"/>
        </w:rPr>
      </w:pPr>
      <w:r>
        <w:rPr>
          <w:rFonts w:hint="eastAsia"/>
          <w:color w:val="auto"/>
          <w:highlight w:val="none"/>
        </w:rPr>
        <w:t>3.分析评价。</w:t>
      </w:r>
    </w:p>
    <w:p w14:paraId="491F355F">
      <w:pPr>
        <w:pStyle w:val="52"/>
        <w:spacing w:line="560" w:lineRule="exact"/>
        <w:ind w:left="3" w:right="3" w:firstLine="560"/>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1823B030">
      <w:pPr>
        <w:pStyle w:val="52"/>
        <w:spacing w:line="560" w:lineRule="exact"/>
        <w:ind w:left="3" w:right="3" w:firstLine="560"/>
        <w:rPr>
          <w:color w:val="auto"/>
          <w:highlight w:val="none"/>
        </w:rPr>
      </w:pPr>
      <w:r>
        <w:rPr>
          <w:color w:val="auto"/>
          <w:highlight w:val="none"/>
        </w:rPr>
        <w:t>（1）绩效自评指标体系</w:t>
      </w:r>
    </w:p>
    <w:p w14:paraId="57B148B9">
      <w:pPr>
        <w:pStyle w:val="52"/>
        <w:spacing w:line="560" w:lineRule="exact"/>
        <w:ind w:left="3" w:right="3" w:firstLine="560"/>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12</w:t>
      </w:r>
      <w:r>
        <w:rPr>
          <w:color w:val="auto"/>
          <w:highlight w:val="none"/>
        </w:rPr>
        <w:t>分、质量指标11分，时效指标1</w:t>
      </w:r>
      <w:r>
        <w:rPr>
          <w:rFonts w:hint="eastAsia"/>
          <w:color w:val="auto"/>
          <w:highlight w:val="none"/>
          <w:lang w:val="en-US" w:eastAsia="zh-CN"/>
        </w:rPr>
        <w:t>5</w:t>
      </w:r>
      <w:r>
        <w:rPr>
          <w:color w:val="auto"/>
          <w:highlight w:val="none"/>
        </w:rPr>
        <w:t>分、成本指标1</w:t>
      </w:r>
      <w:r>
        <w:rPr>
          <w:rFonts w:hint="eastAsia"/>
          <w:color w:val="auto"/>
          <w:highlight w:val="none"/>
          <w:lang w:val="en-US" w:eastAsia="zh-CN"/>
        </w:rPr>
        <w:t>2</w:t>
      </w:r>
      <w:r>
        <w:rPr>
          <w:color w:val="auto"/>
          <w:highlight w:val="none"/>
        </w:rPr>
        <w:t>分、</w:t>
      </w:r>
      <w:r>
        <w:rPr>
          <w:rFonts w:hint="eastAsia"/>
          <w:color w:val="auto"/>
          <w:highlight w:val="none"/>
          <w:lang w:val="en-US" w:eastAsia="zh-CN"/>
        </w:rPr>
        <w:t>社会</w:t>
      </w:r>
      <w:r>
        <w:rPr>
          <w:color w:val="auto"/>
          <w:highlight w:val="none"/>
        </w:rPr>
        <w:t>效益指标</w:t>
      </w:r>
      <w:r>
        <w:rPr>
          <w:rFonts w:hint="eastAsia"/>
          <w:color w:val="auto"/>
          <w:highlight w:val="none"/>
          <w:lang w:val="en-US" w:eastAsia="zh-CN"/>
        </w:rPr>
        <w:t>3</w:t>
      </w:r>
      <w:r>
        <w:rPr>
          <w:color w:val="auto"/>
          <w:highlight w:val="none"/>
        </w:rPr>
        <w:t>0分、满意度指标10分、预算资金执行率10分，满分100分。</w:t>
      </w:r>
    </w:p>
    <w:p w14:paraId="1B7BBDE8">
      <w:pPr>
        <w:pStyle w:val="52"/>
        <w:spacing w:line="560" w:lineRule="exact"/>
        <w:ind w:left="3" w:right="3" w:firstLine="560"/>
        <w:rPr>
          <w:color w:val="auto"/>
          <w:highlight w:val="none"/>
        </w:rPr>
      </w:pPr>
      <w:r>
        <w:rPr>
          <w:color w:val="auto"/>
          <w:highlight w:val="none"/>
        </w:rPr>
        <w:t>（2）绩效自评方法</w:t>
      </w:r>
    </w:p>
    <w:p w14:paraId="124104FB">
      <w:pPr>
        <w:pStyle w:val="52"/>
        <w:spacing w:line="560" w:lineRule="exact"/>
        <w:ind w:left="3" w:right="3" w:firstLine="560"/>
        <w:rPr>
          <w:color w:val="auto"/>
          <w:highlight w:val="none"/>
        </w:rPr>
      </w:pPr>
      <w:r>
        <w:rPr>
          <w:color w:val="auto"/>
          <w:highlight w:val="none"/>
        </w:rPr>
        <w:t>本次绩效自评采用比较法和综合分析法对项目资金的使用管理、项目产出、综合效益等进行评价。</w:t>
      </w:r>
    </w:p>
    <w:p w14:paraId="4751BCF0">
      <w:pPr>
        <w:pStyle w:val="52"/>
        <w:spacing w:line="560" w:lineRule="exact"/>
        <w:ind w:left="3" w:right="3" w:firstLine="560"/>
        <w:rPr>
          <w:color w:val="auto"/>
          <w:highlight w:val="none"/>
        </w:rPr>
      </w:pPr>
      <w:r>
        <w:rPr>
          <w:color w:val="auto"/>
          <w:highlight w:val="none"/>
        </w:rPr>
        <w:t>（3）绩效自评标准</w:t>
      </w:r>
    </w:p>
    <w:p w14:paraId="595D5BA6">
      <w:pPr>
        <w:pStyle w:val="52"/>
        <w:spacing w:line="560" w:lineRule="exact"/>
        <w:ind w:left="3" w:right="3" w:firstLine="560"/>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65D37B82">
      <w:pPr>
        <w:pStyle w:val="52"/>
        <w:spacing w:line="560" w:lineRule="exact"/>
        <w:ind w:left="3" w:right="3" w:firstLine="560"/>
        <w:rPr>
          <w:color w:val="auto"/>
          <w:highlight w:val="none"/>
        </w:rPr>
      </w:pPr>
      <w:r>
        <w:rPr>
          <w:color w:val="auto"/>
          <w:highlight w:val="none"/>
        </w:rPr>
        <w:t>（4）绩效自评等级</w:t>
      </w:r>
    </w:p>
    <w:p w14:paraId="22BFEBA7">
      <w:pPr>
        <w:pStyle w:val="52"/>
        <w:spacing w:line="560" w:lineRule="exact"/>
        <w:ind w:left="3" w:right="3" w:firstLine="560"/>
        <w:rPr>
          <w:color w:val="auto"/>
          <w:highlight w:val="none"/>
        </w:rPr>
      </w:pPr>
      <w:r>
        <w:rPr>
          <w:color w:val="auto"/>
          <w:highlight w:val="none"/>
        </w:rPr>
        <w:t>绩效自评总分值100分，根据评分结果，90（含）-100分为优、80（含）-90分为良、60（含）-80分为中、60分以下为差。</w:t>
      </w:r>
    </w:p>
    <w:p w14:paraId="3DBEC1D0">
      <w:pPr>
        <w:pStyle w:val="29"/>
        <w:spacing w:before="120"/>
        <w:ind w:leftChars="0" w:right="3" w:firstLine="562" w:firstLineChars="200"/>
        <w:rPr>
          <w:color w:val="auto"/>
          <w:highlight w:val="none"/>
        </w:rPr>
      </w:pPr>
      <w:r>
        <w:rPr>
          <w:rFonts w:hint="eastAsia"/>
          <w:color w:val="auto"/>
          <w:highlight w:val="none"/>
        </w:rPr>
        <w:t>三、绩效目标自评完成情况分析</w:t>
      </w:r>
    </w:p>
    <w:p w14:paraId="0D98B0C1">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（一）资金投入情况分析</w:t>
      </w:r>
    </w:p>
    <w:p w14:paraId="593CEBBE">
      <w:pPr>
        <w:pStyle w:val="33"/>
        <w:rPr>
          <w:color w:val="auto"/>
          <w:highlight w:val="none"/>
        </w:rPr>
      </w:pPr>
      <w:r>
        <w:rPr>
          <w:rFonts w:hint="eastAsia"/>
          <w:color w:val="auto"/>
          <w:highlight w:val="none"/>
        </w:rPr>
        <w:t>1.项目资金到位情况分析</w:t>
      </w:r>
    </w:p>
    <w:p w14:paraId="4D57FB31">
      <w:pPr>
        <w:pStyle w:val="52"/>
        <w:spacing w:line="560" w:lineRule="exact"/>
        <w:ind w:left="0" w:leftChars="0" w:right="3" w:firstLine="560"/>
        <w:rPr>
          <w:color w:val="auto"/>
          <w:highlight w:val="none"/>
        </w:rPr>
      </w:pPr>
      <w:r>
        <w:rPr>
          <w:rFonts w:hint="eastAsia"/>
          <w:color w:val="auto"/>
          <w:highlight w:val="none"/>
          <w:lang w:eastAsia="zh-CN"/>
        </w:rPr>
        <w:t>于田县达里雅布依老村民宿改造提升项目</w:t>
      </w:r>
      <w:r>
        <w:rPr>
          <w:rFonts w:hint="eastAsia"/>
          <w:color w:val="auto"/>
          <w:highlight w:val="none"/>
        </w:rPr>
        <w:t>预算安排总额为500.00万元，预算资金到位率为100.00%。</w:t>
      </w:r>
    </w:p>
    <w:p w14:paraId="17A34FE7">
      <w:pPr>
        <w:pStyle w:val="52"/>
        <w:spacing w:line="560" w:lineRule="exact"/>
        <w:ind w:left="0" w:leftChars="0" w:right="3" w:firstLine="562"/>
        <w:rPr>
          <w:b/>
          <w:color w:val="auto"/>
          <w:highlight w:val="none"/>
        </w:rPr>
      </w:pPr>
      <w:r>
        <w:rPr>
          <w:rFonts w:hint="eastAsia"/>
          <w:b/>
          <w:color w:val="auto"/>
          <w:highlight w:val="none"/>
        </w:rPr>
        <w:t>2.项目资金执行情况分析</w:t>
      </w:r>
    </w:p>
    <w:p w14:paraId="17D631AF">
      <w:pPr>
        <w:pStyle w:val="52"/>
        <w:spacing w:line="560" w:lineRule="exact"/>
        <w:ind w:left="0" w:leftChars="0" w:right="3" w:firstLine="560"/>
        <w:rPr>
          <w:color w:val="auto"/>
          <w:highlight w:val="none"/>
        </w:rPr>
      </w:pPr>
      <w:r>
        <w:rPr>
          <w:rFonts w:hint="eastAsia"/>
          <w:color w:val="auto"/>
          <w:highlight w:val="none"/>
          <w:lang w:eastAsia="zh-CN"/>
        </w:rPr>
        <w:t>于田县达里雅布依老村民宿改造提升项目</w:t>
      </w:r>
      <w:r>
        <w:rPr>
          <w:rFonts w:hint="eastAsia"/>
          <w:color w:val="auto"/>
          <w:highlight w:val="none"/>
        </w:rPr>
        <w:t>预算投入资金500万元，经财务决算，项目实际完成投资共</w:t>
      </w:r>
      <w:r>
        <w:rPr>
          <w:rFonts w:hint="eastAsia"/>
          <w:color w:val="auto"/>
          <w:highlight w:val="none"/>
          <w:lang w:val="en-US" w:eastAsia="zh-CN"/>
        </w:rPr>
        <w:t>486.96</w:t>
      </w:r>
      <w:r>
        <w:rPr>
          <w:rFonts w:hint="eastAsia"/>
          <w:color w:val="auto"/>
          <w:highlight w:val="none"/>
        </w:rPr>
        <w:t>万元。建筑安装投资463</w:t>
      </w:r>
      <w:r>
        <w:rPr>
          <w:rFonts w:hint="eastAsia"/>
          <w:color w:val="auto"/>
          <w:highlight w:val="none"/>
          <w:lang w:val="en-US" w:eastAsia="zh-CN"/>
        </w:rPr>
        <w:t>.04万</w:t>
      </w:r>
      <w:r>
        <w:rPr>
          <w:rFonts w:hint="eastAsia"/>
          <w:color w:val="auto"/>
          <w:highlight w:val="none"/>
        </w:rPr>
        <w:t>元，待摊投资23</w:t>
      </w:r>
      <w:r>
        <w:rPr>
          <w:rFonts w:hint="eastAsia"/>
          <w:color w:val="auto"/>
          <w:highlight w:val="none"/>
          <w:lang w:val="en-US" w:eastAsia="zh-CN"/>
        </w:rPr>
        <w:t>.</w:t>
      </w:r>
      <w:r>
        <w:rPr>
          <w:rFonts w:hint="eastAsia"/>
          <w:color w:val="auto"/>
          <w:highlight w:val="none"/>
        </w:rPr>
        <w:t>9</w:t>
      </w:r>
      <w:r>
        <w:rPr>
          <w:rFonts w:hint="eastAsia"/>
          <w:color w:val="auto"/>
          <w:highlight w:val="none"/>
          <w:lang w:val="en-US" w:eastAsia="zh-CN"/>
        </w:rPr>
        <w:t>2万</w:t>
      </w:r>
      <w:r>
        <w:rPr>
          <w:rFonts w:hint="eastAsia"/>
          <w:color w:val="auto"/>
          <w:highlight w:val="none"/>
        </w:rPr>
        <w:t>元，截至</w:t>
      </w:r>
      <w:r>
        <w:rPr>
          <w:rFonts w:hint="eastAsia"/>
          <w:color w:val="auto"/>
          <w:highlight w:val="none"/>
          <w:lang w:val="en-US" w:eastAsia="zh-CN"/>
        </w:rPr>
        <w:t>2024</w:t>
      </w:r>
      <w:r>
        <w:rPr>
          <w:rFonts w:hint="eastAsia"/>
          <w:color w:val="auto"/>
          <w:highlight w:val="none"/>
        </w:rPr>
        <w:t>年</w:t>
      </w:r>
      <w:r>
        <w:rPr>
          <w:rFonts w:hint="eastAsia"/>
          <w:color w:val="auto"/>
          <w:highlight w:val="none"/>
          <w:lang w:val="en-US" w:eastAsia="zh-CN"/>
        </w:rPr>
        <w:t>12</w:t>
      </w:r>
      <w:r>
        <w:rPr>
          <w:rFonts w:hint="eastAsia"/>
          <w:color w:val="auto"/>
          <w:highlight w:val="none"/>
        </w:rPr>
        <w:t>月，项目实际支出</w:t>
      </w:r>
      <w:r>
        <w:rPr>
          <w:rFonts w:hint="eastAsia"/>
          <w:color w:val="auto"/>
          <w:highlight w:val="none"/>
          <w:lang w:val="en-US" w:eastAsia="zh-CN"/>
        </w:rPr>
        <w:t>486.96</w:t>
      </w:r>
      <w:r>
        <w:rPr>
          <w:rFonts w:hint="eastAsia"/>
          <w:color w:val="auto"/>
          <w:highlight w:val="none"/>
        </w:rPr>
        <w:t>万元，</w:t>
      </w:r>
      <w:r>
        <w:rPr>
          <w:rFonts w:hint="eastAsia"/>
          <w:color w:val="auto"/>
          <w:highlight w:val="none"/>
          <w:lang w:val="en-US" w:eastAsia="zh-CN"/>
        </w:rPr>
        <w:t>剩余资金结余退回财政，</w:t>
      </w:r>
      <w:r>
        <w:rPr>
          <w:rFonts w:hint="eastAsia"/>
          <w:color w:val="auto"/>
          <w:highlight w:val="none"/>
        </w:rPr>
        <w:t>预算资金执行率</w:t>
      </w:r>
      <w:r>
        <w:rPr>
          <w:rFonts w:hint="eastAsia"/>
          <w:color w:val="auto"/>
          <w:highlight w:val="none"/>
          <w:lang w:val="en-US" w:eastAsia="zh-CN"/>
        </w:rPr>
        <w:t>97.39</w:t>
      </w:r>
      <w:r>
        <w:rPr>
          <w:rFonts w:hint="eastAsia"/>
          <w:color w:val="auto"/>
          <w:highlight w:val="none"/>
        </w:rPr>
        <w:t>%。</w:t>
      </w:r>
    </w:p>
    <w:p w14:paraId="519090E3">
      <w:pPr>
        <w:pStyle w:val="33"/>
        <w:rPr>
          <w:color w:val="auto"/>
          <w:highlight w:val="none"/>
        </w:rPr>
      </w:pPr>
      <w:r>
        <w:rPr>
          <w:rFonts w:hint="eastAsia"/>
          <w:color w:val="auto"/>
          <w:highlight w:val="none"/>
        </w:rPr>
        <w:t>3.项目资金管理情况分析</w:t>
      </w:r>
    </w:p>
    <w:p w14:paraId="64BB7B46">
      <w:pPr>
        <w:pStyle w:val="52"/>
        <w:spacing w:line="560" w:lineRule="exact"/>
        <w:ind w:left="0" w:leftChars="0" w:right="3" w:firstLine="560"/>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44EC45BC">
      <w:pPr>
        <w:pStyle w:val="52"/>
        <w:spacing w:line="560" w:lineRule="exact"/>
        <w:ind w:leftChars="0" w:right="3" w:firstLine="562"/>
        <w:rPr>
          <w:b/>
          <w:color w:val="auto"/>
          <w:highlight w:val="none"/>
        </w:rPr>
      </w:pPr>
      <w:r>
        <w:rPr>
          <w:rFonts w:hint="eastAsia"/>
          <w:b/>
          <w:color w:val="auto"/>
          <w:highlight w:val="none"/>
        </w:rPr>
        <w:t>4.项目管理情况分析</w:t>
      </w:r>
    </w:p>
    <w:p w14:paraId="3FEBA947">
      <w:pPr>
        <w:pStyle w:val="52"/>
        <w:spacing w:line="580" w:lineRule="exact"/>
        <w:ind w:left="0" w:leftChars="0" w:right="3" w:firstLine="560"/>
        <w:rPr>
          <w:color w:val="auto"/>
          <w:highlight w:val="none"/>
        </w:rPr>
      </w:pPr>
      <w:r>
        <w:rPr>
          <w:rFonts w:hint="eastAsia"/>
          <w:color w:val="auto"/>
          <w:highlight w:val="none"/>
        </w:rPr>
        <w:t>在项目实施中，</w:t>
      </w:r>
      <w:r>
        <w:rPr>
          <w:rFonts w:hint="eastAsia"/>
          <w:color w:val="auto"/>
          <w:highlight w:val="none"/>
          <w:lang w:val="en-US" w:eastAsia="zh-CN"/>
        </w:rPr>
        <w:t>于田县文化体育广播电视和旅游局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5C1B7BD3">
      <w:pPr>
        <w:spacing w:line="58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（二）绩效目标完成情况分析</w:t>
      </w:r>
    </w:p>
    <w:p w14:paraId="2984C8E6">
      <w:pPr>
        <w:pStyle w:val="52"/>
        <w:spacing w:line="560" w:lineRule="exact"/>
        <w:ind w:left="3" w:right="3" w:firstLine="560"/>
        <w:rPr>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截止1</w:t>
      </w:r>
      <w:r>
        <w:rPr>
          <w:rFonts w:hint="eastAsia"/>
          <w:color w:val="auto"/>
          <w:highlight w:val="none"/>
          <w:lang w:val="en-US" w:eastAsia="zh-CN"/>
        </w:rPr>
        <w:t>2</w:t>
      </w:r>
      <w:r>
        <w:rPr>
          <w:rFonts w:hint="eastAsia"/>
          <w:color w:val="auto"/>
          <w:highlight w:val="none"/>
        </w:rPr>
        <w:t>月底，工程实际完成</w:t>
      </w:r>
      <w:r>
        <w:rPr>
          <w:rFonts w:hint="eastAsia"/>
          <w:color w:val="auto"/>
          <w:highlight w:val="none"/>
          <w:lang w:val="en-US" w:eastAsia="zh-CN"/>
        </w:rPr>
        <w:t>对4套民宿和1套餐厅的改造提升</w:t>
      </w:r>
      <w:r>
        <w:rPr>
          <w:rFonts w:hint="eastAsia"/>
          <w:color w:val="auto"/>
          <w:highlight w:val="none"/>
        </w:rPr>
        <w:t>，该工程已完成竣工验收。</w:t>
      </w:r>
    </w:p>
    <w:p w14:paraId="588E21E3">
      <w:pPr>
        <w:pStyle w:val="52"/>
        <w:spacing w:line="560" w:lineRule="exact"/>
        <w:ind w:left="3" w:right="3" w:firstLine="560"/>
        <w:rPr>
          <w:color w:val="auto"/>
          <w:highlight w:val="none"/>
        </w:rPr>
      </w:pPr>
      <w:r>
        <w:rPr>
          <w:color w:val="auto"/>
          <w:highlight w:val="none"/>
        </w:rPr>
        <w:t>本</w:t>
      </w:r>
      <w:r>
        <w:rPr>
          <w:rFonts w:hint="eastAsia"/>
          <w:color w:val="auto"/>
          <w:highlight w:val="none"/>
        </w:rPr>
        <w:t>项目共设置一级指标3个，二级指标</w:t>
      </w:r>
      <w:r>
        <w:rPr>
          <w:rFonts w:hint="eastAsia"/>
          <w:color w:val="auto"/>
          <w:highlight w:val="none"/>
          <w:lang w:val="en-US" w:eastAsia="zh-CN"/>
        </w:rPr>
        <w:t>6</w:t>
      </w:r>
      <w:r>
        <w:rPr>
          <w:rFonts w:hint="eastAsia"/>
          <w:color w:val="auto"/>
          <w:highlight w:val="none"/>
        </w:rPr>
        <w:t>个，三级指标1</w:t>
      </w:r>
      <w:r>
        <w:rPr>
          <w:rFonts w:hint="eastAsia"/>
          <w:color w:val="auto"/>
          <w:highlight w:val="none"/>
          <w:lang w:val="en-US" w:eastAsia="zh-CN"/>
        </w:rPr>
        <w:t>1</w:t>
      </w:r>
      <w:r>
        <w:rPr>
          <w:rFonts w:hint="eastAsia"/>
          <w:color w:val="auto"/>
          <w:highlight w:val="none"/>
        </w:rPr>
        <w:t>个，其中已完成三级指标</w:t>
      </w:r>
      <w:r>
        <w:rPr>
          <w:rFonts w:hint="eastAsia"/>
          <w:color w:val="auto"/>
          <w:highlight w:val="none"/>
          <w:lang w:val="en-US" w:eastAsia="zh-CN"/>
        </w:rPr>
        <w:t>8</w:t>
      </w:r>
      <w:r>
        <w:rPr>
          <w:rFonts w:hint="eastAsia"/>
          <w:color w:val="auto"/>
          <w:highlight w:val="none"/>
        </w:rPr>
        <w:t>个，指标完成率为</w:t>
      </w:r>
      <w:r>
        <w:rPr>
          <w:rFonts w:hint="eastAsia"/>
          <w:color w:val="auto"/>
          <w:highlight w:val="none"/>
          <w:lang w:val="en-US" w:eastAsia="zh-CN"/>
        </w:rPr>
        <w:t>72.73</w:t>
      </w:r>
      <w:r>
        <w:rPr>
          <w:rFonts w:hint="eastAsia"/>
          <w:color w:val="auto"/>
          <w:highlight w:val="none"/>
        </w:rPr>
        <w:t>%，指标完成情况分析如下：</w:t>
      </w:r>
    </w:p>
    <w:p w14:paraId="5D506E25">
      <w:pPr>
        <w:pStyle w:val="52"/>
        <w:spacing w:line="580" w:lineRule="exact"/>
        <w:ind w:left="0" w:leftChars="0" w:right="0" w:rightChars="0" w:firstLine="562"/>
        <w:rPr>
          <w:b/>
          <w:color w:val="auto"/>
          <w:highlight w:val="none"/>
        </w:rPr>
      </w:pPr>
      <w:r>
        <w:rPr>
          <w:rFonts w:hint="eastAsia"/>
          <w:b/>
          <w:color w:val="auto"/>
          <w:highlight w:val="none"/>
        </w:rPr>
        <w:t>1.产出指标完成情况分析</w:t>
      </w:r>
    </w:p>
    <w:p w14:paraId="16799B08">
      <w:pPr>
        <w:pStyle w:val="52"/>
        <w:spacing w:line="580" w:lineRule="exact"/>
        <w:ind w:left="0" w:leftChars="0" w:right="0" w:rightChars="0" w:firstLine="560"/>
        <w:rPr>
          <w:rFonts w:ascii="仿宋_GB2312"/>
          <w:color w:val="auto"/>
          <w:highlight w:val="none"/>
        </w:rPr>
      </w:pPr>
      <w:r>
        <w:rPr>
          <w:rFonts w:hint="eastAsia" w:ascii="仿宋_GB2312"/>
          <w:color w:val="auto"/>
          <w:highlight w:val="none"/>
        </w:rPr>
        <w:t>1.1项目完成数量</w:t>
      </w:r>
    </w:p>
    <w:p w14:paraId="3467AF16">
      <w:pPr>
        <w:pStyle w:val="52"/>
        <w:spacing w:line="560" w:lineRule="exact"/>
        <w:ind w:left="0" w:leftChars="0" w:right="0" w:rightChars="0" w:firstLine="560"/>
        <w:rPr>
          <w:rFonts w:hint="eastAsia"/>
          <w:color w:val="auto"/>
          <w:highlight w:val="none"/>
        </w:rPr>
      </w:pPr>
      <w:r>
        <w:rPr>
          <w:rFonts w:hint="eastAsia"/>
          <w:color w:val="auto"/>
          <w:highlight w:val="none"/>
        </w:rPr>
        <w:t>“</w:t>
      </w:r>
      <w:r>
        <w:rPr>
          <w:rFonts w:hint="eastAsia"/>
          <w:color w:val="auto"/>
          <w:highlight w:val="none"/>
          <w:lang w:val="en-US" w:eastAsia="zh-CN"/>
        </w:rPr>
        <w:t>改造民宿数量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4套</w:t>
      </w:r>
      <w:r>
        <w:rPr>
          <w:rFonts w:hint="eastAsia"/>
          <w:color w:val="auto"/>
          <w:highlight w:val="none"/>
        </w:rPr>
        <w:t>,全年实际值为</w:t>
      </w:r>
      <w:r>
        <w:rPr>
          <w:rFonts w:hint="eastAsia"/>
          <w:color w:val="auto"/>
          <w:highlight w:val="none"/>
          <w:lang w:val="en-US" w:eastAsia="zh-CN"/>
        </w:rPr>
        <w:t>4套</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115BE4BA">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改造餐厅数量</w:t>
      </w:r>
      <w:r>
        <w:rPr>
          <w:rFonts w:hint="eastAsia"/>
          <w:color w:val="auto"/>
          <w:highlight w:val="none"/>
        </w:rPr>
        <w:t>”指标，预期指标值为</w:t>
      </w:r>
      <w:r>
        <w:rPr>
          <w:rFonts w:hint="eastAsia"/>
          <w:color w:val="auto"/>
          <w:highlight w:val="none"/>
          <w:lang w:eastAsia="zh-CN"/>
        </w:rPr>
        <w:t>大于等于</w:t>
      </w:r>
      <w:r>
        <w:rPr>
          <w:rFonts w:hint="eastAsia"/>
          <w:color w:val="auto"/>
          <w:highlight w:val="none"/>
          <w:lang w:val="en-US" w:eastAsia="zh-CN"/>
        </w:rPr>
        <w:t>1套</w:t>
      </w:r>
      <w:r>
        <w:rPr>
          <w:rFonts w:hint="eastAsia"/>
          <w:color w:val="auto"/>
          <w:highlight w:val="none"/>
        </w:rPr>
        <w:t>,全年实际值为</w:t>
      </w:r>
      <w:r>
        <w:rPr>
          <w:rFonts w:hint="eastAsia"/>
          <w:color w:val="auto"/>
          <w:highlight w:val="none"/>
          <w:lang w:val="en-US" w:eastAsia="zh-CN"/>
        </w:rPr>
        <w:t>1套</w:t>
      </w:r>
      <w:r>
        <w:rPr>
          <w:rFonts w:hint="eastAsia"/>
          <w:color w:val="auto"/>
          <w:highlight w:val="none"/>
        </w:rPr>
        <w:t>，指标完成率为100.00%。所设分值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 xml:space="preserve">分 </w:t>
      </w:r>
      <w:r>
        <w:rPr>
          <w:color w:val="auto"/>
          <w:highlight w:val="none"/>
        </w:rPr>
        <w:t xml:space="preserve">             </w:t>
      </w:r>
    </w:p>
    <w:p w14:paraId="07F7C28F">
      <w:pPr>
        <w:pStyle w:val="52"/>
        <w:spacing w:line="560" w:lineRule="exact"/>
        <w:ind w:left="0" w:leftChars="0" w:right="0" w:rightChars="0" w:firstLine="560"/>
        <w:rPr>
          <w:color w:val="auto"/>
          <w:highlight w:val="none"/>
        </w:rPr>
      </w:pPr>
      <w:r>
        <w:rPr>
          <w:rFonts w:ascii="仿宋_GB2312"/>
          <w:color w:val="auto"/>
          <w:highlight w:val="none"/>
        </w:rPr>
        <w:t>1.2项目完成质量</w:t>
      </w:r>
    </w:p>
    <w:p w14:paraId="52362621">
      <w:pPr>
        <w:pStyle w:val="52"/>
        <w:spacing w:line="560" w:lineRule="exact"/>
        <w:ind w:left="0" w:leftChars="0" w:right="0" w:rightChars="0" w:firstLine="560"/>
        <w:rPr>
          <w:color w:val="auto"/>
          <w:highlight w:val="none"/>
        </w:rPr>
      </w:pPr>
      <w:r>
        <w:rPr>
          <w:rFonts w:hint="eastAsia"/>
          <w:color w:val="auto"/>
          <w:highlight w:val="none"/>
        </w:rPr>
        <w:t>“工程验收合格率”指标，预期指标值为</w:t>
      </w:r>
      <w:r>
        <w:rPr>
          <w:rFonts w:hint="eastAsia"/>
          <w:color w:val="auto"/>
          <w:highlight w:val="none"/>
          <w:lang w:eastAsia="zh-CN"/>
        </w:rPr>
        <w:t>等于</w:t>
      </w:r>
      <w:r>
        <w:rPr>
          <w:rFonts w:hint="eastAsia"/>
          <w:color w:val="auto"/>
          <w:highlight w:val="none"/>
        </w:rPr>
        <w:t>100.00%,全年实际值为100.00%，指标完成率为100.00%。所设分值6分，实际得分6分。</w:t>
      </w:r>
    </w:p>
    <w:p w14:paraId="5D7634FC">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合</w:t>
      </w:r>
      <w:r>
        <w:rPr>
          <w:rFonts w:hint="eastAsia"/>
          <w:color w:val="auto"/>
          <w:highlight w:val="none"/>
          <w:lang w:val="en-US" w:eastAsia="zh-CN"/>
        </w:rPr>
        <w:t>规</w:t>
      </w:r>
      <w:r>
        <w:rPr>
          <w:rFonts w:hint="eastAsia"/>
          <w:color w:val="auto"/>
          <w:highlight w:val="none"/>
        </w:rPr>
        <w:t>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4FD05A91">
      <w:pPr>
        <w:pStyle w:val="52"/>
        <w:spacing w:line="560" w:lineRule="exact"/>
        <w:ind w:left="0" w:leftChars="0" w:right="0" w:rightChars="0" w:firstLine="560"/>
        <w:rPr>
          <w:color w:val="auto"/>
          <w:highlight w:val="none"/>
        </w:rPr>
      </w:pPr>
      <w:r>
        <w:rPr>
          <w:color w:val="auto"/>
          <w:highlight w:val="none"/>
        </w:rPr>
        <w:t>1.3项目完成时效</w:t>
      </w:r>
    </w:p>
    <w:p w14:paraId="5D8136D7">
      <w:pPr>
        <w:pStyle w:val="52"/>
        <w:spacing w:line="560" w:lineRule="exact"/>
        <w:ind w:left="0" w:leftChars="0" w:right="0" w:rightChars="0" w:firstLine="560"/>
        <w:rPr>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月，指标完成率为100.00%。所设分值5分，实际得分5分。</w:t>
      </w:r>
    </w:p>
    <w:p w14:paraId="1349D9C5">
      <w:pPr>
        <w:pStyle w:val="52"/>
        <w:spacing w:line="560" w:lineRule="exact"/>
        <w:ind w:left="0" w:leftChars="0" w:right="0" w:rightChars="0" w:firstLine="560"/>
        <w:rPr>
          <w:rFonts w:hint="eastAsia"/>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月，指标完成率为</w:t>
      </w:r>
      <w:r>
        <w:rPr>
          <w:rFonts w:hint="eastAsia"/>
          <w:color w:val="auto"/>
          <w:highlight w:val="none"/>
          <w:lang w:val="en-US" w:eastAsia="zh-CN"/>
        </w:rPr>
        <w:t>99.73</w:t>
      </w:r>
      <w:r>
        <w:rPr>
          <w:rFonts w:hint="eastAsia"/>
          <w:color w:val="auto"/>
          <w:highlight w:val="none"/>
        </w:rPr>
        <w:t>%。所设分值5分，实际得分</w:t>
      </w:r>
      <w:r>
        <w:rPr>
          <w:rFonts w:hint="eastAsia"/>
          <w:color w:val="auto"/>
          <w:highlight w:val="none"/>
          <w:lang w:val="en-US" w:eastAsia="zh-CN"/>
        </w:rPr>
        <w:t>4.99</w:t>
      </w:r>
      <w:r>
        <w:rPr>
          <w:rFonts w:hint="eastAsia"/>
          <w:color w:val="auto"/>
          <w:highlight w:val="none"/>
        </w:rPr>
        <w:t>分。</w:t>
      </w:r>
    </w:p>
    <w:p w14:paraId="13C21390">
      <w:pPr>
        <w:pStyle w:val="52"/>
        <w:spacing w:line="560" w:lineRule="exact"/>
        <w:ind w:left="0" w:leftChars="0" w:right="0" w:rightChars="0" w:firstLine="560"/>
        <w:rPr>
          <w:rFonts w:hint="eastAsia"/>
          <w:color w:val="auto"/>
          <w:highlight w:val="none"/>
        </w:rPr>
      </w:pPr>
      <w:r>
        <w:rPr>
          <w:rFonts w:hint="eastAsia"/>
          <w:color w:val="auto"/>
          <w:highlight w:val="none"/>
        </w:rPr>
        <w:t>偏差原因：项目提前完工。</w:t>
      </w:r>
    </w:p>
    <w:p w14:paraId="3DF499BC">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31DC68EF">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资金支付</w:t>
      </w:r>
      <w:r>
        <w:rPr>
          <w:rFonts w:hint="eastAsia"/>
          <w:color w:val="auto"/>
          <w:highlight w:val="none"/>
        </w:rPr>
        <w:t>及时率”指标，预期指标值为</w:t>
      </w:r>
      <w:r>
        <w:rPr>
          <w:rFonts w:hint="eastAsia"/>
          <w:color w:val="auto"/>
          <w:highlight w:val="none"/>
          <w:lang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 xml:space="preserve">分。 </w:t>
      </w:r>
      <w:r>
        <w:rPr>
          <w:color w:val="auto"/>
          <w:highlight w:val="none"/>
        </w:rPr>
        <w:t xml:space="preserve">       </w:t>
      </w:r>
    </w:p>
    <w:p w14:paraId="42D7E2B3">
      <w:pPr>
        <w:pStyle w:val="52"/>
        <w:spacing w:line="560" w:lineRule="exact"/>
        <w:ind w:left="0" w:leftChars="0" w:right="0" w:rightChars="0" w:firstLine="560"/>
        <w:rPr>
          <w:color w:val="auto"/>
          <w:highlight w:val="none"/>
        </w:rPr>
      </w:pPr>
      <w:r>
        <w:rPr>
          <w:color w:val="auto"/>
          <w:highlight w:val="none"/>
        </w:rPr>
        <w:t>1.4项目成本节约情况</w:t>
      </w:r>
    </w:p>
    <w:p w14:paraId="2B2EE63E">
      <w:pPr>
        <w:pStyle w:val="52"/>
        <w:spacing w:line="560" w:lineRule="exact"/>
        <w:ind w:left="0" w:leftChars="0" w:right="0" w:rightChars="0" w:firstLine="560"/>
        <w:rPr>
          <w:color w:val="auto"/>
          <w:highlight w:val="none"/>
        </w:rPr>
      </w:pPr>
      <w:r>
        <w:rPr>
          <w:rFonts w:hint="eastAsia"/>
          <w:color w:val="auto"/>
          <w:highlight w:val="none"/>
        </w:rPr>
        <w:t>为有效控制项目实施成本，我单位在实施项目前就该项目设定了成本控制指标，实施过程中我单位通过公开招标的方式有效降低了项目执行成本，具体指标设置及完成情况如下：</w:t>
      </w:r>
    </w:p>
    <w:p w14:paraId="3A61795C">
      <w:pPr>
        <w:pStyle w:val="33"/>
        <w:rPr>
          <w:rFonts w:hint="eastAsia"/>
          <w:color w:val="auto"/>
          <w:highlight w:val="none"/>
          <w:lang w:val="en-US" w:eastAsia="zh-CN"/>
        </w:rPr>
      </w:pPr>
      <w:r>
        <w:rPr>
          <w:rFonts w:hint="eastAsia"/>
          <w:color w:val="auto"/>
          <w:highlight w:val="none"/>
        </w:rPr>
        <w:t>“工程</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441.13</w:t>
      </w:r>
      <w:r>
        <w:rPr>
          <w:rFonts w:hint="eastAsia"/>
          <w:color w:val="auto"/>
          <w:highlight w:val="none"/>
        </w:rPr>
        <w:t>万元, 全年实际值为</w:t>
      </w:r>
      <w:r>
        <w:rPr>
          <w:rFonts w:hint="eastAsia"/>
          <w:color w:val="auto"/>
          <w:highlight w:val="none"/>
          <w:lang w:val="en-US" w:eastAsia="zh-CN"/>
        </w:rPr>
        <w:t>463.04</w:t>
      </w:r>
      <w:r>
        <w:rPr>
          <w:rFonts w:hint="eastAsia"/>
          <w:color w:val="auto"/>
          <w:highlight w:val="none"/>
        </w:rPr>
        <w:t>万元，指标完成率为</w:t>
      </w:r>
      <w:r>
        <w:rPr>
          <w:rFonts w:hint="eastAsia"/>
          <w:color w:val="auto"/>
          <w:highlight w:val="none"/>
          <w:lang w:val="en-US" w:eastAsia="zh-CN"/>
        </w:rPr>
        <w:t>95</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5.7</w:t>
      </w:r>
      <w:r>
        <w:rPr>
          <w:rFonts w:hint="eastAsia"/>
          <w:color w:val="auto"/>
          <w:highlight w:val="none"/>
        </w:rPr>
        <w:t>分。</w:t>
      </w:r>
      <w:r>
        <w:rPr>
          <w:rFonts w:hint="eastAsia"/>
          <w:color w:val="auto"/>
          <w:highlight w:val="none"/>
          <w:lang w:val="en-US" w:eastAsia="zh-CN"/>
        </w:rPr>
        <w:t xml:space="preserve"> </w:t>
      </w:r>
    </w:p>
    <w:p w14:paraId="3E6B9A0D">
      <w:pPr>
        <w:pStyle w:val="33"/>
        <w:rPr>
          <w:rFonts w:hint="eastAsia"/>
          <w:color w:val="auto"/>
          <w:highlight w:val="none"/>
        </w:rPr>
      </w:pPr>
      <w:r>
        <w:rPr>
          <w:rFonts w:hint="eastAsia"/>
          <w:color w:val="auto"/>
          <w:highlight w:val="none"/>
        </w:rPr>
        <w:t>偏差原因：项目已完工，经决算审定投资486.96万元，剩余资金结余退回财政。</w:t>
      </w:r>
    </w:p>
    <w:p w14:paraId="261F5954">
      <w:pPr>
        <w:pStyle w:val="33"/>
        <w:rPr>
          <w:b/>
          <w:color w:val="auto"/>
          <w:highlight w:val="none"/>
        </w:rPr>
      </w:pPr>
      <w:r>
        <w:rPr>
          <w:rFonts w:hint="eastAsia"/>
          <w:color w:val="auto"/>
          <w:highlight w:val="none"/>
        </w:rPr>
        <w:t>改进措施：加强项目预算管理。</w:t>
      </w:r>
    </w:p>
    <w:p w14:paraId="1BAC0D3C">
      <w:pPr>
        <w:pStyle w:val="33"/>
        <w:rPr>
          <w:rFonts w:hint="eastAsia"/>
          <w:color w:val="auto"/>
          <w:highlight w:val="none"/>
        </w:rPr>
      </w:pPr>
      <w:r>
        <w:rPr>
          <w:rFonts w:hint="eastAsia"/>
          <w:color w:val="auto"/>
          <w:highlight w:val="none"/>
        </w:rPr>
        <w:t>“</w:t>
      </w:r>
      <w:r>
        <w:rPr>
          <w:rFonts w:hint="eastAsia"/>
          <w:color w:val="auto"/>
          <w:highlight w:val="none"/>
          <w:lang w:val="en-US" w:eastAsia="zh-CN"/>
        </w:rPr>
        <w:t>工程建设其他费用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58.87</w:t>
      </w:r>
      <w:r>
        <w:rPr>
          <w:rFonts w:hint="eastAsia"/>
          <w:color w:val="auto"/>
          <w:highlight w:val="none"/>
        </w:rPr>
        <w:t>万元, 全年实际值为</w:t>
      </w:r>
      <w:r>
        <w:rPr>
          <w:rFonts w:hint="eastAsia"/>
          <w:color w:val="auto"/>
          <w:highlight w:val="none"/>
          <w:lang w:val="en-US" w:eastAsia="zh-CN"/>
        </w:rPr>
        <w:t>23.92</w:t>
      </w:r>
      <w:r>
        <w:rPr>
          <w:rFonts w:hint="eastAsia"/>
          <w:color w:val="auto"/>
          <w:highlight w:val="none"/>
        </w:rPr>
        <w:t>万元，指标完成率为</w:t>
      </w:r>
      <w:r>
        <w:rPr>
          <w:rFonts w:hint="eastAsia"/>
          <w:color w:val="auto"/>
          <w:highlight w:val="none"/>
          <w:lang w:val="en-US" w:eastAsia="zh-CN"/>
        </w:rPr>
        <w:t>40.63</w:t>
      </w:r>
      <w:r>
        <w:rPr>
          <w:rFonts w:hint="eastAsia"/>
          <w:color w:val="auto"/>
          <w:highlight w:val="none"/>
        </w:rPr>
        <w:t>%。所设分值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2.44</w:t>
      </w:r>
      <w:r>
        <w:rPr>
          <w:rFonts w:hint="eastAsia"/>
          <w:color w:val="auto"/>
          <w:highlight w:val="none"/>
        </w:rPr>
        <w:t>分。</w:t>
      </w:r>
    </w:p>
    <w:p w14:paraId="480C3324">
      <w:pPr>
        <w:pStyle w:val="33"/>
        <w:rPr>
          <w:rFonts w:hint="eastAsia"/>
          <w:color w:val="auto"/>
          <w:highlight w:val="none"/>
        </w:rPr>
      </w:pPr>
      <w:r>
        <w:rPr>
          <w:rFonts w:hint="eastAsia"/>
          <w:color w:val="auto"/>
          <w:highlight w:val="none"/>
        </w:rPr>
        <w:t>偏差原因：项目已完工，经决算审定投资486.96万元，剩余资金结余退回财政。</w:t>
      </w:r>
    </w:p>
    <w:p w14:paraId="3CE9C27F">
      <w:pPr>
        <w:pStyle w:val="33"/>
        <w:rPr>
          <w:rFonts w:hint="eastAsia" w:eastAsia="仿宋_GB2312"/>
          <w:color w:val="auto"/>
          <w:highlight w:val="none"/>
          <w:lang w:eastAsia="zh-CN"/>
        </w:rPr>
      </w:pPr>
      <w:r>
        <w:rPr>
          <w:rFonts w:hint="eastAsia"/>
          <w:color w:val="auto"/>
          <w:highlight w:val="none"/>
        </w:rPr>
        <w:t>改进措施：加强项目预算管理</w:t>
      </w:r>
      <w:r>
        <w:rPr>
          <w:rFonts w:hint="eastAsia"/>
          <w:color w:val="auto"/>
          <w:highlight w:val="none"/>
          <w:lang w:eastAsia="zh-CN"/>
        </w:rPr>
        <w:t>。</w:t>
      </w:r>
    </w:p>
    <w:p w14:paraId="2A5112E9">
      <w:pPr>
        <w:pStyle w:val="33"/>
        <w:rPr>
          <w:b/>
          <w:bCs w:val="0"/>
          <w:color w:val="auto"/>
          <w:highlight w:val="none"/>
        </w:rPr>
      </w:pPr>
      <w:r>
        <w:rPr>
          <w:rFonts w:hint="eastAsia"/>
          <w:b/>
          <w:bCs w:val="0"/>
          <w:color w:val="auto"/>
          <w:highlight w:val="none"/>
        </w:rPr>
        <w:t>2.效益指标完成情况分析</w:t>
      </w:r>
    </w:p>
    <w:p w14:paraId="556CD8D2">
      <w:pPr>
        <w:pStyle w:val="52"/>
        <w:spacing w:line="560" w:lineRule="exact"/>
        <w:ind w:left="0" w:leftChars="0" w:right="0" w:rightChars="0" w:firstLine="560"/>
        <w:rPr>
          <w:color w:val="auto"/>
          <w:highlight w:val="none"/>
        </w:rPr>
      </w:pPr>
      <w:r>
        <w:rPr>
          <w:color w:val="auto"/>
          <w:highlight w:val="none"/>
        </w:rPr>
        <w:t>2.1项目实施的社会效益分析</w:t>
      </w:r>
    </w:p>
    <w:p w14:paraId="285544E0">
      <w:pPr>
        <w:pStyle w:val="52"/>
        <w:spacing w:line="560" w:lineRule="exact"/>
        <w:ind w:left="0" w:leftChars="0" w:right="0" w:rightChars="0" w:firstLine="560"/>
        <w:rPr>
          <w:color w:val="auto"/>
          <w:highlight w:val="none"/>
        </w:rPr>
      </w:pPr>
      <w:r>
        <w:rPr>
          <w:rFonts w:hint="eastAsia"/>
          <w:color w:val="auto"/>
          <w:highlight w:val="none"/>
        </w:rPr>
        <w:t>“</w:t>
      </w:r>
      <w:r>
        <w:rPr>
          <w:rFonts w:hint="eastAsia"/>
          <w:color w:val="auto"/>
          <w:highlight w:val="none"/>
          <w:lang w:val="en-US" w:eastAsia="zh-CN"/>
        </w:rPr>
        <w:t>提升于田县旅游整体形象</w:t>
      </w:r>
      <w:r>
        <w:rPr>
          <w:rFonts w:hint="eastAsia"/>
          <w:color w:val="auto"/>
          <w:highlight w:val="none"/>
        </w:rPr>
        <w:t>”指标，指标预期值为</w:t>
      </w:r>
      <w:r>
        <w:rPr>
          <w:rFonts w:hint="eastAsia"/>
          <w:color w:val="auto"/>
          <w:highlight w:val="none"/>
          <w:lang w:eastAsia="zh-CN"/>
        </w:rPr>
        <w:t>“</w:t>
      </w:r>
      <w:r>
        <w:rPr>
          <w:rFonts w:hint="eastAsia"/>
          <w:color w:val="auto"/>
          <w:highlight w:val="none"/>
          <w:lang w:val="en-US" w:eastAsia="zh-CN"/>
        </w:rPr>
        <w:t>明显提升</w:t>
      </w:r>
      <w:r>
        <w:rPr>
          <w:rFonts w:hint="eastAsia"/>
          <w:color w:val="auto"/>
          <w:highlight w:val="none"/>
          <w:lang w:eastAsia="zh-CN"/>
        </w:rPr>
        <w:t>”</w:t>
      </w:r>
      <w:r>
        <w:rPr>
          <w:rFonts w:hint="eastAsia"/>
          <w:color w:val="auto"/>
          <w:highlight w:val="none"/>
        </w:rPr>
        <w:t>，实际完成值为</w:t>
      </w:r>
      <w:r>
        <w:rPr>
          <w:rFonts w:hint="eastAsia"/>
          <w:color w:val="auto"/>
          <w:highlight w:val="none"/>
          <w:lang w:eastAsia="zh-CN"/>
        </w:rPr>
        <w:t>“</w:t>
      </w:r>
      <w:r>
        <w:rPr>
          <w:rFonts w:hint="eastAsia"/>
          <w:color w:val="auto"/>
          <w:highlight w:val="none"/>
          <w:lang w:val="en-US" w:eastAsia="zh-CN"/>
        </w:rPr>
        <w:t>达成预期指标</w:t>
      </w:r>
      <w:r>
        <w:rPr>
          <w:rFonts w:hint="eastAsia"/>
          <w:color w:val="auto"/>
          <w:highlight w:val="none"/>
          <w:lang w:eastAsia="zh-CN"/>
        </w:rPr>
        <w:t>”</w:t>
      </w:r>
      <w:r>
        <w:rPr>
          <w:rFonts w:hint="eastAsia"/>
          <w:color w:val="auto"/>
          <w:highlight w:val="none"/>
        </w:rPr>
        <w:t>，指标完成率为100.00%。所设分值</w:t>
      </w:r>
      <w:r>
        <w:rPr>
          <w:rFonts w:hint="eastAsia"/>
          <w:color w:val="auto"/>
          <w:highlight w:val="none"/>
          <w:lang w:val="en-US" w:eastAsia="zh-CN"/>
        </w:rPr>
        <w:t>30</w:t>
      </w:r>
      <w:r>
        <w:rPr>
          <w:rFonts w:hint="eastAsia"/>
          <w:color w:val="auto"/>
          <w:highlight w:val="none"/>
        </w:rPr>
        <w:t>分，实际得分</w:t>
      </w:r>
      <w:r>
        <w:rPr>
          <w:rFonts w:hint="eastAsia"/>
          <w:color w:val="auto"/>
          <w:highlight w:val="none"/>
          <w:lang w:val="en-US" w:eastAsia="zh-CN"/>
        </w:rPr>
        <w:t>30</w:t>
      </w:r>
      <w:r>
        <w:rPr>
          <w:rFonts w:hint="eastAsia"/>
          <w:color w:val="auto"/>
          <w:highlight w:val="none"/>
        </w:rPr>
        <w:t>分。</w:t>
      </w:r>
    </w:p>
    <w:p w14:paraId="3A435038">
      <w:pPr>
        <w:pStyle w:val="33"/>
        <w:rPr>
          <w:b/>
          <w:bCs w:val="0"/>
          <w:color w:val="auto"/>
          <w:highlight w:val="none"/>
        </w:rPr>
      </w:pPr>
      <w:r>
        <w:rPr>
          <w:rFonts w:hint="eastAsia"/>
          <w:b/>
          <w:bCs w:val="0"/>
          <w:color w:val="auto"/>
          <w:highlight w:val="none"/>
        </w:rPr>
        <w:t>3.满意度指标完成情况分析</w:t>
      </w:r>
    </w:p>
    <w:p w14:paraId="5D5C71B8">
      <w:pPr>
        <w:spacing w:line="560" w:lineRule="exact"/>
        <w:ind w:firstLine="544" w:firstLineChars="200"/>
        <w:rPr>
          <w:rFonts w:hint="eastAsia" w:ascii="Times New Roman" w:hAnsi="Times New Roman" w:eastAsia="仿宋_GB2312" w:cs="Times New Roman"/>
          <w:color w:val="auto"/>
          <w:kern w:val="2"/>
          <w:sz w:val="28"/>
          <w:szCs w:val="22"/>
          <w:highlight w:val="none"/>
          <w:lang w:val="en-US" w:eastAsia="zh-CN" w:bidi="ar-SA"/>
        </w:rPr>
      </w:pPr>
      <w:r>
        <w:rPr>
          <w:rFonts w:hint="eastAsia" w:ascii="仿宋_GB2312" w:hAnsi="Times New Roman" w:eastAsia="仿宋_GB2312" w:cs="Times New Roman"/>
          <w:bCs/>
          <w:color w:val="auto"/>
          <w:spacing w:val="-4"/>
          <w:sz w:val="28"/>
          <w:szCs w:val="28"/>
          <w:highlight w:val="none"/>
        </w:rPr>
        <w:t>“</w:t>
      </w:r>
      <w:r>
        <w:rPr>
          <w:rFonts w:hint="eastAsia" w:ascii="仿宋_GB2312" w:hAnsi="Times New Roman" w:eastAsia="仿宋_GB2312" w:cs="Times New Roman"/>
          <w:bCs/>
          <w:color w:val="auto"/>
          <w:spacing w:val="-4"/>
          <w:sz w:val="28"/>
          <w:szCs w:val="28"/>
          <w:highlight w:val="none"/>
          <w:lang w:val="en-US" w:eastAsia="zh-CN"/>
        </w:rPr>
        <w:t>游客</w:t>
      </w:r>
      <w:r>
        <w:rPr>
          <w:rFonts w:hint="eastAsia" w:ascii="仿宋_GB2312" w:hAnsi="Times New Roman" w:eastAsia="仿宋_GB2312" w:cs="Times New Roman"/>
          <w:bCs/>
          <w:color w:val="auto"/>
          <w:spacing w:val="-4"/>
          <w:sz w:val="28"/>
          <w:szCs w:val="28"/>
          <w:highlight w:val="none"/>
        </w:rPr>
        <w:t>满意度”指标，指标预期指标值为</w:t>
      </w:r>
      <w:r>
        <w:rPr>
          <w:rFonts w:hint="eastAsia" w:ascii="仿宋_GB2312" w:hAnsi="Times New Roman" w:eastAsia="仿宋_GB2312" w:cs="Times New Roman"/>
          <w:bCs/>
          <w:color w:val="auto"/>
          <w:spacing w:val="-4"/>
          <w:sz w:val="28"/>
          <w:szCs w:val="28"/>
          <w:highlight w:val="none"/>
          <w:lang w:eastAsia="zh-CN"/>
        </w:rPr>
        <w:t>大于等于</w:t>
      </w:r>
      <w:r>
        <w:rPr>
          <w:rFonts w:hint="eastAsia" w:ascii="仿宋_GB2312" w:hAnsi="Times New Roman" w:eastAsia="仿宋_GB2312" w:cs="Times New Roman"/>
          <w:bCs/>
          <w:color w:val="auto"/>
          <w:spacing w:val="-4"/>
          <w:sz w:val="28"/>
          <w:szCs w:val="28"/>
          <w:highlight w:val="none"/>
        </w:rPr>
        <w:t>95%，实际完成值为95%，</w:t>
      </w:r>
      <w:r>
        <w:rPr>
          <w:rFonts w:hint="eastAsia" w:ascii="Times New Roman" w:hAnsi="Times New Roman" w:eastAsia="仿宋_GB2312" w:cs="Times New Roman"/>
          <w:color w:val="auto"/>
          <w:kern w:val="2"/>
          <w:sz w:val="28"/>
          <w:szCs w:val="22"/>
          <w:highlight w:val="none"/>
          <w:lang w:val="en-US" w:eastAsia="zh-CN" w:bidi="ar-SA"/>
        </w:rPr>
        <w:t>指标完成率为100.00%。所设分值10分，实际得分10分。</w:t>
      </w:r>
    </w:p>
    <w:p w14:paraId="3955913A">
      <w:pPr>
        <w:spacing w:line="560" w:lineRule="exact"/>
        <w:ind w:firstLine="560" w:firstLineChars="200"/>
        <w:rPr>
          <w:rFonts w:hint="eastAsia" w:ascii="Times New Roman" w:hAnsi="Times New Roman" w:eastAsia="仿宋_GB2312" w:cs="Times New Roman"/>
          <w:color w:val="auto"/>
          <w:kern w:val="2"/>
          <w:sz w:val="28"/>
          <w:szCs w:val="22"/>
          <w:highlight w:val="none"/>
          <w:lang w:val="en-US" w:eastAsia="zh-CN" w:bidi="ar-SA"/>
        </w:rPr>
      </w:pPr>
      <w:r>
        <w:rPr>
          <w:rFonts w:hint="eastAsia" w:ascii="Times New Roman" w:hAnsi="Times New Roman" w:eastAsia="仿宋_GB2312" w:cs="Times New Roman"/>
          <w:color w:val="auto"/>
          <w:kern w:val="2"/>
          <w:sz w:val="28"/>
          <w:szCs w:val="22"/>
          <w:highlight w:val="none"/>
          <w:lang w:val="en-US" w:eastAsia="zh-CN" w:bidi="ar-SA"/>
        </w:rPr>
        <w:t>项目实施完成后我单位就该项目的满意度采取抽样发放调查问卷的方式开展调查，通过对调查问卷的梳理和统计，</w:t>
      </w:r>
      <w:r>
        <w:rPr>
          <w:rFonts w:hint="eastAsia" w:ascii="仿宋_GB2312" w:hAnsi="Times New Roman" w:eastAsia="仿宋_GB2312" w:cs="Times New Roman"/>
          <w:bCs/>
          <w:color w:val="auto"/>
          <w:spacing w:val="-4"/>
          <w:sz w:val="28"/>
          <w:szCs w:val="28"/>
          <w:highlight w:val="none"/>
          <w:lang w:val="en-US" w:eastAsia="zh-CN"/>
        </w:rPr>
        <w:t>游客</w:t>
      </w:r>
      <w:r>
        <w:rPr>
          <w:rFonts w:hint="eastAsia" w:ascii="Times New Roman" w:hAnsi="Times New Roman" w:eastAsia="仿宋_GB2312" w:cs="Times New Roman"/>
          <w:color w:val="auto"/>
          <w:kern w:val="2"/>
          <w:sz w:val="28"/>
          <w:szCs w:val="22"/>
          <w:highlight w:val="none"/>
          <w:lang w:val="en-US" w:eastAsia="zh-CN" w:bidi="ar-SA"/>
        </w:rPr>
        <w:t>满意度指标综合满意率为95.00%。</w:t>
      </w:r>
    </w:p>
    <w:p w14:paraId="3DBB07C7">
      <w:pPr>
        <w:pStyle w:val="29"/>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42DE0300">
      <w:pPr>
        <w:pStyle w:val="52"/>
        <w:spacing w:line="560" w:lineRule="exact"/>
        <w:ind w:left="0" w:leftChars="0" w:right="0" w:rightChars="0" w:firstLine="560"/>
        <w:rPr>
          <w:rFonts w:hint="eastAsia"/>
          <w:color w:val="auto"/>
          <w:highlight w:val="none"/>
        </w:rPr>
      </w:pPr>
      <w:r>
        <w:rPr>
          <w:rFonts w:hint="eastAsia" w:ascii="仿宋_GB2312"/>
          <w:color w:val="auto"/>
          <w:spacing w:val="-4"/>
          <w:szCs w:val="32"/>
          <w:highlight w:val="none"/>
          <w:lang w:val="en-US" w:eastAsia="zh-CN"/>
        </w:rPr>
        <w:t>1.时效指标-</w:t>
      </w: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10</w:t>
      </w:r>
      <w:r>
        <w:rPr>
          <w:rFonts w:hint="eastAsia"/>
          <w:color w:val="auto"/>
          <w:highlight w:val="none"/>
        </w:rPr>
        <w:t>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6</w:t>
      </w:r>
      <w:r>
        <w:rPr>
          <w:rFonts w:hint="eastAsia"/>
          <w:color w:val="auto"/>
          <w:highlight w:val="none"/>
        </w:rPr>
        <w:t>月。</w:t>
      </w:r>
    </w:p>
    <w:p w14:paraId="565FB84F">
      <w:pPr>
        <w:pStyle w:val="52"/>
        <w:spacing w:line="560" w:lineRule="exact"/>
        <w:ind w:left="0" w:leftChars="0" w:right="0" w:rightChars="0" w:firstLine="560"/>
        <w:rPr>
          <w:rFonts w:hint="eastAsia"/>
          <w:color w:val="auto"/>
          <w:highlight w:val="none"/>
        </w:rPr>
      </w:pPr>
      <w:r>
        <w:rPr>
          <w:rFonts w:hint="eastAsia"/>
          <w:color w:val="auto"/>
          <w:highlight w:val="none"/>
        </w:rPr>
        <w:t>偏差原因：项目提前完工。</w:t>
      </w:r>
    </w:p>
    <w:p w14:paraId="41E0E3E6">
      <w:pPr>
        <w:pStyle w:val="52"/>
        <w:spacing w:line="560" w:lineRule="exact"/>
        <w:ind w:left="0" w:leftChars="0" w:right="0" w:rightChars="0" w:firstLine="560"/>
        <w:rPr>
          <w:rFonts w:hint="eastAsia"/>
          <w:color w:val="auto"/>
          <w:highlight w:val="none"/>
        </w:rPr>
      </w:pPr>
      <w:r>
        <w:rPr>
          <w:rFonts w:hint="eastAsia"/>
          <w:color w:val="auto"/>
          <w:highlight w:val="none"/>
        </w:rPr>
        <w:t>改进措施：加强项目管理。</w:t>
      </w:r>
    </w:p>
    <w:p w14:paraId="72EE5A25">
      <w:pPr>
        <w:pStyle w:val="33"/>
        <w:rPr>
          <w:rFonts w:hint="eastAsia"/>
          <w:color w:val="auto"/>
          <w:highlight w:val="none"/>
          <w:lang w:val="en-US" w:eastAsia="zh-CN"/>
        </w:rPr>
      </w:pPr>
      <w:r>
        <w:rPr>
          <w:rFonts w:hint="eastAsia" w:ascii="仿宋_GB2312"/>
          <w:color w:val="auto"/>
          <w:spacing w:val="-4"/>
          <w:szCs w:val="32"/>
          <w:highlight w:val="none"/>
          <w:lang w:val="en-US" w:eastAsia="zh-CN"/>
        </w:rPr>
        <w:t>2.成本指标-</w:t>
      </w:r>
      <w:r>
        <w:rPr>
          <w:rFonts w:hint="eastAsia"/>
          <w:color w:val="auto"/>
          <w:highlight w:val="none"/>
        </w:rPr>
        <w:t>“工程</w:t>
      </w:r>
      <w:r>
        <w:rPr>
          <w:rFonts w:hint="eastAsia"/>
          <w:color w:val="auto"/>
          <w:highlight w:val="none"/>
          <w:lang w:val="en-US" w:eastAsia="zh-CN"/>
        </w:rPr>
        <w:t>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441.13</w:t>
      </w:r>
      <w:r>
        <w:rPr>
          <w:rFonts w:hint="eastAsia"/>
          <w:color w:val="auto"/>
          <w:highlight w:val="none"/>
        </w:rPr>
        <w:t>万元, 全年实际值为</w:t>
      </w:r>
      <w:r>
        <w:rPr>
          <w:rFonts w:hint="eastAsia"/>
          <w:color w:val="auto"/>
          <w:highlight w:val="none"/>
          <w:lang w:val="en-US" w:eastAsia="zh-CN"/>
        </w:rPr>
        <w:t>463.04</w:t>
      </w:r>
      <w:r>
        <w:rPr>
          <w:rFonts w:hint="eastAsia"/>
          <w:color w:val="auto"/>
          <w:highlight w:val="none"/>
        </w:rPr>
        <w:t>万元。</w:t>
      </w:r>
      <w:r>
        <w:rPr>
          <w:rFonts w:hint="eastAsia"/>
          <w:color w:val="auto"/>
          <w:highlight w:val="none"/>
          <w:lang w:val="en-US" w:eastAsia="zh-CN"/>
        </w:rPr>
        <w:t xml:space="preserve"> </w:t>
      </w:r>
    </w:p>
    <w:p w14:paraId="52B4C6C2">
      <w:pPr>
        <w:pStyle w:val="33"/>
        <w:rPr>
          <w:rFonts w:hint="eastAsia"/>
          <w:color w:val="auto"/>
          <w:highlight w:val="none"/>
        </w:rPr>
      </w:pPr>
      <w:r>
        <w:rPr>
          <w:rFonts w:hint="eastAsia"/>
          <w:color w:val="auto"/>
          <w:highlight w:val="none"/>
        </w:rPr>
        <w:t>偏差原因：项目已完工，经决算审定投资486.96万元，剩余资金结余退回财政。</w:t>
      </w:r>
    </w:p>
    <w:p w14:paraId="2A787605">
      <w:pPr>
        <w:pStyle w:val="33"/>
        <w:rPr>
          <w:b/>
          <w:color w:val="auto"/>
          <w:highlight w:val="none"/>
        </w:rPr>
      </w:pPr>
      <w:r>
        <w:rPr>
          <w:rFonts w:hint="eastAsia"/>
          <w:color w:val="auto"/>
          <w:highlight w:val="none"/>
        </w:rPr>
        <w:t>改进措施：加强项目预算管理。</w:t>
      </w:r>
    </w:p>
    <w:p w14:paraId="13A20F28">
      <w:pPr>
        <w:pStyle w:val="33"/>
        <w:rPr>
          <w:rFonts w:hint="eastAsia"/>
          <w:color w:val="auto"/>
          <w:highlight w:val="none"/>
        </w:rPr>
      </w:pPr>
      <w:r>
        <w:rPr>
          <w:rFonts w:hint="eastAsia"/>
          <w:color w:val="auto"/>
          <w:highlight w:val="none"/>
          <w:lang w:val="en-US" w:eastAsia="zh-CN"/>
        </w:rPr>
        <w:t>3.成本指标-</w:t>
      </w:r>
      <w:r>
        <w:rPr>
          <w:rFonts w:hint="eastAsia"/>
          <w:color w:val="auto"/>
          <w:highlight w:val="none"/>
        </w:rPr>
        <w:t>“</w:t>
      </w:r>
      <w:r>
        <w:rPr>
          <w:rFonts w:hint="eastAsia"/>
          <w:color w:val="auto"/>
          <w:highlight w:val="none"/>
          <w:lang w:val="en-US" w:eastAsia="zh-CN"/>
        </w:rPr>
        <w:t>工程建设其他费用</w:t>
      </w:r>
      <w:r>
        <w:rPr>
          <w:rFonts w:hint="eastAsia"/>
          <w:color w:val="auto"/>
          <w:highlight w:val="none"/>
        </w:rPr>
        <w:t>”指标，预期指标值为</w:t>
      </w:r>
      <w:r>
        <w:rPr>
          <w:rFonts w:hint="eastAsia"/>
          <w:color w:val="auto"/>
          <w:highlight w:val="none"/>
          <w:lang w:eastAsia="zh-CN"/>
        </w:rPr>
        <w:t>小于等于</w:t>
      </w:r>
      <w:r>
        <w:rPr>
          <w:rFonts w:hint="eastAsia"/>
          <w:color w:val="auto"/>
          <w:highlight w:val="none"/>
          <w:lang w:val="en-US" w:eastAsia="zh-CN"/>
        </w:rPr>
        <w:t>58.87</w:t>
      </w:r>
      <w:r>
        <w:rPr>
          <w:rFonts w:hint="eastAsia"/>
          <w:color w:val="auto"/>
          <w:highlight w:val="none"/>
        </w:rPr>
        <w:t>万元, 全年实际值为</w:t>
      </w:r>
      <w:r>
        <w:rPr>
          <w:rFonts w:hint="eastAsia"/>
          <w:color w:val="auto"/>
          <w:highlight w:val="none"/>
          <w:lang w:val="en-US" w:eastAsia="zh-CN"/>
        </w:rPr>
        <w:t>23.92</w:t>
      </w:r>
      <w:r>
        <w:rPr>
          <w:rFonts w:hint="eastAsia"/>
          <w:color w:val="auto"/>
          <w:highlight w:val="none"/>
        </w:rPr>
        <w:t>万元。</w:t>
      </w:r>
    </w:p>
    <w:p w14:paraId="3C1EDDB0">
      <w:pPr>
        <w:pStyle w:val="33"/>
        <w:rPr>
          <w:rFonts w:hint="eastAsia"/>
          <w:color w:val="auto"/>
          <w:highlight w:val="none"/>
        </w:rPr>
      </w:pPr>
      <w:r>
        <w:rPr>
          <w:rFonts w:hint="eastAsia"/>
          <w:color w:val="auto"/>
          <w:highlight w:val="none"/>
        </w:rPr>
        <w:t>偏差原因：项目已完工，经决算审定投资486.96万元，剩余资金结余退回财政。</w:t>
      </w:r>
    </w:p>
    <w:p w14:paraId="71A0447D">
      <w:pPr>
        <w:pStyle w:val="33"/>
        <w:rPr>
          <w:rFonts w:hint="eastAsia" w:eastAsia="仿宋_GB2312"/>
          <w:color w:val="auto"/>
          <w:highlight w:val="none"/>
          <w:lang w:eastAsia="zh-CN"/>
        </w:rPr>
      </w:pPr>
      <w:r>
        <w:rPr>
          <w:rFonts w:hint="eastAsia"/>
          <w:color w:val="auto"/>
          <w:highlight w:val="none"/>
        </w:rPr>
        <w:t>改进措施：加强项目预算管理</w:t>
      </w:r>
      <w:r>
        <w:rPr>
          <w:rFonts w:hint="eastAsia"/>
          <w:color w:val="auto"/>
          <w:highlight w:val="none"/>
          <w:lang w:eastAsia="zh-CN"/>
        </w:rPr>
        <w:t>。</w:t>
      </w:r>
    </w:p>
    <w:p w14:paraId="304EB0AC">
      <w:pPr>
        <w:pStyle w:val="29"/>
        <w:spacing w:before="120"/>
        <w:ind w:left="0" w:leftChars="0" w:right="3" w:firstLine="562" w:firstLineChars="200"/>
        <w:rPr>
          <w:color w:val="auto"/>
          <w:highlight w:val="none"/>
        </w:rPr>
      </w:pPr>
      <w:r>
        <w:rPr>
          <w:rFonts w:hint="eastAsia"/>
          <w:color w:val="auto"/>
          <w:highlight w:val="none"/>
        </w:rPr>
        <w:t>五、绩效自评结果拟应用和公开情况</w:t>
      </w:r>
    </w:p>
    <w:p w14:paraId="775B6A4F">
      <w:pPr>
        <w:pStyle w:val="52"/>
        <w:spacing w:line="560" w:lineRule="exact"/>
        <w:ind w:left="3" w:right="3" w:firstLine="560"/>
        <w:rPr>
          <w:rFonts w:ascii="仿宋_GB2312"/>
          <w:color w:val="auto"/>
          <w:highlight w:val="none"/>
        </w:rPr>
      </w:pPr>
      <w:r>
        <w:rPr>
          <w:rFonts w:hint="eastAsia" w:ascii="仿宋_GB2312"/>
          <w:color w:val="auto"/>
          <w:highlight w:val="none"/>
        </w:rPr>
        <w:t>项目本次评价通过文件研读、实地调研、数据采集、问卷调查方式下，全面了解</w:t>
      </w:r>
      <w:r>
        <w:rPr>
          <w:rFonts w:hint="eastAsia" w:ascii="仿宋_GB2312"/>
          <w:color w:val="auto"/>
          <w:highlight w:val="none"/>
          <w:lang w:eastAsia="zh-CN"/>
        </w:rPr>
        <w:t>于田县达里雅布依老村民宿改造提升项目</w:t>
      </w:r>
      <w:r>
        <w:rPr>
          <w:rFonts w:hint="eastAsia" w:ascii="仿宋_GB2312"/>
          <w:color w:val="auto"/>
          <w:highlight w:val="none"/>
        </w:rPr>
        <w:t>资金的使用效率和效果，从而得出以下综合评价结论：在绩效目标方面，本项目共设置一级指标3个，二级指标</w:t>
      </w:r>
      <w:r>
        <w:rPr>
          <w:rFonts w:hint="eastAsia" w:ascii="仿宋_GB2312"/>
          <w:color w:val="auto"/>
          <w:highlight w:val="none"/>
          <w:lang w:val="en-US" w:eastAsia="zh-CN"/>
        </w:rPr>
        <w:t>6</w:t>
      </w:r>
      <w:r>
        <w:rPr>
          <w:rFonts w:hint="eastAsia" w:ascii="仿宋_GB2312"/>
          <w:color w:val="auto"/>
          <w:highlight w:val="none"/>
        </w:rPr>
        <w:t>个，三级指标</w:t>
      </w:r>
      <w:r>
        <w:rPr>
          <w:rFonts w:hint="eastAsia" w:ascii="仿宋_GB2312"/>
          <w:color w:val="auto"/>
          <w:highlight w:val="none"/>
          <w:lang w:val="en-US" w:eastAsia="zh-CN"/>
        </w:rPr>
        <w:t>11</w:t>
      </w:r>
      <w:r>
        <w:rPr>
          <w:rFonts w:hint="eastAsia" w:ascii="仿宋_GB2312"/>
          <w:color w:val="auto"/>
          <w:highlight w:val="none"/>
        </w:rPr>
        <w:t>个，其中已完成三级指标</w:t>
      </w:r>
      <w:r>
        <w:rPr>
          <w:rFonts w:hint="eastAsia" w:ascii="仿宋_GB2312"/>
          <w:color w:val="auto"/>
          <w:highlight w:val="none"/>
          <w:lang w:val="en-US" w:eastAsia="zh-CN"/>
        </w:rPr>
        <w:t>8</w:t>
      </w:r>
      <w:r>
        <w:rPr>
          <w:rFonts w:hint="eastAsia" w:ascii="仿宋_GB2312"/>
          <w:color w:val="auto"/>
          <w:highlight w:val="none"/>
        </w:rPr>
        <w:t>个，指标完成率为</w:t>
      </w:r>
      <w:r>
        <w:rPr>
          <w:rFonts w:hint="eastAsia" w:ascii="仿宋_GB2312"/>
          <w:color w:val="auto"/>
          <w:highlight w:val="none"/>
          <w:lang w:val="en-US" w:eastAsia="zh-CN"/>
        </w:rPr>
        <w:t>72.73</w:t>
      </w:r>
      <w:r>
        <w:rPr>
          <w:rFonts w:hint="eastAsia" w:ascii="仿宋_GB2312"/>
          <w:color w:val="auto"/>
          <w:highlight w:val="none"/>
        </w:rPr>
        <w:t>%；在资金使用方面，严格按照</w:t>
      </w:r>
      <w:r>
        <w:rPr>
          <w:rFonts w:hint="eastAsia" w:ascii="仿宋_GB2312"/>
          <w:color w:val="auto"/>
          <w:highlight w:val="none"/>
          <w:lang w:val="en-US" w:eastAsia="zh-CN"/>
        </w:rPr>
        <w:t>相关财务管理制度</w:t>
      </w:r>
      <w:r>
        <w:rPr>
          <w:rFonts w:hint="eastAsia" w:ascii="仿宋_GB2312"/>
          <w:color w:val="auto"/>
          <w:highlight w:val="none"/>
        </w:rPr>
        <w:t>执行，保障了资金使用规范、安全，无挪用、截留资金的情况发生。在项目管理方面，制定了《</w:t>
      </w:r>
      <w:r>
        <w:rPr>
          <w:rFonts w:hint="eastAsia" w:ascii="仿宋_GB2312"/>
          <w:color w:val="auto"/>
          <w:highlight w:val="none"/>
          <w:lang w:eastAsia="zh-CN"/>
        </w:rPr>
        <w:t>于田县达里雅布依老村民宿改造提升项目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4AD95D0E">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95.87</w:t>
      </w:r>
      <w:r>
        <w:rPr>
          <w:rFonts w:hint="eastAsia" w:ascii="仿宋_GB2312"/>
          <w:color w:val="auto"/>
          <w:highlight w:val="none"/>
        </w:rPr>
        <w:t>分，评价等级为优。</w:t>
      </w:r>
    </w:p>
    <w:p w14:paraId="6B1ABB24">
      <w:pPr>
        <w:pStyle w:val="52"/>
        <w:spacing w:line="560" w:lineRule="exact"/>
        <w:ind w:left="3" w:right="3" w:firstLine="554"/>
        <w:rPr>
          <w:rStyle w:val="19"/>
          <w:rFonts w:ascii="楷体_GB2312" w:hAnsi="楷体"/>
          <w:color w:val="auto"/>
          <w:spacing w:val="-4"/>
          <w:szCs w:val="32"/>
          <w:highlight w:val="none"/>
        </w:rPr>
      </w:pPr>
      <w:r>
        <w:rPr>
          <w:rStyle w:val="19"/>
          <w:rFonts w:hint="eastAsia" w:ascii="楷体_GB2312" w:hAnsi="楷体"/>
          <w:color w:val="auto"/>
          <w:spacing w:val="-4"/>
          <w:szCs w:val="32"/>
          <w:highlight w:val="none"/>
        </w:rPr>
        <w:t>（一）绩效自评结果拟应用情况</w:t>
      </w:r>
    </w:p>
    <w:p w14:paraId="5AFEB128">
      <w:pPr>
        <w:pStyle w:val="52"/>
        <w:spacing w:line="560" w:lineRule="exact"/>
        <w:ind w:left="3" w:right="3" w:firstLine="560"/>
        <w:rPr>
          <w:rFonts w:ascii="仿宋_GB2312"/>
          <w:color w:val="auto"/>
          <w:highlight w:val="none"/>
        </w:rPr>
      </w:pPr>
      <w:r>
        <w:rPr>
          <w:rFonts w:hint="eastAsia" w:ascii="仿宋_GB2312"/>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5715A9FC">
      <w:pPr>
        <w:spacing w:line="560" w:lineRule="exact"/>
        <w:ind w:firstLine="546" w:firstLineChars="200"/>
        <w:rPr>
          <w:rStyle w:val="19"/>
          <w:rFonts w:ascii="楷体_GB2312" w:hAnsi="楷体" w:cs="Times New Roman"/>
          <w:color w:val="auto"/>
          <w:spacing w:val="-4"/>
          <w:sz w:val="28"/>
          <w:szCs w:val="32"/>
          <w:highlight w:val="none"/>
        </w:rPr>
      </w:pPr>
      <w:r>
        <w:rPr>
          <w:rStyle w:val="19"/>
          <w:rFonts w:hint="eastAsia" w:ascii="楷体_GB2312" w:hAnsi="楷体" w:cs="Times New Roman"/>
          <w:color w:val="auto"/>
          <w:spacing w:val="-4"/>
          <w:sz w:val="28"/>
          <w:szCs w:val="32"/>
          <w:highlight w:val="none"/>
        </w:rPr>
        <w:t>（二）指标佐证材料说明</w:t>
      </w:r>
    </w:p>
    <w:p w14:paraId="1D507125">
      <w:pPr>
        <w:pStyle w:val="52"/>
        <w:spacing w:line="560" w:lineRule="exact"/>
        <w:ind w:left="3" w:right="3" w:firstLine="560"/>
        <w:rPr>
          <w:rFonts w:ascii="仿宋_GB2312"/>
          <w:color w:val="auto"/>
          <w:highlight w:val="none"/>
        </w:rPr>
      </w:pPr>
      <w:r>
        <w:rPr>
          <w:rFonts w:hint="eastAsia" w:ascii="仿宋_GB2312"/>
          <w:color w:val="auto"/>
          <w:highlight w:val="none"/>
        </w:rPr>
        <w:t>项目状况：该项目不存在立项，由于田县</w:t>
      </w:r>
      <w:r>
        <w:rPr>
          <w:rFonts w:hint="eastAsia" w:ascii="仿宋_GB2312"/>
          <w:color w:val="auto"/>
          <w:highlight w:val="none"/>
          <w:lang w:val="en-US" w:eastAsia="zh-CN"/>
        </w:rPr>
        <w:t>文化体育广播电视和旅游局</w:t>
      </w:r>
      <w:r>
        <w:rPr>
          <w:rFonts w:hint="eastAsia" w:ascii="仿宋_GB2312"/>
          <w:color w:val="auto"/>
          <w:highlight w:val="none"/>
        </w:rPr>
        <w:t>负责项目的实施方案，并由于田县</w:t>
      </w:r>
      <w:r>
        <w:rPr>
          <w:rFonts w:hint="eastAsia" w:ascii="仿宋_GB2312"/>
          <w:color w:val="auto"/>
          <w:highlight w:val="none"/>
          <w:lang w:val="en-US" w:eastAsia="zh-CN"/>
        </w:rPr>
        <w:t>发展和改革委员会</w:t>
      </w:r>
      <w:r>
        <w:rPr>
          <w:rFonts w:hint="eastAsia" w:ascii="仿宋_GB2312"/>
          <w:color w:val="auto"/>
          <w:highlight w:val="none"/>
        </w:rPr>
        <w:t>审核后，下发了</w:t>
      </w:r>
      <w:r>
        <w:rPr>
          <w:rFonts w:hint="eastAsia" w:ascii="仿宋_GB2312"/>
          <w:color w:val="auto"/>
          <w:szCs w:val="32"/>
          <w:highlight w:val="none"/>
        </w:rPr>
        <w:t>《关于对</w:t>
      </w:r>
      <w:r>
        <w:rPr>
          <w:rFonts w:hint="eastAsia" w:ascii="仿宋_GB2312" w:hAnsi="Times New Roman" w:eastAsia="仿宋_GB2312" w:cs="Times New Roman"/>
          <w:color w:val="auto"/>
          <w:sz w:val="28"/>
          <w:szCs w:val="32"/>
          <w:highlight w:val="none"/>
        </w:rPr>
        <w:t>于田县达里雅布依老村民宿改造提升项目</w:t>
      </w:r>
      <w:r>
        <w:rPr>
          <w:rFonts w:hint="eastAsia" w:ascii="仿宋_GB2312"/>
          <w:color w:val="auto"/>
          <w:szCs w:val="32"/>
          <w:highlight w:val="none"/>
          <w:lang w:val="en-US" w:eastAsia="zh-CN"/>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发改项目</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130</w:t>
      </w:r>
      <w:r>
        <w:rPr>
          <w:rFonts w:hint="eastAsia" w:ascii="仿宋_GB2312"/>
          <w:color w:val="auto"/>
          <w:szCs w:val="32"/>
          <w:highlight w:val="none"/>
        </w:rPr>
        <w:t>号）</w:t>
      </w:r>
      <w:r>
        <w:rPr>
          <w:rFonts w:hint="eastAsia" w:ascii="仿宋_GB2312"/>
          <w:color w:val="auto"/>
          <w:szCs w:val="32"/>
          <w:highlight w:val="none"/>
          <w:lang w:eastAsia="zh-CN"/>
        </w:rPr>
        <w:t>。</w:t>
      </w:r>
    </w:p>
    <w:p w14:paraId="589349E5">
      <w:pPr>
        <w:pStyle w:val="52"/>
        <w:spacing w:line="560" w:lineRule="exact"/>
        <w:ind w:left="3" w:right="3" w:firstLine="560"/>
        <w:rPr>
          <w:rFonts w:ascii="仿宋_GB2312"/>
          <w:color w:val="auto"/>
          <w:highlight w:val="none"/>
        </w:rPr>
      </w:pPr>
      <w:r>
        <w:rPr>
          <w:rFonts w:hint="eastAsia" w:ascii="仿宋_GB2312"/>
          <w:color w:val="auto"/>
          <w:highlight w:val="none"/>
        </w:rPr>
        <w:t>资金状况：预算资金来源为</w:t>
      </w:r>
      <w:r>
        <w:rPr>
          <w:rFonts w:hint="eastAsia" w:ascii="仿宋_GB2312"/>
          <w:color w:val="auto"/>
          <w:highlight w:val="none"/>
          <w:lang w:val="en-US" w:eastAsia="zh-CN"/>
        </w:rPr>
        <w:t>乡村振兴衔接资金</w:t>
      </w:r>
      <w:r>
        <w:rPr>
          <w:rFonts w:hint="eastAsia" w:ascii="仿宋_GB2312"/>
          <w:color w:val="auto"/>
          <w:highlight w:val="none"/>
        </w:rPr>
        <w:t>，文件依据：</w:t>
      </w:r>
      <w:r>
        <w:rPr>
          <w:rFonts w:hint="eastAsia" w:ascii="仿宋_GB2312"/>
          <w:color w:val="auto"/>
          <w:szCs w:val="32"/>
          <w:highlight w:val="none"/>
        </w:rPr>
        <w:t>《关于对</w:t>
      </w:r>
      <w:r>
        <w:rPr>
          <w:rFonts w:hint="eastAsia" w:ascii="仿宋_GB2312" w:hAnsi="Times New Roman" w:eastAsia="仿宋_GB2312" w:cs="Times New Roman"/>
          <w:color w:val="auto"/>
          <w:sz w:val="28"/>
          <w:szCs w:val="32"/>
          <w:highlight w:val="none"/>
        </w:rPr>
        <w:t>于田县达里雅布依老村民宿改造提升项目</w:t>
      </w:r>
      <w:r>
        <w:rPr>
          <w:rFonts w:hint="eastAsia" w:ascii="仿宋_GB2312"/>
          <w:color w:val="auto"/>
          <w:szCs w:val="32"/>
          <w:highlight w:val="none"/>
          <w:lang w:val="en-US" w:eastAsia="zh-CN"/>
        </w:rPr>
        <w:t>实施</w:t>
      </w:r>
      <w:r>
        <w:rPr>
          <w:rFonts w:hint="eastAsia" w:ascii="仿宋_GB2312"/>
          <w:color w:val="auto"/>
          <w:szCs w:val="32"/>
          <w:highlight w:val="none"/>
        </w:rPr>
        <w:t>方案的批复》（于</w:t>
      </w:r>
      <w:r>
        <w:rPr>
          <w:rFonts w:hint="eastAsia" w:ascii="仿宋_GB2312"/>
          <w:color w:val="auto"/>
          <w:szCs w:val="32"/>
          <w:highlight w:val="none"/>
          <w:lang w:val="en-US" w:eastAsia="zh-CN"/>
        </w:rPr>
        <w:t>发改项目</w:t>
      </w:r>
      <w:r>
        <w:rPr>
          <w:rFonts w:hint="eastAsia" w:ascii="仿宋_GB2312"/>
          <w:color w:val="auto"/>
          <w:szCs w:val="32"/>
          <w:highlight w:val="none"/>
        </w:rPr>
        <w:t>[202</w:t>
      </w:r>
      <w:r>
        <w:rPr>
          <w:rFonts w:hint="eastAsia" w:ascii="仿宋_GB2312"/>
          <w:color w:val="auto"/>
          <w:szCs w:val="32"/>
          <w:highlight w:val="none"/>
          <w:lang w:val="en-US" w:eastAsia="zh-CN"/>
        </w:rPr>
        <w:t>4</w:t>
      </w:r>
      <w:r>
        <w:rPr>
          <w:rFonts w:hint="eastAsia" w:ascii="仿宋_GB2312"/>
          <w:color w:val="auto"/>
          <w:szCs w:val="32"/>
          <w:highlight w:val="none"/>
        </w:rPr>
        <w:t>]</w:t>
      </w:r>
      <w:r>
        <w:rPr>
          <w:rFonts w:hint="eastAsia" w:ascii="仿宋_GB2312"/>
          <w:color w:val="auto"/>
          <w:szCs w:val="32"/>
          <w:highlight w:val="none"/>
          <w:lang w:val="en-US" w:eastAsia="zh-CN"/>
        </w:rPr>
        <w:t>130</w:t>
      </w:r>
      <w:r>
        <w:rPr>
          <w:rFonts w:hint="eastAsia" w:ascii="仿宋_GB2312"/>
          <w:color w:val="auto"/>
          <w:szCs w:val="32"/>
          <w:highlight w:val="none"/>
        </w:rPr>
        <w:t>号）</w:t>
      </w:r>
      <w:r>
        <w:rPr>
          <w:rFonts w:hint="eastAsia" w:ascii="仿宋_GB2312"/>
          <w:color w:val="auto"/>
          <w:szCs w:val="32"/>
          <w:highlight w:val="none"/>
          <w:lang w:eastAsia="zh-CN"/>
        </w:rPr>
        <w:t>。</w:t>
      </w:r>
    </w:p>
    <w:p w14:paraId="06A80D1D">
      <w:pPr>
        <w:pStyle w:val="52"/>
        <w:spacing w:line="560" w:lineRule="exact"/>
        <w:ind w:left="3" w:right="3" w:firstLine="560"/>
        <w:rPr>
          <w:rFonts w:ascii="仿宋_GB2312"/>
          <w:color w:val="auto"/>
          <w:highlight w:val="none"/>
        </w:rPr>
      </w:pPr>
      <w:r>
        <w:rPr>
          <w:rFonts w:hint="eastAsia" w:ascii="仿宋_GB2312"/>
          <w:color w:val="auto"/>
          <w:highlight w:val="none"/>
        </w:rPr>
        <w:t>过程状况：该项目于202</w:t>
      </w:r>
      <w:r>
        <w:rPr>
          <w:rFonts w:hint="eastAsia" w:ascii="仿宋_GB2312"/>
          <w:color w:val="auto"/>
          <w:highlight w:val="none"/>
          <w:lang w:val="en-US" w:eastAsia="zh-CN"/>
        </w:rPr>
        <w:t>4</w:t>
      </w:r>
      <w:r>
        <w:rPr>
          <w:rFonts w:hint="eastAsia" w:ascii="仿宋_GB2312"/>
          <w:color w:val="auto"/>
          <w:highlight w:val="none"/>
        </w:rPr>
        <w:t>年</w:t>
      </w:r>
      <w:r>
        <w:rPr>
          <w:rFonts w:hint="eastAsia" w:ascii="仿宋_GB2312"/>
          <w:color w:val="auto"/>
          <w:highlight w:val="none"/>
          <w:lang w:val="en-US" w:eastAsia="zh-CN"/>
        </w:rPr>
        <w:t>4</w:t>
      </w:r>
      <w:r>
        <w:rPr>
          <w:rFonts w:hint="eastAsia" w:ascii="仿宋_GB2312"/>
          <w:color w:val="auto"/>
          <w:highlight w:val="none"/>
        </w:rPr>
        <w:t>月制订</w:t>
      </w:r>
      <w:r>
        <w:rPr>
          <w:rFonts w:hint="eastAsia" w:ascii="仿宋_GB2312"/>
          <w:color w:val="auto"/>
          <w:highlight w:val="none"/>
          <w:lang w:val="en-US" w:eastAsia="zh-CN"/>
        </w:rPr>
        <w:t>实施方案</w:t>
      </w:r>
      <w:r>
        <w:rPr>
          <w:rFonts w:hint="eastAsia" w:ascii="仿宋_GB2312"/>
          <w:color w:val="auto"/>
          <w:highlight w:val="none"/>
        </w:rPr>
        <w:t>并得到批复，</w:t>
      </w:r>
      <w:r>
        <w:rPr>
          <w:rFonts w:hint="eastAsia" w:ascii="仿宋_GB2312"/>
          <w:color w:val="auto"/>
          <w:highlight w:val="none"/>
          <w:lang w:val="en-US" w:eastAsia="zh-CN"/>
        </w:rPr>
        <w:t>2024年4月开工，2024年6月</w:t>
      </w:r>
      <w:r>
        <w:rPr>
          <w:rFonts w:hint="eastAsia" w:ascii="仿宋_GB2312"/>
          <w:color w:val="auto"/>
          <w:highlight w:val="none"/>
        </w:rPr>
        <w:t>完工。</w:t>
      </w:r>
    </w:p>
    <w:p w14:paraId="11A2C3BE">
      <w:pPr>
        <w:pStyle w:val="52"/>
        <w:spacing w:line="560" w:lineRule="exact"/>
        <w:ind w:left="3" w:right="3" w:firstLine="560"/>
        <w:rPr>
          <w:rFonts w:ascii="仿宋_GB2312"/>
          <w:color w:val="auto"/>
          <w:highlight w:val="none"/>
        </w:rPr>
      </w:pPr>
      <w:r>
        <w:rPr>
          <w:rFonts w:hint="eastAsia" w:ascii="仿宋_GB2312"/>
          <w:color w:val="auto"/>
          <w:highlight w:val="none"/>
        </w:rPr>
        <w:t>结果状况：</w:t>
      </w:r>
      <w:r>
        <w:rPr>
          <w:rFonts w:hint="eastAsia" w:ascii="仿宋_GB2312"/>
          <w:color w:val="auto"/>
          <w:highlight w:val="none"/>
          <w:lang w:val="en-US" w:eastAsia="zh-CN"/>
        </w:rPr>
        <w:t>11</w:t>
      </w:r>
      <w:r>
        <w:rPr>
          <w:rFonts w:hint="eastAsia" w:ascii="仿宋_GB2312"/>
          <w:color w:val="auto"/>
          <w:highlight w:val="none"/>
        </w:rPr>
        <w:t>月</w:t>
      </w:r>
      <w:r>
        <w:rPr>
          <w:rFonts w:hint="eastAsia" w:ascii="仿宋_GB2312"/>
          <w:color w:val="auto"/>
          <w:highlight w:val="none"/>
          <w:lang w:val="en-US" w:eastAsia="zh-CN"/>
        </w:rPr>
        <w:t>5</w:t>
      </w:r>
      <w:r>
        <w:rPr>
          <w:rFonts w:hint="eastAsia" w:ascii="仿宋_GB2312"/>
          <w:color w:val="auto"/>
          <w:highlight w:val="none"/>
        </w:rPr>
        <w:t>日于田县发展和改革委员会，于田县乡村振兴局，财政局，档案局和参建单位联合竣工验收结果状况：合格。</w:t>
      </w:r>
    </w:p>
    <w:p w14:paraId="3BDD6892">
      <w:pPr>
        <w:pStyle w:val="52"/>
        <w:spacing w:line="560" w:lineRule="exact"/>
        <w:ind w:left="3" w:right="3" w:firstLine="562"/>
        <w:rPr>
          <w:rStyle w:val="19"/>
          <w:rFonts w:ascii="楷体_GB2312"/>
          <w:color w:val="auto"/>
          <w:highlight w:val="none"/>
        </w:rPr>
      </w:pPr>
      <w:r>
        <w:rPr>
          <w:rStyle w:val="19"/>
          <w:rFonts w:hint="eastAsia" w:ascii="楷体_GB2312"/>
          <w:color w:val="auto"/>
          <w:highlight w:val="none"/>
        </w:rPr>
        <w:t>（三）主要经验及做法</w:t>
      </w:r>
    </w:p>
    <w:p w14:paraId="15506134">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于田县达里雅布依老村民宿改造提升项目</w:t>
      </w:r>
      <w:r>
        <w:rPr>
          <w:rFonts w:hint="eastAsia" w:ascii="仿宋_GB2312" w:hAnsi="Times New Roman" w:eastAsia="仿宋_GB2312" w:cs="Times New Roman"/>
          <w:color w:val="auto"/>
          <w:sz w:val="28"/>
          <w:highlight w:val="none"/>
        </w:rPr>
        <w:t>资金安排、使用过程中严格执行乡村振兴项目资金管理制度，确保乡村振兴项目正常运行为构建长效稳定奠定物质基础。</w:t>
      </w:r>
    </w:p>
    <w:p w14:paraId="18654AD5">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（四）存在的问题</w:t>
      </w:r>
    </w:p>
    <w:p w14:paraId="7A26C588">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lang w:eastAsia="zh-CN"/>
        </w:rPr>
        <w:t>于田县达里雅布依老村民宿改造提升项目</w:t>
      </w:r>
      <w:r>
        <w:rPr>
          <w:rFonts w:hint="eastAsia" w:ascii="仿宋_GB2312" w:hAnsi="Times New Roman" w:eastAsia="仿宋_GB2312" w:cs="Times New Roman"/>
          <w:color w:val="auto"/>
          <w:sz w:val="28"/>
          <w:highlight w:val="none"/>
        </w:rPr>
        <w:t>资金安排、使用过程中存在一些问题，主要是资金申报，审批，发放过程中存在对资金拨付缓慢问题。</w:t>
      </w:r>
    </w:p>
    <w:p w14:paraId="50CD7150">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（五）建议</w:t>
      </w:r>
    </w:p>
    <w:p w14:paraId="069BFD5C">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7816700F">
      <w:pPr>
        <w:spacing w:line="560" w:lineRule="exact"/>
        <w:ind w:firstLine="562" w:firstLineChars="200"/>
        <w:rPr>
          <w:rStyle w:val="19"/>
          <w:rFonts w:ascii="楷体_GB2312"/>
          <w:color w:val="auto"/>
          <w:sz w:val="28"/>
          <w:highlight w:val="none"/>
        </w:rPr>
      </w:pPr>
      <w:r>
        <w:rPr>
          <w:rStyle w:val="19"/>
          <w:rFonts w:hint="eastAsia" w:ascii="楷体_GB2312"/>
          <w:color w:val="auto"/>
          <w:sz w:val="28"/>
          <w:highlight w:val="none"/>
        </w:rPr>
        <w:t>（六）项目绩效公告公示情况</w:t>
      </w:r>
    </w:p>
    <w:p w14:paraId="6431DFFF">
      <w:pPr>
        <w:pStyle w:val="52"/>
        <w:spacing w:line="560" w:lineRule="exact"/>
        <w:ind w:left="3" w:right="3" w:firstLine="560"/>
        <w:rPr>
          <w:color w:val="auto"/>
          <w:highlight w:val="none"/>
        </w:rPr>
      </w:pPr>
      <w:r>
        <w:rPr>
          <w:rFonts w:hint="eastAsia" w:ascii="仿宋_GB2312"/>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7A1C1996">
        <w:pPr>
          <w:pStyle w:val="13"/>
          <w:jc w:val="center"/>
        </w:pPr>
        <w:r>
          <w:fldChar w:fldCharType="begin"/>
        </w:r>
        <w:r>
          <w:instrText xml:space="preserve">PAGE   \* MERGEFORMAT</w:instrText>
        </w:r>
        <w:r>
          <w:fldChar w:fldCharType="separate"/>
        </w:r>
        <w:r>
          <w:rPr>
            <w:lang w:val="zh-CN"/>
          </w:rPr>
          <w:t>1</w:t>
        </w:r>
        <w:r>
          <w:fldChar w:fldCharType="end"/>
        </w:r>
      </w:p>
    </w:sdtContent>
  </w:sdt>
  <w:p w14:paraId="772271F7">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0961F">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1B52542B"/>
    <w:rsid w:val="30E87696"/>
    <w:rsid w:val="318C1B84"/>
    <w:rsid w:val="3E982E81"/>
    <w:rsid w:val="41E63BAD"/>
    <w:rsid w:val="49BA257B"/>
    <w:rsid w:val="526F022F"/>
    <w:rsid w:val="5AA15A63"/>
    <w:rsid w:val="5E682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6188</Words>
  <Characters>6667</Characters>
  <Lines>9</Lines>
  <Paragraphs>15</Paragraphs>
  <TotalTime>3</TotalTime>
  <ScaleCrop>false</ScaleCrop>
  <LinksUpToDate>false</LinksUpToDate>
  <CharactersWithSpaces>7056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2025-12-15T10:14:47Z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