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4367BC6">
      <w:pPr>
        <w:spacing w:before="120" w:after="120" w:line="540" w:lineRule="exact"/>
        <w:ind w:firstLine="883" w:firstLineChars="200"/>
        <w:jc w:val="center"/>
        <w:outlineLvl w:val="0"/>
        <w:rPr>
          <w:rFonts w:ascii="仿宋_GB2312" w:hAnsi="Arial"/>
          <w:b/>
          <w:sz w:val="44"/>
          <w:szCs w:val="44"/>
        </w:rPr>
      </w:pPr>
    </w:p>
    <w:p w14:paraId="617E490F">
      <w:pPr>
        <w:spacing w:line="540" w:lineRule="exact"/>
        <w:jc w:val="center"/>
        <w:rPr>
          <w:rFonts w:ascii="方正大标宋简体" w:hAnsi="华文中宋" w:eastAsia="方正大标宋简体" w:cs="宋体"/>
          <w:kern w:val="0"/>
          <w:sz w:val="52"/>
          <w:szCs w:val="52"/>
        </w:rPr>
      </w:pPr>
      <w:r>
        <w:rPr>
          <w:rFonts w:hint="eastAsia" w:ascii="方正大标宋简体" w:hAnsi="华文中宋" w:eastAsia="方正大标宋简体" w:cs="宋体"/>
          <w:kern w:val="0"/>
          <w:sz w:val="52"/>
          <w:szCs w:val="52"/>
        </w:rPr>
        <w:t>和田地区于田县乡村振兴衔接资金项目支出绩效自评报告</w:t>
      </w:r>
    </w:p>
    <w:p w14:paraId="0E7FD666">
      <w:pPr>
        <w:spacing w:line="540" w:lineRule="exact"/>
        <w:ind w:firstLine="1040" w:firstLineChars="200"/>
        <w:jc w:val="center"/>
        <w:rPr>
          <w:rFonts w:ascii="方正大标宋简体" w:hAnsi="华文中宋" w:eastAsia="方正大标宋简体" w:cs="宋体"/>
          <w:kern w:val="0"/>
          <w:sz w:val="52"/>
          <w:szCs w:val="52"/>
        </w:rPr>
      </w:pPr>
    </w:p>
    <w:p w14:paraId="481B64BD">
      <w:pPr>
        <w:spacing w:line="540" w:lineRule="exact"/>
        <w:ind w:firstLine="720" w:firstLineChars="200"/>
        <w:jc w:val="center"/>
        <w:rPr>
          <w:rFonts w:hAnsi="宋体" w:cs="宋体"/>
          <w:kern w:val="0"/>
          <w:sz w:val="36"/>
          <w:szCs w:val="36"/>
        </w:rPr>
      </w:pPr>
      <w:r>
        <w:rPr>
          <w:rFonts w:hint="eastAsia" w:hAnsi="宋体" w:cs="宋体"/>
          <w:kern w:val="0"/>
          <w:sz w:val="36"/>
          <w:szCs w:val="36"/>
        </w:rPr>
        <w:t>（202</w:t>
      </w:r>
      <w:r>
        <w:rPr>
          <w:rFonts w:hint="eastAsia" w:hAnsi="宋体" w:cs="宋体"/>
          <w:kern w:val="0"/>
          <w:sz w:val="36"/>
          <w:szCs w:val="36"/>
          <w:lang w:val="en-US" w:eastAsia="zh-CN"/>
        </w:rPr>
        <w:t>4</w:t>
      </w:r>
      <w:r>
        <w:rPr>
          <w:rFonts w:hint="eastAsia" w:hAnsi="宋体" w:cs="宋体"/>
          <w:kern w:val="0"/>
          <w:sz w:val="36"/>
          <w:szCs w:val="36"/>
        </w:rPr>
        <w:t>年度）</w:t>
      </w:r>
    </w:p>
    <w:p w14:paraId="102C4B83">
      <w:pPr>
        <w:spacing w:line="540" w:lineRule="exact"/>
        <w:ind w:firstLine="600" w:firstLineChars="200"/>
        <w:jc w:val="center"/>
        <w:rPr>
          <w:rFonts w:hAnsi="宋体" w:cs="宋体"/>
          <w:kern w:val="0"/>
          <w:sz w:val="30"/>
          <w:szCs w:val="30"/>
        </w:rPr>
      </w:pPr>
    </w:p>
    <w:p w14:paraId="7F1AB3E8">
      <w:pPr>
        <w:spacing w:line="540" w:lineRule="exact"/>
        <w:ind w:firstLine="600" w:firstLineChars="200"/>
        <w:jc w:val="center"/>
        <w:rPr>
          <w:rFonts w:hAnsi="宋体" w:cs="宋体"/>
          <w:kern w:val="0"/>
          <w:sz w:val="30"/>
          <w:szCs w:val="30"/>
        </w:rPr>
      </w:pPr>
    </w:p>
    <w:p w14:paraId="4C85D05A">
      <w:pPr>
        <w:spacing w:line="540" w:lineRule="exact"/>
        <w:ind w:firstLine="600" w:firstLineChars="200"/>
        <w:jc w:val="center"/>
        <w:rPr>
          <w:rFonts w:hAnsi="宋体" w:cs="宋体"/>
          <w:kern w:val="0"/>
          <w:sz w:val="30"/>
          <w:szCs w:val="30"/>
        </w:rPr>
      </w:pPr>
    </w:p>
    <w:p w14:paraId="426F3B23">
      <w:pPr>
        <w:spacing w:line="540" w:lineRule="exact"/>
        <w:ind w:firstLine="600" w:firstLineChars="200"/>
        <w:jc w:val="center"/>
        <w:rPr>
          <w:rFonts w:hAnsi="宋体" w:cs="宋体"/>
          <w:kern w:val="0"/>
          <w:sz w:val="30"/>
          <w:szCs w:val="30"/>
        </w:rPr>
      </w:pPr>
    </w:p>
    <w:p w14:paraId="486816FF">
      <w:pPr>
        <w:spacing w:line="540" w:lineRule="exact"/>
        <w:ind w:firstLine="600" w:firstLineChars="200"/>
        <w:rPr>
          <w:rFonts w:hAnsi="宋体" w:cs="宋体"/>
          <w:kern w:val="0"/>
          <w:sz w:val="30"/>
          <w:szCs w:val="30"/>
        </w:rPr>
      </w:pPr>
    </w:p>
    <w:p w14:paraId="0D586BE0">
      <w:pPr>
        <w:spacing w:line="540" w:lineRule="exact"/>
        <w:ind w:firstLine="600" w:firstLineChars="200"/>
        <w:rPr>
          <w:rFonts w:hAnsi="宋体" w:cs="宋体"/>
          <w:kern w:val="0"/>
          <w:sz w:val="30"/>
          <w:szCs w:val="30"/>
        </w:rPr>
      </w:pPr>
    </w:p>
    <w:p w14:paraId="6E62FA49">
      <w:pPr>
        <w:spacing w:line="540" w:lineRule="exact"/>
        <w:ind w:left="640" w:leftChars="200" w:firstLine="640" w:firstLineChars="200"/>
        <w:rPr>
          <w:rFonts w:ascii="仿宋" w:hAnsi="仿宋" w:eastAsia="仿宋" w:cs="仿宋"/>
          <w:szCs w:val="32"/>
        </w:rPr>
      </w:pPr>
    </w:p>
    <w:p w14:paraId="68FD0FAB">
      <w:pPr>
        <w:spacing w:line="540" w:lineRule="exact"/>
        <w:ind w:left="640" w:leftChars="200" w:firstLine="640" w:firstLineChars="200"/>
        <w:rPr>
          <w:rFonts w:ascii="仿宋" w:hAnsi="仿宋" w:eastAsia="仿宋" w:cs="仿宋"/>
          <w:szCs w:val="32"/>
        </w:rPr>
      </w:pPr>
    </w:p>
    <w:p w14:paraId="1627408D">
      <w:pPr>
        <w:pStyle w:val="2"/>
        <w:rPr>
          <w:rFonts w:ascii="仿宋" w:hAnsi="仿宋" w:eastAsia="仿宋" w:cs="仿宋"/>
          <w:szCs w:val="32"/>
        </w:rPr>
      </w:pPr>
    </w:p>
    <w:p w14:paraId="00A6F53C">
      <w:pPr>
        <w:pStyle w:val="2"/>
        <w:rPr>
          <w:rFonts w:ascii="仿宋" w:hAnsi="仿宋" w:eastAsia="仿宋" w:cs="仿宋"/>
          <w:szCs w:val="32"/>
        </w:rPr>
      </w:pPr>
    </w:p>
    <w:p w14:paraId="0E0C991B">
      <w:pPr>
        <w:pStyle w:val="2"/>
        <w:rPr>
          <w:rFonts w:ascii="仿宋" w:hAnsi="仿宋" w:eastAsia="仿宋" w:cs="仿宋"/>
          <w:szCs w:val="32"/>
        </w:rPr>
      </w:pPr>
    </w:p>
    <w:p w14:paraId="20EDFB07">
      <w:pPr>
        <w:spacing w:line="540" w:lineRule="exact"/>
        <w:ind w:left="640" w:leftChars="200" w:firstLine="640" w:firstLineChars="200"/>
        <w:rPr>
          <w:rFonts w:ascii="仿宋" w:hAnsi="仿宋" w:eastAsia="仿宋" w:cs="仿宋"/>
          <w:szCs w:val="32"/>
        </w:rPr>
      </w:pPr>
    </w:p>
    <w:p w14:paraId="5FB1EC95">
      <w:pPr>
        <w:spacing w:line="540" w:lineRule="exact"/>
        <w:ind w:firstLine="1400" w:firstLineChars="500"/>
        <w:rPr>
          <w:rFonts w:ascii="仿宋_GB2312" w:hAnsi="Times New Roman" w:eastAsia="仿宋_GB2312" w:cs="Times New Roman"/>
          <w:sz w:val="28"/>
          <w:szCs w:val="32"/>
          <w:lang w:val="zh-CN"/>
        </w:rPr>
      </w:pPr>
      <w:r>
        <w:rPr>
          <w:rFonts w:hint="eastAsia" w:ascii="仿宋_GB2312" w:hAnsi="Times New Roman" w:eastAsia="仿宋_GB2312" w:cs="Times New Roman"/>
          <w:sz w:val="28"/>
          <w:szCs w:val="32"/>
          <w:lang w:val="zh-CN"/>
        </w:rPr>
        <w:t>项目名称:于田县</w:t>
      </w:r>
      <w:r>
        <w:rPr>
          <w:rFonts w:hint="eastAsia" w:ascii="仿宋_GB2312" w:hAnsi="Times New Roman" w:eastAsia="仿宋_GB2312" w:cs="Times New Roman"/>
          <w:sz w:val="28"/>
          <w:szCs w:val="32"/>
          <w:lang w:val="en-US" w:eastAsia="zh-CN"/>
        </w:rPr>
        <w:t>2024年</w:t>
      </w:r>
      <w:r>
        <w:rPr>
          <w:rFonts w:hint="eastAsia" w:ascii="仿宋_GB2312" w:hAnsi="Times New Roman" w:eastAsia="仿宋_GB2312" w:cs="Times New Roman"/>
          <w:sz w:val="28"/>
          <w:szCs w:val="32"/>
          <w:lang w:val="zh-CN"/>
        </w:rPr>
        <w:t>牛羊配种服务站建设项目</w:t>
      </w:r>
    </w:p>
    <w:p w14:paraId="65A67326">
      <w:pPr>
        <w:spacing w:line="540" w:lineRule="exact"/>
        <w:ind w:firstLine="1400" w:firstLineChars="500"/>
        <w:rPr>
          <w:rFonts w:ascii="仿宋_GB2312" w:hAnsi="Times New Roman" w:eastAsia="仿宋_GB2312" w:cs="Times New Roman"/>
          <w:sz w:val="28"/>
          <w:szCs w:val="32"/>
          <w:lang w:val="zh-CN"/>
        </w:rPr>
      </w:pPr>
      <w:r>
        <w:rPr>
          <w:rFonts w:hint="eastAsia" w:ascii="仿宋_GB2312" w:hAnsi="Times New Roman" w:eastAsia="仿宋_GB2312" w:cs="Times New Roman"/>
          <w:sz w:val="28"/>
          <w:szCs w:val="32"/>
          <w:lang w:val="zh-CN"/>
        </w:rPr>
        <w:t>实施单位(公章):于田县农业农村局</w:t>
      </w:r>
    </w:p>
    <w:p w14:paraId="60AE27F7">
      <w:pPr>
        <w:spacing w:line="540" w:lineRule="exact"/>
        <w:ind w:firstLine="1400" w:firstLineChars="500"/>
        <w:rPr>
          <w:rFonts w:ascii="仿宋_GB2312" w:hAnsi="Times New Roman" w:eastAsia="仿宋_GB2312" w:cs="Times New Roman"/>
          <w:sz w:val="28"/>
          <w:szCs w:val="32"/>
          <w:lang w:val="zh-CN"/>
        </w:rPr>
      </w:pPr>
      <w:r>
        <w:rPr>
          <w:rFonts w:hint="eastAsia" w:ascii="仿宋_GB2312" w:hAnsi="Times New Roman" w:eastAsia="仿宋_GB2312" w:cs="Times New Roman"/>
          <w:sz w:val="28"/>
          <w:szCs w:val="32"/>
          <w:lang w:val="zh-CN"/>
        </w:rPr>
        <w:t>主管部门(公章):于田县农业农村局</w:t>
      </w:r>
    </w:p>
    <w:p w14:paraId="0B5A001F">
      <w:pPr>
        <w:spacing w:line="540" w:lineRule="exact"/>
        <w:ind w:firstLine="1400" w:firstLineChars="500"/>
        <w:rPr>
          <w:rFonts w:ascii="仿宋_GB2312" w:hAnsi="Times New Roman" w:eastAsia="仿宋_GB2312" w:cs="Times New Roman"/>
          <w:sz w:val="28"/>
          <w:szCs w:val="32"/>
          <w:lang w:val="zh-CN"/>
        </w:rPr>
      </w:pPr>
      <w:r>
        <w:rPr>
          <w:rFonts w:hint="eastAsia" w:ascii="仿宋_GB2312" w:hAnsi="Times New Roman" w:eastAsia="仿宋_GB2312" w:cs="Times New Roman"/>
          <w:sz w:val="28"/>
          <w:szCs w:val="32"/>
          <w:lang w:val="zh-CN"/>
        </w:rPr>
        <w:t>项目负责人(签章):亚森·阿不都外力</w:t>
      </w:r>
    </w:p>
    <w:p w14:paraId="62038A69">
      <w:pPr>
        <w:spacing w:line="540" w:lineRule="exact"/>
        <w:ind w:firstLine="1400" w:firstLineChars="500"/>
        <w:rPr>
          <w:rFonts w:ascii="仿宋_GB2312" w:hAnsi="Times New Roman" w:eastAsia="仿宋_GB2312" w:cs="Times New Roman"/>
          <w:sz w:val="28"/>
          <w:szCs w:val="32"/>
          <w:lang w:val="zh-CN"/>
        </w:rPr>
      </w:pPr>
      <w:r>
        <w:rPr>
          <w:rFonts w:hint="eastAsia" w:ascii="仿宋_GB2312" w:hAnsi="Times New Roman" w:eastAsia="仿宋_GB2312" w:cs="Times New Roman"/>
          <w:sz w:val="28"/>
          <w:szCs w:val="32"/>
          <w:lang w:val="zh-CN"/>
        </w:rPr>
        <w:t>填报时间:202</w:t>
      </w:r>
      <w:r>
        <w:rPr>
          <w:rFonts w:hint="eastAsia" w:ascii="仿宋_GB2312" w:hAnsi="Times New Roman" w:eastAsia="仿宋_GB2312" w:cs="Times New Roman"/>
          <w:sz w:val="28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Times New Roman"/>
          <w:sz w:val="28"/>
          <w:szCs w:val="32"/>
          <w:lang w:val="zh-CN"/>
        </w:rPr>
        <w:t>年1月</w:t>
      </w:r>
      <w:r>
        <w:rPr>
          <w:rFonts w:hint="eastAsia" w:ascii="仿宋_GB2312" w:hAnsi="Times New Roman" w:eastAsia="仿宋_GB2312" w:cs="Times New Roman"/>
          <w:sz w:val="28"/>
          <w:szCs w:val="32"/>
          <w:lang w:val="en-US" w:eastAsia="zh-CN"/>
        </w:rPr>
        <w:t>10</w:t>
      </w:r>
      <w:r>
        <w:rPr>
          <w:rFonts w:hint="eastAsia" w:ascii="仿宋_GB2312" w:hAnsi="Times New Roman" w:eastAsia="仿宋_GB2312" w:cs="Times New Roman"/>
          <w:sz w:val="28"/>
          <w:szCs w:val="32"/>
          <w:lang w:val="zh-CN"/>
        </w:rPr>
        <w:t>日</w:t>
      </w:r>
    </w:p>
    <w:p w14:paraId="2C8C3CC0">
      <w:pPr>
        <w:spacing w:line="540" w:lineRule="exact"/>
        <w:ind w:firstLine="640" w:firstLineChars="200"/>
      </w:pPr>
    </w:p>
    <w:p w14:paraId="38301A2B">
      <w:pPr>
        <w:spacing w:line="540" w:lineRule="exact"/>
        <w:ind w:firstLine="640" w:firstLineChars="200"/>
        <w:rPr>
          <w:rFonts w:ascii="仿宋_GB2312" w:hAnsi="仿宋_GB2312" w:cs="仿宋_GB2312"/>
          <w:kern w:val="0"/>
          <w:szCs w:val="32"/>
          <w:lang w:bidi="en-US"/>
        </w:rPr>
      </w:pPr>
    </w:p>
    <w:p w14:paraId="544C9355">
      <w:pPr>
        <w:spacing w:line="540" w:lineRule="exact"/>
        <w:ind w:firstLine="627" w:firstLineChars="200"/>
        <w:rPr>
          <w:rStyle w:val="21"/>
          <w:rFonts w:hint="eastAsia" w:ascii="黑体" w:hAnsi="黑体" w:eastAsia="黑体" w:cs="Times New Roman"/>
          <w:spacing w:val="-4"/>
          <w:szCs w:val="32"/>
        </w:rPr>
      </w:pPr>
    </w:p>
    <w:p w14:paraId="205D0121">
      <w:pPr>
        <w:spacing w:line="540" w:lineRule="exact"/>
        <w:ind w:firstLine="627" w:firstLineChars="200"/>
        <w:rPr>
          <w:rStyle w:val="21"/>
          <w:rFonts w:ascii="黑体" w:hAnsi="黑体" w:eastAsia="黑体" w:cs="Times New Roman"/>
          <w:spacing w:val="-4"/>
          <w:szCs w:val="32"/>
        </w:rPr>
      </w:pPr>
      <w:r>
        <w:rPr>
          <w:rStyle w:val="21"/>
          <w:rFonts w:hint="eastAsia" w:ascii="黑体" w:hAnsi="黑体" w:eastAsia="黑体" w:cs="Times New Roman"/>
          <w:spacing w:val="-4"/>
          <w:szCs w:val="32"/>
        </w:rPr>
        <w:t>一、绩效目标分解下达情况</w:t>
      </w:r>
    </w:p>
    <w:p w14:paraId="4056D4CC">
      <w:pPr>
        <w:spacing w:line="540" w:lineRule="exact"/>
        <w:ind w:firstLine="546" w:firstLineChars="200"/>
        <w:rPr>
          <w:sz w:val="28"/>
          <w:szCs w:val="28"/>
        </w:rPr>
      </w:pPr>
      <w:r>
        <w:rPr>
          <w:rFonts w:hint="eastAsia" w:ascii="楷体_GB2312" w:hAnsi="楷体" w:cs="Times New Roman"/>
          <w:b/>
          <w:spacing w:val="-4"/>
          <w:sz w:val="28"/>
          <w:szCs w:val="28"/>
        </w:rPr>
        <w:t>（一）财政专项乡村振兴衔接资金下达预算及项目情况</w:t>
      </w:r>
    </w:p>
    <w:p w14:paraId="7ECF8986">
      <w:pPr>
        <w:pStyle w:val="54"/>
        <w:spacing w:line="540" w:lineRule="exact"/>
        <w:ind w:left="3" w:right="3" w:firstLine="562"/>
        <w:rPr>
          <w:rFonts w:ascii="仿宋_GB2312"/>
          <w:b/>
          <w:color w:val="auto"/>
          <w:sz w:val="28"/>
          <w:szCs w:val="28"/>
        </w:rPr>
      </w:pPr>
      <w:r>
        <w:rPr>
          <w:rFonts w:hint="eastAsia" w:ascii="仿宋_GB2312"/>
          <w:b/>
          <w:color w:val="auto"/>
          <w:sz w:val="28"/>
          <w:szCs w:val="28"/>
        </w:rPr>
        <w:t>1.下达预算情况</w:t>
      </w:r>
    </w:p>
    <w:p w14:paraId="7AF0A107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本项目根据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2024年8月7日于田县发展和改革委员会下发《关于对于田县2024年牛羊配种服务站建设项目实施方案的批复》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于发改项目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[202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]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195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号）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文件设立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批准，项目总投资200万元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，资金来源于中央财政衔接资金。预算资金到位率为100.00%。</w:t>
      </w:r>
    </w:p>
    <w:p w14:paraId="3C23B26C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zh-CN"/>
        </w:rPr>
        <w:t>2.项目实施背景</w:t>
      </w:r>
    </w:p>
    <w:p w14:paraId="4D8D7D56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b w:val="0"/>
          <w:bCs/>
          <w:color w:val="000000"/>
          <w:sz w:val="28"/>
          <w:szCs w:val="28"/>
        </w:rPr>
      </w:pPr>
      <w:r>
        <w:rPr>
          <w:rFonts w:ascii="仿宋" w:hAnsi="仿宋" w:eastAsia="仿宋" w:cs="仿宋"/>
          <w:b w:val="0"/>
          <w:bCs/>
          <w:color w:val="00000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 w:val="0"/>
          <w:bCs/>
          <w:color w:val="000000"/>
          <w:sz w:val="28"/>
          <w:szCs w:val="28"/>
        </w:rPr>
        <w:t xml:space="preserve">“十四五”期间，国家将继续强化支农惠农政策措施，促进和扶持肉 羊产业的发展，各级地方政府也制定一系列的工作规划和方案。本项目实 施有利于推进于田县落实地区的发展要求，能够保证当地羊产业高效快速 发展。因此，本建设项目完全符合产业政策及行业发展规划的需要。 </w:t>
      </w:r>
    </w:p>
    <w:p w14:paraId="408F41FB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b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color w:val="000000"/>
          <w:sz w:val="28"/>
          <w:szCs w:val="28"/>
        </w:rPr>
        <w:t>于田县 20</w:t>
      </w:r>
      <w:r>
        <w:rPr>
          <w:rFonts w:hint="eastAsia" w:ascii="仿宋" w:hAnsi="仿宋" w:eastAsia="仿宋" w:cs="仿宋"/>
          <w:b w:val="0"/>
          <w:color w:val="000000"/>
          <w:sz w:val="28"/>
          <w:szCs w:val="28"/>
        </w:rPr>
        <w:t xml:space="preserve">24 年牛羊配种服务站建设项目-实施方案 </w:t>
      </w:r>
      <w:r>
        <w:rPr>
          <w:rFonts w:ascii="Calibri" w:hAnsi="Calibri" w:eastAsia="宋体" w:cs="Calibri"/>
          <w:b w:val="0"/>
          <w:color w:val="000000"/>
          <w:sz w:val="28"/>
          <w:szCs w:val="28"/>
        </w:rPr>
        <w:t xml:space="preserve">29 </w:t>
      </w:r>
      <w:r>
        <w:rPr>
          <w:rFonts w:hint="eastAsia" w:ascii="仿宋" w:hAnsi="仿宋" w:eastAsia="仿宋" w:cs="仿宋"/>
          <w:b w:val="0"/>
          <w:color w:val="000000"/>
          <w:sz w:val="28"/>
          <w:szCs w:val="28"/>
        </w:rPr>
        <w:t>良种是提高养殖生产水平的一个关键因素。实践表明，中低产羊肉通 过使用优秀种公羊精液的持续改良，可以显著提高生产水平。一头优秀种 公羊通过其人工授精技术的推广应用，每年可以改良生产1000只左右的优 质后代。应采取有效措施，通过良种补贴等方式，大力推广羊人工授精技 术。本项目通过在各乡镇建设配种服务站，将优秀的公羊品种和先进技术 送到牧民的家门口，帮助他们生产更多的优秀羊后代，持续推广应用肉羊 生产的系列繁育技术。首先，保障良种产业化工程，加速优良品种推广运 用，提高全县羊整体生产水平。第二，通过项目的实施，可使多胎羊生产 带形成一个集培育、生产、销售为一体的澳湖羊良种繁育基地，不仅可以 提高羊人工授精技术的应用与大面积推广，也有助于提升我区良种肉羊产 业化水平，加速优质肉单的更新换代，使优质良种肉羊尽快转化为现实生 产力，同时获得更大的经济效益，提升并巩固澳湖羊及和田羊在新疆的大 面积推广，可有效示范和带动全疆肉羊产业化发展。</w:t>
      </w:r>
    </w:p>
    <w:p w14:paraId="5FB35D7F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b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color w:val="000000"/>
          <w:sz w:val="28"/>
          <w:szCs w:val="28"/>
        </w:rPr>
        <w:t>通过多胎羊产业的发展，可延伸种植业、饲料工业、畜产品加工业运 输业、有机肥生产等系列产业发展，发展肉羊养殖可增加农民就业机会， 帮助农牧民特别是贫困牧民在家门口就业，在故乡安居。发展和组建养殖 合作社或养殖专业户，在龙头企业的带动和扶持下，形成养殖专业户和养 殖合作社结成利益共同体，共同致富奔小康。同时，良种业的发展带动农 业种植业结构调整，提升草食家畜畜牧业发展水平，形成了良性的循环农 业产业链，促进农村产业结构的有效调整和供给侧改革。</w:t>
      </w:r>
    </w:p>
    <w:p w14:paraId="2110187B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b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color w:val="000000"/>
          <w:sz w:val="28"/>
          <w:szCs w:val="28"/>
        </w:rPr>
        <w:t xml:space="preserve">目前，随着粮食产量和粮食价格趋稳，农民通过粮食来增加收入已非 常困难，增加农民收入已成为当前农村稳定的紧迫任务。相比之下，畜牧业优势突出，发展潜力口大，风险可控、效益高，又能盖千家万户，实现 共同富裕。因此，畜牧产业已成为政府部门和农牧民首选的增收项目。同 时，牛羊等草食动物不与人争粮，在2020年全球疫情过后，已成为世界各 国首选的动物蛋白。提升羊的繁育能力，是发展畜牧产业链的首选措施， 繁育手段的提升将是羊业发展的基础保障。 </w:t>
      </w:r>
    </w:p>
    <w:p w14:paraId="126B3095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b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color w:val="000000"/>
          <w:sz w:val="28"/>
          <w:szCs w:val="28"/>
        </w:rPr>
        <w:t>肉羊产业作为优势特色产业加以优先扶持，建立了多胎羊良种繁育及 管理体系，促进肉羊产业健康发展。经过多年的精心格，新疆肉羊产业已 具有明显的区位优势和民好的资源优势，有为地促进，农村经济发展、农 业增效和农民增收。随着肉羊产业优势的不断一，其在农业现代化进程中 发挥的作用日益明显，成为农业结构调整的主力军。为了进一步做大、做 好这一产业，新疆力求全方位加强优质肉源基地建设，使肉羊产业呈现出 迅猛的发展势头。</w:t>
      </w:r>
    </w:p>
    <w:p w14:paraId="0F98B177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由于上述原因开展于田县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2024年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牛羊配种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服务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站建设项目，本项目由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于田县农业农村局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主管，于田县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农业农村局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负责实施，项目施工期为202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月-202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11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月。</w:t>
      </w:r>
    </w:p>
    <w:p w14:paraId="1424064D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工程实施后，通过建设澳湖羊人工配种技术运用，培育出于田县澳湖多胎羊优良品种，生产安全、可靠、品质优良的种羊，通过乡镇配种站的有效工作，达到提升当地良种畜繁育能力和生产效益的双重目标。</w:t>
      </w:r>
    </w:p>
    <w:p w14:paraId="157E5B38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3、项目实施依据及范围</w:t>
      </w:r>
    </w:p>
    <w:p w14:paraId="7F832153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本项目根据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于田县发展和改革委员会下发《关于对于田县2024年牛羊配种服务站建设项目实施方案的批复》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于发改项目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[202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]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195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号）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批准项目总投资200万元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,实施范围涉及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个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乡镇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即</w:t>
      </w:r>
      <w:r>
        <w:rPr>
          <w:rFonts w:hint="eastAsia" w:ascii="仿宋" w:hAnsi="仿宋" w:eastAsia="仿宋" w:cs="仿宋"/>
          <w:sz w:val="28"/>
          <w:szCs w:val="28"/>
        </w:rPr>
        <w:t>于田县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阿热勒乡、希吾勒乡、加依乡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。</w:t>
      </w:r>
    </w:p>
    <w:p w14:paraId="476F303C">
      <w:pPr>
        <w:spacing w:line="540" w:lineRule="exact"/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4、项目基本性质及类别</w:t>
      </w:r>
    </w:p>
    <w:p w14:paraId="1DBCD11B">
      <w:pPr>
        <w:spacing w:line="54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zh-CN"/>
        </w:rPr>
        <w:t>于田县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2024年</w:t>
      </w:r>
      <w:r>
        <w:rPr>
          <w:rFonts w:hint="eastAsia" w:ascii="仿宋" w:hAnsi="仿宋" w:eastAsia="仿宋" w:cs="仿宋"/>
          <w:sz w:val="28"/>
          <w:szCs w:val="28"/>
          <w:lang w:val="zh-CN"/>
        </w:rPr>
        <w:t>牛羊配种服务站建设项目</w:t>
      </w:r>
      <w:r>
        <w:rPr>
          <w:rFonts w:hint="eastAsia" w:ascii="仿宋" w:hAnsi="仿宋" w:eastAsia="仿宋" w:cs="仿宋"/>
          <w:sz w:val="28"/>
          <w:szCs w:val="28"/>
        </w:rPr>
        <w:t>性质为资产收益类项目，属于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中央财政</w:t>
      </w:r>
      <w:r>
        <w:rPr>
          <w:rFonts w:hint="eastAsia" w:ascii="仿宋" w:hAnsi="仿宋" w:eastAsia="仿宋" w:cs="仿宋"/>
          <w:sz w:val="28"/>
          <w:szCs w:val="28"/>
        </w:rPr>
        <w:t>衔接资金项目。</w:t>
      </w:r>
    </w:p>
    <w:p w14:paraId="505CE80E">
      <w:pPr>
        <w:spacing w:line="540" w:lineRule="exact"/>
        <w:ind w:firstLine="546" w:firstLineChars="200"/>
        <w:rPr>
          <w:rStyle w:val="21"/>
          <w:rFonts w:hint="eastAsia" w:ascii="仿宋" w:hAnsi="仿宋" w:eastAsia="仿宋" w:cs="仿宋"/>
          <w:spacing w:val="-4"/>
          <w:sz w:val="28"/>
          <w:szCs w:val="28"/>
        </w:rPr>
      </w:pPr>
      <w:r>
        <w:rPr>
          <w:rStyle w:val="21"/>
          <w:rFonts w:hint="eastAsia" w:ascii="仿宋" w:hAnsi="仿宋" w:eastAsia="仿宋" w:cs="仿宋"/>
          <w:spacing w:val="-4"/>
          <w:sz w:val="28"/>
          <w:szCs w:val="28"/>
        </w:rPr>
        <w:t>（二）财政专项乡村振兴衔接资金项目绩效目标设定情况</w:t>
      </w:r>
    </w:p>
    <w:p w14:paraId="646A688C">
      <w:pPr>
        <w:spacing w:line="540" w:lineRule="exact"/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1.项目绩效总体目标</w:t>
      </w:r>
    </w:p>
    <w:p w14:paraId="3C980F08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于田县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2024年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牛羊配种服务站建设项目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总投资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200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万元，全部申请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中央财政</w:t>
      </w:r>
      <w:r>
        <w:rPr>
          <w:rFonts w:hint="eastAsia" w:ascii="仿宋" w:hAnsi="仿宋" w:eastAsia="仿宋" w:cs="仿宋"/>
          <w:sz w:val="28"/>
          <w:szCs w:val="28"/>
        </w:rPr>
        <w:t>衔接资金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。主要内容为：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新建配种站 2 座，改建配种站 1 座，新建及改建总建筑面积为 340 平方米，其中：加依乡、希吾勒乡各新建一座 120 平方米配种站及配套附属设施，每个建设地点的附属设施包含：饲料棚 100平方米，待配母羊散拦棚 100 平方米，种公羊舍 40 平方米，青贮窖 40 平方米，堆沤池 40 平方米，牛配种架，购买种公羊 10 只，配种设备及室外配套给排水，强弱电，硬化地坪等附属设施。阿热勒乡改建 100 平方米配种站及配套附属设施，附属设施包含：饲料棚 100 平方米，种公羊舍 40平方米，牛配种架，购买种公羊 10 只，配种设备及室外配套给排水，强弱电，硬化地坪等附属设施。</w:t>
      </w:r>
    </w:p>
    <w:p w14:paraId="6FB347BF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对改善于田县羊的配种条件，加快当地羊品种改良并优化和田羊品质都有积极影响和推动作用。项目的建设和实施，对提高肉羊业综合生产能力，促进于田县当地羊的改良工作，提高于田羊的产肉能力，起到关键的作用。同时，对于于田县肉羊业的发展，对提高农牧民收入，增强本地企业自主创新能力具有十分重要的意义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。</w:t>
      </w:r>
    </w:p>
    <w:p w14:paraId="4600FD0D">
      <w:pPr>
        <w:pStyle w:val="54"/>
        <w:spacing w:line="540" w:lineRule="exact"/>
        <w:ind w:left="3" w:right="3" w:firstLine="562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2.具体绩效指标</w:t>
      </w:r>
    </w:p>
    <w:p w14:paraId="1B6FB595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根据《自治区财政专项扶贫资金绩效管理操作指南》（新财预〔2019〕170号）的规定，结合项目具体情况，本项目共设置一级指标3个，二级指标8个，三级指标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23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个。</w:t>
      </w:r>
    </w:p>
    <w:p w14:paraId="67505F3B">
      <w:pPr>
        <w:pStyle w:val="31"/>
        <w:spacing w:before="120" w:line="540" w:lineRule="exact"/>
        <w:ind w:left="0" w:leftChars="0" w:right="3" w:firstLine="562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二、绩效自评工作开展情况</w:t>
      </w:r>
    </w:p>
    <w:p w14:paraId="4C771574">
      <w:pPr>
        <w:spacing w:line="540" w:lineRule="exact"/>
        <w:ind w:firstLine="546" w:firstLineChars="200"/>
        <w:rPr>
          <w:rStyle w:val="21"/>
          <w:rFonts w:hint="eastAsia" w:ascii="仿宋" w:hAnsi="仿宋" w:eastAsia="仿宋" w:cs="仿宋"/>
          <w:spacing w:val="-4"/>
          <w:sz w:val="28"/>
          <w:szCs w:val="28"/>
        </w:rPr>
      </w:pPr>
      <w:r>
        <w:rPr>
          <w:rStyle w:val="21"/>
          <w:rFonts w:hint="eastAsia" w:ascii="仿宋" w:hAnsi="仿宋" w:eastAsia="仿宋" w:cs="仿宋"/>
          <w:spacing w:val="-4"/>
          <w:sz w:val="28"/>
          <w:szCs w:val="28"/>
        </w:rPr>
        <w:t>（一）绩效自评工作开展范围</w:t>
      </w:r>
    </w:p>
    <w:p w14:paraId="4DB76672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本次自评范围涵盖项目总体绩效目标、各项绩效指标完成情况以及预算执行情况。</w:t>
      </w:r>
    </w:p>
    <w:p w14:paraId="3CA31E5D">
      <w:pPr>
        <w:spacing w:line="540" w:lineRule="exact"/>
        <w:ind w:firstLine="546" w:firstLineChars="200"/>
        <w:rPr>
          <w:rStyle w:val="21"/>
          <w:rFonts w:hint="eastAsia" w:ascii="仿宋" w:hAnsi="仿宋" w:eastAsia="仿宋" w:cs="仿宋"/>
          <w:spacing w:val="-4"/>
          <w:sz w:val="28"/>
          <w:szCs w:val="28"/>
        </w:rPr>
      </w:pPr>
      <w:r>
        <w:rPr>
          <w:rStyle w:val="21"/>
          <w:rFonts w:hint="eastAsia" w:ascii="仿宋" w:hAnsi="仿宋" w:eastAsia="仿宋" w:cs="仿宋"/>
          <w:spacing w:val="-4"/>
          <w:sz w:val="28"/>
          <w:szCs w:val="28"/>
        </w:rPr>
        <w:t>（二）绩效自评工作对象</w:t>
      </w:r>
    </w:p>
    <w:p w14:paraId="6DDC5E7D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本次绩效自评遵循《中央财政衔接推进乡村振兴补助资金管理办法》的通知（财农〔2021〕19号）、《新疆维吾尔自治区财政财政衔接推进乡村振兴补助资金管理办法》（新财规〔2021〕11号）、《自治区财政专项扶贫资金绩效管理操作指南》（新财预〔2019〕170号）等相关政策文件与规定，对于田县多胎羊配种服务站建设项目资金的使用管理、项目产出、综合效益等进行评价。</w:t>
      </w:r>
    </w:p>
    <w:p w14:paraId="5A17E519">
      <w:pPr>
        <w:spacing w:line="540" w:lineRule="exact"/>
        <w:ind w:firstLine="546" w:firstLineChars="200"/>
        <w:rPr>
          <w:rStyle w:val="21"/>
          <w:rFonts w:hint="eastAsia" w:ascii="仿宋" w:hAnsi="仿宋" w:eastAsia="仿宋" w:cs="仿宋"/>
          <w:spacing w:val="-4"/>
          <w:sz w:val="28"/>
          <w:szCs w:val="28"/>
        </w:rPr>
      </w:pPr>
      <w:r>
        <w:rPr>
          <w:rStyle w:val="21"/>
          <w:rFonts w:hint="eastAsia" w:ascii="仿宋" w:hAnsi="仿宋" w:eastAsia="仿宋" w:cs="仿宋"/>
          <w:spacing w:val="-4"/>
          <w:sz w:val="28"/>
          <w:szCs w:val="28"/>
        </w:rPr>
        <w:t>（三）绩效自评工作方式</w:t>
      </w:r>
    </w:p>
    <w:p w14:paraId="2B62E899">
      <w:pPr>
        <w:pStyle w:val="35"/>
        <w:spacing w:line="540" w:lineRule="exac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1.前期准备</w:t>
      </w:r>
    </w:p>
    <w:p w14:paraId="542A735C">
      <w:pPr>
        <w:pStyle w:val="54"/>
        <w:spacing w:line="540" w:lineRule="exact"/>
        <w:ind w:left="3" w:right="0" w:rightChars="0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202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年，认真学习相关要求与规定，成立绩效自评工作组，作为绩效自评工作具体实施机构。成员构成如下：</w:t>
      </w:r>
    </w:p>
    <w:p w14:paraId="1488BFA1">
      <w:pPr>
        <w:pStyle w:val="54"/>
        <w:spacing w:line="540" w:lineRule="exact"/>
        <w:ind w:left="3" w:right="3" w:firstLine="56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组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长：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黄峰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农业农村局党组书记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                                                 </w:t>
      </w:r>
    </w:p>
    <w:p w14:paraId="68B6BAC8">
      <w:pPr>
        <w:pStyle w:val="54"/>
        <w:spacing w:line="540" w:lineRule="exact"/>
        <w:ind w:left="0" w:leftChars="0" w:right="3" w:firstLine="560" w:firstLineChars="20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副组长：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亚森江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·阿不都外力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农业农村局局长                                   </w:t>
      </w:r>
    </w:p>
    <w:p w14:paraId="3A2CD4A4">
      <w:pPr>
        <w:pStyle w:val="54"/>
        <w:spacing w:line="540" w:lineRule="exact"/>
        <w:ind w:left="3" w:right="3" w:firstLine="56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成    员：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杨志杰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项目办主任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                          </w:t>
      </w:r>
    </w:p>
    <w:p w14:paraId="3BB4F538">
      <w:pPr>
        <w:pStyle w:val="54"/>
        <w:spacing w:line="540" w:lineRule="exact"/>
        <w:ind w:right="3" w:firstLine="1960" w:firstLineChars="70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麦图迪·白克日  办公室负责畜牧项目干部</w:t>
      </w:r>
    </w:p>
    <w:p w14:paraId="711B653F">
      <w:pPr>
        <w:pStyle w:val="54"/>
        <w:spacing w:line="540" w:lineRule="exact"/>
        <w:ind w:left="3" w:right="3" w:firstLine="1960" w:firstLineChars="70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张庆荣          财务科科长</w:t>
      </w:r>
    </w:p>
    <w:p w14:paraId="47122B0C">
      <w:pPr>
        <w:pStyle w:val="54"/>
        <w:spacing w:line="540" w:lineRule="exact"/>
        <w:ind w:left="3" w:right="3" w:firstLine="1960" w:firstLineChars="70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阿米娜·阿不都拉  负责畜牧项目会计</w:t>
      </w:r>
    </w:p>
    <w:p w14:paraId="3C1C34E3">
      <w:pPr>
        <w:pStyle w:val="54"/>
        <w:spacing w:line="540" w:lineRule="exact"/>
        <w:ind w:left="3" w:right="3" w:firstLine="56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忙尼沙·买色地    负责畜牧项目出纳</w:t>
      </w:r>
    </w:p>
    <w:p w14:paraId="5CCC37BF">
      <w:pPr>
        <w:pStyle w:val="54"/>
        <w:spacing w:line="540" w:lineRule="exact"/>
        <w:ind w:left="3" w:right="3" w:firstLine="56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        布麦热木·阿布都卡迪  档案管理员</w:t>
      </w:r>
    </w:p>
    <w:p w14:paraId="7D9E32AE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办公室负责项目的计划制定、实施，督查、指导相关单位共同做好项目管理工作。切实把该项目作为畜牧建设的重要举措来抓，加强领导，明确分工，落实责任，密切配合，形成合力，推动该项目顺利实施。由农业农村局牵头，负责整个项目的统筹安排和经费使用管理工作，实现分级管理制度。</w:t>
      </w:r>
    </w:p>
    <w:p w14:paraId="42808EE1">
      <w:pPr>
        <w:pStyle w:val="35"/>
        <w:spacing w:before="0" w:beforeLines="0" w:line="540" w:lineRule="exac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2.组织实施</w:t>
      </w:r>
    </w:p>
    <w:p w14:paraId="45044DC0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成立绩效自评工作组后，经评价组通过实地调研等方式，采用综合分析法对项目的决策、管理、绩效进行的综合评价分析。</w:t>
      </w:r>
    </w:p>
    <w:p w14:paraId="39238D13">
      <w:pPr>
        <w:pStyle w:val="35"/>
        <w:spacing w:before="0" w:beforeLines="0" w:line="540" w:lineRule="exac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3.分析评价。</w:t>
      </w:r>
    </w:p>
    <w:p w14:paraId="54EC8E1B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首先按照指标体系进行定量、定性分析。其次开展量化打分、综合评价工作，形成初步评价结论。最后归纳整体项目情况与存在问题，撰写绩效自评报告。</w:t>
      </w:r>
    </w:p>
    <w:p w14:paraId="2135AB94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（1）绩效自评指标体系</w:t>
      </w:r>
    </w:p>
    <w:p w14:paraId="651D328A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按照《自治区财政专项扶贫资金绩效管理操作指南》（新财预〔2019〕170号）文件要求，并根据项目各项指标重要程度确定二级指标的分值，并对核心指标赋予更高的权重。其中：数量指标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34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分、质量指标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分，时效指标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分、成本指标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分、经济效益指标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分、社会效益指标1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分、可持续影响指标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分、满意度指标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分、预算资金执行率10分，满分100分。</w:t>
      </w:r>
    </w:p>
    <w:p w14:paraId="024B6A69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（2）绩效自评方法</w:t>
      </w:r>
    </w:p>
    <w:p w14:paraId="0717229B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本次绩效自评采用比较法和综合分析法对项目资金的使用管理、项目产出、综合效益等进行评价。</w:t>
      </w:r>
    </w:p>
    <w:p w14:paraId="0EEBBB69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（3）绩效自评标准</w:t>
      </w:r>
    </w:p>
    <w:p w14:paraId="201B0D4A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绩效评价标准通常包括计划标准、行业标准、历史标准等，用于对绩效指标完成情况进行比较。本次评价主要采用了计划标准，以预先制定的目标、计划、预算、定额等作为评价标准，对比分析项目产出、效益的完成情况。</w:t>
      </w:r>
    </w:p>
    <w:p w14:paraId="29130643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（4）绩效自评等级</w:t>
      </w:r>
    </w:p>
    <w:p w14:paraId="4692B026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绩效自评总分值100分，根据评分结果，90（含）-100分为优、80（含）-90分为良、60（含）-80分为中、60分以下为差。</w:t>
      </w:r>
    </w:p>
    <w:p w14:paraId="25176843">
      <w:pPr>
        <w:pStyle w:val="31"/>
        <w:spacing w:before="120" w:line="540" w:lineRule="exact"/>
        <w:ind w:leftChars="0" w:right="3" w:firstLine="562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三、绩效目标自评完成情况分析</w:t>
      </w:r>
    </w:p>
    <w:p w14:paraId="1DDCA0F5">
      <w:pPr>
        <w:spacing w:line="540" w:lineRule="exact"/>
        <w:ind w:firstLine="546" w:firstLineChars="200"/>
        <w:rPr>
          <w:rStyle w:val="21"/>
          <w:rFonts w:hint="eastAsia" w:ascii="仿宋" w:hAnsi="仿宋" w:eastAsia="仿宋" w:cs="仿宋"/>
          <w:spacing w:val="-4"/>
          <w:sz w:val="28"/>
          <w:szCs w:val="28"/>
        </w:rPr>
      </w:pPr>
      <w:r>
        <w:rPr>
          <w:rStyle w:val="21"/>
          <w:rFonts w:hint="eastAsia" w:ascii="仿宋" w:hAnsi="仿宋" w:eastAsia="仿宋" w:cs="仿宋"/>
          <w:spacing w:val="-4"/>
          <w:sz w:val="28"/>
          <w:szCs w:val="28"/>
        </w:rPr>
        <w:t>（一）资金投入情况分析</w:t>
      </w:r>
    </w:p>
    <w:p w14:paraId="76E82627">
      <w:pPr>
        <w:pStyle w:val="35"/>
        <w:spacing w:line="540" w:lineRule="exac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1.项目资金到位情况分析</w:t>
      </w:r>
    </w:p>
    <w:p w14:paraId="25214587">
      <w:pPr>
        <w:pStyle w:val="54"/>
        <w:spacing w:line="540" w:lineRule="exact"/>
        <w:ind w:left="0" w:leftChars="0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于田县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2024年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牛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羊配种站建设项目预算安排总额为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200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万元，其中：乡村振兴衔接资金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200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万元。预算资金到位率为100.00%。</w:t>
      </w:r>
    </w:p>
    <w:p w14:paraId="26195A4F">
      <w:pPr>
        <w:pStyle w:val="54"/>
        <w:spacing w:line="540" w:lineRule="exact"/>
        <w:ind w:left="0" w:leftChars="0" w:right="3" w:firstLine="562"/>
        <w:rPr>
          <w:rFonts w:hint="eastAsia" w:ascii="仿宋" w:hAnsi="仿宋" w:eastAsia="仿宋" w:cs="仿宋"/>
          <w:b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2.项目资金执行情况分析</w:t>
      </w:r>
    </w:p>
    <w:p w14:paraId="25BEB0DB">
      <w:pPr>
        <w:pStyle w:val="54"/>
        <w:spacing w:line="540" w:lineRule="exact"/>
        <w:ind w:left="0" w:leftChars="0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于田县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2024年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牛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羊配种站建设项目预算投入资金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200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万元，实际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lang w:eastAsia="zh-CN"/>
        </w:rPr>
        <w:t>完成投资</w:t>
      </w:r>
      <w:r>
        <w:rPr>
          <w:rFonts w:hint="eastAsia" w:ascii="仿宋" w:hAnsi="仿宋" w:eastAsia="仿宋" w:cs="仿宋"/>
          <w:bCs/>
          <w:color w:val="auto"/>
          <w:sz w:val="28"/>
          <w:szCs w:val="28"/>
        </w:rPr>
        <w:t>金额186.50万元，实际支出186.50万元，预算资金执行率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lang w:val="en-US" w:eastAsia="zh-CN"/>
        </w:rPr>
        <w:t>93.25</w:t>
      </w:r>
      <w:r>
        <w:rPr>
          <w:rFonts w:hint="eastAsia" w:ascii="仿宋" w:hAnsi="仿宋" w:eastAsia="仿宋" w:cs="仿宋"/>
          <w:bCs/>
          <w:color w:val="auto"/>
          <w:sz w:val="28"/>
          <w:szCs w:val="28"/>
        </w:rPr>
        <w:t>%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lang w:eastAsia="zh-CN"/>
        </w:rPr>
        <w:t>，剩余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lang w:val="en-US" w:eastAsia="zh-CN"/>
        </w:rPr>
        <w:t>13.49万元结余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lang w:eastAsia="zh-CN"/>
        </w:rPr>
        <w:t>资金，已退回财政</w:t>
      </w:r>
      <w:r>
        <w:rPr>
          <w:rFonts w:hint="eastAsia" w:ascii="仿宋" w:hAnsi="仿宋" w:eastAsia="仿宋" w:cs="仿宋"/>
          <w:bCs/>
          <w:color w:val="auto"/>
          <w:sz w:val="28"/>
          <w:szCs w:val="28"/>
        </w:rPr>
        <w:t>。</w:t>
      </w:r>
    </w:p>
    <w:p w14:paraId="484D32D4">
      <w:pPr>
        <w:pStyle w:val="35"/>
        <w:spacing w:line="540" w:lineRule="exac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3.项目资金管理情况分析</w:t>
      </w:r>
    </w:p>
    <w:p w14:paraId="475F447F">
      <w:pPr>
        <w:pStyle w:val="54"/>
        <w:spacing w:line="540" w:lineRule="exact"/>
        <w:ind w:left="0" w:leftChars="0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资金使用和管理按照关于印发《中央财政衔接推进乡村振兴补助资金管理办法》的通知（财农〔2021〕19号）、《新疆维吾尔自治区财政财政衔接推进乡村振兴补助资金管理办法》（新财规〔2021〕11号）等相关文件要求。项目实施单位依据项目计划，提出支付申请并提供相关真实、合规的证明材料，制定资金使用计划，经审核后按照国库集中支付管理制度的规定和程序及时支付资金。资金的拨付过程有完整的审批程序和手续，不存在截留、挤占、挪用等情况。</w:t>
      </w:r>
    </w:p>
    <w:p w14:paraId="6CD40620">
      <w:pPr>
        <w:pStyle w:val="54"/>
        <w:spacing w:line="540" w:lineRule="exact"/>
        <w:ind w:leftChars="0" w:right="3" w:firstLine="562"/>
        <w:rPr>
          <w:rFonts w:hint="eastAsia" w:ascii="仿宋" w:hAnsi="仿宋" w:eastAsia="仿宋" w:cs="仿宋"/>
          <w:b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4.项目管理情况分析</w:t>
      </w:r>
    </w:p>
    <w:p w14:paraId="63A71393">
      <w:pPr>
        <w:pStyle w:val="54"/>
        <w:spacing w:line="540" w:lineRule="exact"/>
        <w:ind w:left="0" w:leftChars="0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在项目实施中，于田县农业农村局建立了项目管理制度，用以保障本项目的顺利实施。项目的实施遵守相关法律法规和业务管理规定，项目资料齐全并及时归档。已建立项目监督检查机制，不定期对项目进度情况进行督导检查，对检查过程中发现的问题及时督促整改，确保了项目按时保质完成。</w:t>
      </w:r>
    </w:p>
    <w:p w14:paraId="5221D03D">
      <w:pPr>
        <w:spacing w:line="540" w:lineRule="exact"/>
        <w:ind w:firstLine="546" w:firstLineChars="200"/>
        <w:rPr>
          <w:rStyle w:val="21"/>
          <w:rFonts w:hint="eastAsia" w:ascii="仿宋" w:hAnsi="仿宋" w:eastAsia="仿宋" w:cs="仿宋"/>
          <w:spacing w:val="-4"/>
          <w:sz w:val="28"/>
          <w:szCs w:val="28"/>
        </w:rPr>
      </w:pPr>
      <w:r>
        <w:rPr>
          <w:rStyle w:val="21"/>
          <w:rFonts w:hint="eastAsia" w:ascii="仿宋" w:hAnsi="仿宋" w:eastAsia="仿宋" w:cs="仿宋"/>
          <w:spacing w:val="-4"/>
          <w:sz w:val="28"/>
          <w:szCs w:val="28"/>
        </w:rPr>
        <w:t>（二）绩效目标完成情况分析</w:t>
      </w:r>
    </w:p>
    <w:p w14:paraId="29B9CF42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本项目在202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年截止12月底，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新建配种站2座，改建配种站1座，新建及改建总建筑面积为340平方米，其中：加依乡、希吾勒乡各新建一座120平方米配种站及配套附属设施，每个建设地点的附属设施包含：饲料棚100平方米，待配母羊散拦棚100 平方米，种公羊舍40平方米，青贮窖40平方米，堆沤池40平方米，牛配种架，购买种公羊10只，配种设备及室外配套给排水，强弱电，硬化地坪等附属设施。阿热勒乡改建100平方米配种站及配套附属设施，附属设施包含：饲料棚100平方米，种公羊舍40平方米，牛配种架，购买种公羊10只，配种设备及室外配套给排水，强弱电，硬化地坪等附属设施。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</w:rPr>
        <w:t>项目于202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  <w:lang w:val="en-US" w:eastAsia="zh-CN"/>
        </w:rPr>
        <w:t>9月份完工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  <w:lang w:val="en-US" w:eastAsia="zh-CN"/>
        </w:rPr>
        <w:t>2024年11月15日完成验收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</w:rPr>
        <w:t>。</w:t>
      </w:r>
    </w:p>
    <w:p w14:paraId="0D2191DF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本项目共设置本项目共设置一级指标3个，二级指标8个，三级指标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23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个，其中已完成三级指标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19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个，指标完成率为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82.61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%，指标完成情况分析如下：</w:t>
      </w:r>
    </w:p>
    <w:p w14:paraId="75461218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b/>
          <w:bCs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pacing w:val="-4"/>
          <w:sz w:val="28"/>
          <w:szCs w:val="28"/>
        </w:rPr>
        <w:t>1.产出指标完成情况分析</w:t>
      </w:r>
    </w:p>
    <w:p w14:paraId="4AE4FD34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1.项目完成数量。</w:t>
      </w:r>
    </w:p>
    <w:p w14:paraId="21066330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“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新建牛羊配种服务站建设项目覆盖乡镇数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”指标，预期指标值为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大于等于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个,全年实际值为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个，指标完成率为100.00%;所设分值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分，实际得分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分。</w:t>
      </w:r>
    </w:p>
    <w:p w14:paraId="751B6037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 xml:space="preserve"> “单个标准化配种站建设面积”指标，预期指标值为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大于等于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120平方米,全年实际值为120平方米，指标完成率为100%;所设分值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分，实际得分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分。</w:t>
      </w:r>
    </w:p>
    <w:p w14:paraId="2A058803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“改造牛羊配种服务站建设项目覆盖乡镇数”指标，预期指标值为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大于等于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个,全年实际值为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个，指标完成率为100.00%;所设分值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分，实际得分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分。</w:t>
      </w:r>
    </w:p>
    <w:p w14:paraId="25778AF0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“改造面积”指标，预期指标值为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大于等于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100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平方米,全年实际值为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100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平方米，指标完成率为100.00%;所设分值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分，实际得分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分。</w:t>
      </w:r>
    </w:p>
    <w:p w14:paraId="7870BF91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“标准化配种站内部配备建筑物数量”指标，预期指标值为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3个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,全年实际值为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3个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，指标完成率为100.00%;所设分值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分，实际得分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分。</w:t>
      </w:r>
    </w:p>
    <w:p w14:paraId="2359FDB1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“饲草棚建设总面积”指标，预期指标值为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大于等于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300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平方米,全年实际值为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300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平方米，指标完成率为100.00%;所设分值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分，实际得分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分。</w:t>
      </w:r>
    </w:p>
    <w:p w14:paraId="5BD21B73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“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种公羊圈建设总面积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指标，预期指标值为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大于等于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120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平方米,全年实际值为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120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平方米，指标完成率为100.00%;所设分值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分，实际得分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.</w:t>
      </w:r>
    </w:p>
    <w:p w14:paraId="6A999C28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“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待配母羊散拦棚建设总面积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指标，预期指标值为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大于等于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200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平方米,全年实际值为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200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平方米，指标完成率为100.00%;所设分值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分，实际得分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。</w:t>
      </w:r>
    </w:p>
    <w:p w14:paraId="41775FC5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“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半地下半地上青贮窖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指标，预期指标值为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大于等于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80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平方米,全年实际值为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80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平方米，指标完成率为100.00%;所设分值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分，实际得分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。</w:t>
      </w:r>
    </w:p>
    <w:p w14:paraId="2228102E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“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堆沤池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指标，预期指标值为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大于等于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120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平方米,全年实际值为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120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平方米，指标完成率为100.00%;所设分值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分，实际得分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.</w:t>
      </w:r>
    </w:p>
    <w:p w14:paraId="32E98D15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“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完成购买公羊数量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指标，预期指标值为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大于等于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30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只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,全年实际值为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30只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，指标完成率为100.00%;所设分值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分，实际得分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。</w:t>
      </w:r>
    </w:p>
    <w:p w14:paraId="30D0DC5B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“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完成购买配种设备（包括好几种设备共48个产品）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指标，预期指标值为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大于等于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3套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,全年实际值为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3套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，指标完成率为100.00%;所设分值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分，实际得分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。</w:t>
      </w:r>
    </w:p>
    <w:p w14:paraId="689ABAFB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2、项目完成质量。</w:t>
      </w:r>
    </w:p>
    <w:p w14:paraId="53B9E280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“项目验收合格率”指标，预期指标值为100.00%,全年实际值为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0.00%，指标完成率为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0.00%。所设分值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分，实际得分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分。</w:t>
      </w:r>
    </w:p>
    <w:p w14:paraId="5D9F81BD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“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资金支付合规率”指标，预期指标值为100.00%,全年实际值为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0.00%，指标完成率为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0.00%。所设分值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分，实际得分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分。</w:t>
      </w:r>
    </w:p>
    <w:p w14:paraId="3BDAA6FB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3、时效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指标完成情况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。</w:t>
      </w:r>
    </w:p>
    <w:p w14:paraId="792C6F4F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“资金支付及时率”指标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预期指标值为100%,全年实际值为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0.00%，指标完成率为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0.00%。所设分值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分，实际得分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分。</w:t>
      </w:r>
    </w:p>
    <w:p w14:paraId="4A776774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“项目开工时间”指标，预期指标值为202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年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月,实际值为202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年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月，指标完成率为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100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%。所设分值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分，实际得分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分。</w:t>
      </w:r>
    </w:p>
    <w:p w14:paraId="52D72283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“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项目完工时间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指标，预期指标值为202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年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11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月,实际值为202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年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月，指标完成率为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100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%。所设分值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分，实际得分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1.99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。</w:t>
      </w:r>
    </w:p>
    <w:p w14:paraId="74C0B46B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偏差原因：项目实际提前完工。</w:t>
      </w:r>
    </w:p>
    <w:p w14:paraId="51BDE2CE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改进措施：加强项目管理。</w:t>
      </w:r>
    </w:p>
    <w:p w14:paraId="25BC5894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4.项目成本节约情况。</w:t>
      </w:r>
    </w:p>
    <w:p w14:paraId="5E07CFD6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为有效控制项目实施成本，我单位在实施项目前就该项目设定了成本控制指标，实施过程中我单位通过公开招标的方式有效降低了项目执行成本，具体指标设置及完成情况如下：</w:t>
      </w:r>
    </w:p>
    <w:p w14:paraId="22566124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“建筑工程成本”指标，预期指标值为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小于等于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182.36万元, 全年实际值为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174.93万元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，指标完成率为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  <w:lang w:val="en-US" w:eastAsia="zh-CN"/>
        </w:rPr>
        <w:t>95.93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</w:rPr>
        <w:t>%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；所设分值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分，实际得分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2.88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分。</w:t>
      </w:r>
    </w:p>
    <w:p w14:paraId="1A0C09F2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偏差原因：根据财务决算审计，项目审定金额为186.5万元，剩余资金结余财政收回。</w:t>
      </w:r>
    </w:p>
    <w:p w14:paraId="344B759D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改进措施：注意项目资金管理，保证项目资金按时支付。</w:t>
      </w:r>
    </w:p>
    <w:p w14:paraId="607FB99E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“其他成本”指标，预期指标值为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小于等于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17.64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万元, 全年实际值为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11.57万元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，指标完成率为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  <w:lang w:val="en-US" w:eastAsia="zh-CN"/>
        </w:rPr>
        <w:t>65.59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</w:rPr>
        <w:t>%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；所设分值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分，实际得分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1.97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分。</w:t>
      </w:r>
    </w:p>
    <w:p w14:paraId="53A6DA8B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偏差原因：根据财务决算审计，项目审定金额为186.5万元，剩余资金结余财政收回。</w:t>
      </w:r>
    </w:p>
    <w:p w14:paraId="2C094887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改进措施：注意项目资金管理，保证项目资金按时支付。</w:t>
      </w:r>
    </w:p>
    <w:p w14:paraId="24C49617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（二）效益指标完成情况分析</w:t>
      </w:r>
    </w:p>
    <w:p w14:paraId="12357467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1.项目实施的经济效益分析。</w:t>
      </w:r>
    </w:p>
    <w:p w14:paraId="6C8441BD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“带动增加建档农户全年总收入”指标，指标预期值为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大于等于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450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万元，全年实际值为0万元，指标完成率为0.00%。所设分值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分，实际得分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分。</w:t>
      </w:r>
    </w:p>
    <w:p w14:paraId="1BF70433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偏差原因:配种站2024年10月已开始准备投入使用，6-7月配种羊预计2025年3-4月生，正在准备开始生，部分开始收益；现在生下羔羊还有饲养5-6月后开始收入，还未达到收入阶段。</w:t>
      </w:r>
    </w:p>
    <w:p w14:paraId="0AC0E899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改进措施：加强项目管理。</w:t>
      </w:r>
    </w:p>
    <w:p w14:paraId="2A3A1A8D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2.项目实施的社会效益分析。</w:t>
      </w:r>
    </w:p>
    <w:p w14:paraId="4FB40F93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“推动当地羊品种改良和优化”指标，指标预期值为效果显著，实际完成值为效果显著，指标完成率为100.00%。所设分值10分，实际得分10分。</w:t>
      </w:r>
    </w:p>
    <w:p w14:paraId="2819212C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3.项目实施的可持续影响分析。</w:t>
      </w:r>
    </w:p>
    <w:p w14:paraId="6F457383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 xml:space="preserve"> “建筑使用年限”指标，指标预期值为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大于等于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0年，实际完成值为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0年，指标完成率为100.00%。所设分值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分，实际得分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分。</w:t>
      </w:r>
    </w:p>
    <w:p w14:paraId="3DDADA5A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3.满意度指标完成情况分析</w:t>
      </w:r>
    </w:p>
    <w:p w14:paraId="7630C070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“受益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农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户满意度”指标，指标预期值为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大于等于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95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%，实际完成值为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95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%，指标完成率为100.00%。所设分值10分，实际得分10分。</w:t>
      </w:r>
    </w:p>
    <w:p w14:paraId="53164435">
      <w:pPr>
        <w:pStyle w:val="31"/>
        <w:spacing w:before="120" w:line="540" w:lineRule="exact"/>
        <w:ind w:left="0" w:leftChars="0" w:right="3" w:firstLine="562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四、偏离绩效目标的原因和下一步改进措施</w:t>
      </w:r>
    </w:p>
    <w:p w14:paraId="1CBBBF27">
      <w:pPr>
        <w:pStyle w:val="54"/>
        <w:spacing w:line="540" w:lineRule="exact"/>
        <w:ind w:left="3" w:right="3" w:firstLine="552"/>
        <w:rPr>
          <w:rFonts w:hint="default" w:ascii="仿宋" w:hAnsi="仿宋" w:eastAsia="仿宋" w:cs="仿宋"/>
          <w:color w:val="auto"/>
          <w:spacing w:val="-4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1.时效指标-完工时间：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预期指标值为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2024年11月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, 全年实际值为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2024年9月。</w:t>
      </w:r>
    </w:p>
    <w:p w14:paraId="759BF76B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偏差原因：项目实际提前完工。</w:t>
      </w:r>
    </w:p>
    <w:p w14:paraId="66404105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改进措施：加强项目管理。</w:t>
      </w:r>
    </w:p>
    <w:p w14:paraId="2B9A6A52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.成本指标-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建筑工程成本：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预期指标值为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小于等于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182.36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万元, 全年实际值为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174.93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万元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。</w:t>
      </w:r>
    </w:p>
    <w:p w14:paraId="5AB2CA6C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偏差原因：根据财务决算审计，项目审定金额为186.5万元，剩余资金结余财政收回。</w:t>
      </w:r>
    </w:p>
    <w:p w14:paraId="148397B3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改进措施：注意项目资金管理，保证项目资金按时支付。</w:t>
      </w:r>
    </w:p>
    <w:p w14:paraId="1CF867DA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.成本指标-其他成本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预期指标值为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小于等于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17.64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万元, 全年实际值为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11.57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万元。</w:t>
      </w:r>
    </w:p>
    <w:p w14:paraId="58A6FCB7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偏差原因：根据财务决算审计，项目审定金额为186.5万元，剩余资金结余财政收回。</w:t>
      </w:r>
    </w:p>
    <w:p w14:paraId="284E7CAA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改进措施：注意项目资金管理，保证项目资金按时支付。</w:t>
      </w:r>
    </w:p>
    <w:p w14:paraId="37A400EE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.经济效益指标-带动增加建档农户全年总收入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预期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指标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大于等于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450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万元，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实际完成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0万元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。</w:t>
      </w:r>
    </w:p>
    <w:p w14:paraId="4B16AE5F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偏差原因:配种站2024年10月已开始准备投入使用，6-7月配种羊预计2025年3-4月生，正在准备开始生，部分开始收益；现在生下羔羊还有饲养5-6月后开始收入，还未达到收入阶段。</w:t>
      </w:r>
    </w:p>
    <w:p w14:paraId="1839ED61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改进措施：加强项目管理。</w:t>
      </w:r>
    </w:p>
    <w:p w14:paraId="53FCE723">
      <w:pPr>
        <w:pStyle w:val="31"/>
        <w:spacing w:before="120" w:line="540" w:lineRule="exact"/>
        <w:ind w:left="0" w:leftChars="0" w:right="3" w:firstLine="562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五、绩效自评结果拟应用和公开情况</w:t>
      </w:r>
    </w:p>
    <w:p w14:paraId="74049F27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本次评价通过文件研读、实地调研、数据采集、问卷调查方式下，全面了解于田县多胎羊配种服务站建设项目资金的使用效率和效果，从而得出以下综合评价结论：在绩效目标方面，本项目共设置一级指标3个，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二级指标8个，三级指标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23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个，其中已完成三级指标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19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个，指标完成率为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82.61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%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；在资金使用方面，严格按照《于田县扶贫资金财务管理制度》、《农业农村局财务管理制度》执行，保障了资金使用规范、安全，无挪用、截留资金的情况发生。在项目管理方面，制定了《于田县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2024年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牛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羊配种服务站建设项目实施方案》，建立了相关制度，提高了工作人员的监管水平，保质保量的完成了项目的实施工作。项目实施后，取得了一定社会效益；同时，通过开展自评价来总结经验和教训，为我单位今后类似项目的开展，提供可行性参考建议。</w:t>
      </w:r>
    </w:p>
    <w:p w14:paraId="02ACA97B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项目最终得分为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88.17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分，评价等级为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良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。</w:t>
      </w:r>
    </w:p>
    <w:p w14:paraId="5FB762D3">
      <w:pPr>
        <w:pStyle w:val="54"/>
        <w:spacing w:line="540" w:lineRule="exact"/>
        <w:ind w:left="3" w:right="3" w:firstLine="554"/>
        <w:rPr>
          <w:rStyle w:val="21"/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Style w:val="21"/>
          <w:rFonts w:hint="eastAsia" w:ascii="仿宋" w:hAnsi="仿宋" w:eastAsia="仿宋" w:cs="仿宋"/>
          <w:color w:val="auto"/>
          <w:spacing w:val="-4"/>
          <w:sz w:val="28"/>
          <w:szCs w:val="28"/>
        </w:rPr>
        <w:t>（一）绩效自评结果拟应用情况</w:t>
      </w:r>
    </w:p>
    <w:p w14:paraId="2A6821B5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本项目在实施过程中，严格按照关于印发《中央财政衔接推进乡村振兴补助资金管理办法》的通知（财农〔2021〕19号）及实施方案进行实施。本项目绩效自评结果将作为决策和分配财政资金的重要参考依据。对绩效自评发现的问题认真整改，总结经验、改进管理，不断提高项目实施水平。</w:t>
      </w:r>
    </w:p>
    <w:p w14:paraId="2BD1DBF0">
      <w:pPr>
        <w:spacing w:line="540" w:lineRule="exact"/>
        <w:ind w:firstLine="546" w:firstLineChars="200"/>
        <w:rPr>
          <w:rStyle w:val="21"/>
          <w:rFonts w:hint="eastAsia" w:ascii="仿宋" w:hAnsi="仿宋" w:eastAsia="仿宋" w:cs="仿宋"/>
          <w:spacing w:val="-4"/>
          <w:sz w:val="28"/>
          <w:szCs w:val="28"/>
        </w:rPr>
      </w:pPr>
      <w:r>
        <w:rPr>
          <w:rStyle w:val="21"/>
          <w:rFonts w:hint="eastAsia" w:ascii="仿宋" w:hAnsi="仿宋" w:eastAsia="仿宋" w:cs="仿宋"/>
          <w:spacing w:val="-4"/>
          <w:sz w:val="28"/>
          <w:szCs w:val="28"/>
        </w:rPr>
        <w:t>（二）指标佐证材料说明</w:t>
      </w:r>
    </w:p>
    <w:p w14:paraId="3C60EB93">
      <w:pPr>
        <w:spacing w:line="540" w:lineRule="exact"/>
        <w:ind w:firstLine="627"/>
        <w:rPr>
          <w:rFonts w:hint="eastAsia" w:ascii="仿宋" w:hAnsi="仿宋" w:eastAsia="仿宋" w:cs="仿宋"/>
          <w:sz w:val="28"/>
          <w:szCs w:val="28"/>
          <w:highlight w:val="yellow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  <w:t>项目状况：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2024年8月7日，于田县发展和改革委员会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取得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《关于对于田县2024年牛羊配种服务站建设项目实施方案的批复》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于发改项目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[202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]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195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号）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文件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。</w:t>
      </w:r>
    </w:p>
    <w:p w14:paraId="3AA0558A">
      <w:pPr>
        <w:spacing w:line="540" w:lineRule="exact"/>
        <w:ind w:firstLine="627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过程状况：该项目于分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一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个标段进行实施，工程部分202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28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日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竞争性磋商方式招标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，施工单位为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新疆璟扬建设工程有限公司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，施工工程价格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1783101.34元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，工程于202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29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日开始施工，202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9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月2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9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日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完工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。</w:t>
      </w:r>
    </w:p>
    <w:p w14:paraId="18CDA94E">
      <w:pPr>
        <w:spacing w:line="540" w:lineRule="exact"/>
        <w:ind w:firstLine="627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结果状况：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按时完工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。</w:t>
      </w:r>
    </w:p>
    <w:p w14:paraId="603C6F6A">
      <w:pPr>
        <w:pStyle w:val="54"/>
        <w:spacing w:line="540" w:lineRule="exact"/>
        <w:ind w:left="3" w:right="3" w:firstLine="562"/>
        <w:rPr>
          <w:rStyle w:val="21"/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Style w:val="21"/>
          <w:rFonts w:hint="eastAsia" w:ascii="仿宋" w:hAnsi="仿宋" w:eastAsia="仿宋" w:cs="仿宋"/>
          <w:color w:val="auto"/>
          <w:sz w:val="28"/>
          <w:szCs w:val="28"/>
          <w:highlight w:val="none"/>
        </w:rPr>
        <w:t>（三）主要经验及做法</w:t>
      </w:r>
    </w:p>
    <w:p w14:paraId="5BD990AB">
      <w:pPr>
        <w:spacing w:line="54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于田县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2024年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牛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羊配种服务站建设项目资金安排、使用过程中严格执行乡村振兴项目资金管理制度，确保乡村振兴项目正常运行为构建长效稳定奠定物质基础。</w:t>
      </w:r>
    </w:p>
    <w:p w14:paraId="189891D8">
      <w:pPr>
        <w:spacing w:line="540" w:lineRule="exact"/>
        <w:ind w:firstLine="562" w:firstLineChars="200"/>
        <w:rPr>
          <w:rStyle w:val="21"/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Style w:val="21"/>
          <w:rFonts w:hint="eastAsia" w:ascii="仿宋" w:hAnsi="仿宋" w:eastAsia="仿宋" w:cs="仿宋"/>
          <w:sz w:val="28"/>
          <w:szCs w:val="28"/>
          <w:highlight w:val="none"/>
        </w:rPr>
        <w:t>（四）存在的问题</w:t>
      </w:r>
    </w:p>
    <w:p w14:paraId="59A55E1E">
      <w:pPr>
        <w:spacing w:line="54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于田县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2024年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牛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羊配种服务站建设项目资金安排、使用过程中存在一些问题，主要是项目存在结余资金。</w:t>
      </w:r>
    </w:p>
    <w:p w14:paraId="4B83A66B">
      <w:pPr>
        <w:spacing w:line="540" w:lineRule="exact"/>
        <w:ind w:firstLine="562" w:firstLineChars="200"/>
        <w:rPr>
          <w:rStyle w:val="21"/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Style w:val="21"/>
          <w:rFonts w:hint="eastAsia" w:ascii="仿宋" w:hAnsi="仿宋" w:eastAsia="仿宋" w:cs="仿宋"/>
          <w:sz w:val="28"/>
          <w:szCs w:val="28"/>
          <w:highlight w:val="none"/>
        </w:rPr>
        <w:t>（五）建议</w:t>
      </w:r>
    </w:p>
    <w:p w14:paraId="0B950FE7">
      <w:pPr>
        <w:spacing w:line="54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后续要加强项目资金监督力度，严格执行乡村振兴项目资金管理制度，确保乡村振兴项目正常运行。建立健全资产管理体制和运行机制，持续发挥资产扶持效益，确保资产运行安全，管理高效；为构建长效稳定的乡村振兴环境奠定物质基础。</w:t>
      </w:r>
    </w:p>
    <w:p w14:paraId="2DD4CD87">
      <w:pPr>
        <w:spacing w:line="540" w:lineRule="exact"/>
        <w:ind w:firstLine="562" w:firstLineChars="200"/>
        <w:rPr>
          <w:rStyle w:val="21"/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Style w:val="21"/>
          <w:rFonts w:hint="eastAsia" w:ascii="仿宋" w:hAnsi="仿宋" w:eastAsia="仿宋" w:cs="仿宋"/>
          <w:sz w:val="28"/>
          <w:szCs w:val="28"/>
          <w:highlight w:val="none"/>
        </w:rPr>
        <w:t>（六）项目绩效公告公示情况</w:t>
      </w:r>
    </w:p>
    <w:p w14:paraId="1A6C5822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项目按照项目公告公示规定要求，完成项目前期公开、项目建设期公开，项目竣工后公开，通过张榜公示向社会公开，接受社会监督。同时，通过门户网站，对项目绩效情况进行公示。</w:t>
      </w:r>
    </w:p>
    <w:sectPr>
      <w:headerReference r:id="rId3" w:type="default"/>
      <w:footerReference r:id="rId4" w:type="default"/>
      <w:pgSz w:w="11906" w:h="16838"/>
      <w:pgMar w:top="1985" w:right="1134" w:bottom="1134" w:left="1701" w:header="737" w:footer="737" w:gutter="0"/>
      <w:pgNumType w:start="0"/>
      <w:cols w:space="425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43567469"/>
      <w:docPartObj>
        <w:docPartGallery w:val="autotext"/>
      </w:docPartObj>
    </w:sdtPr>
    <w:sdtContent>
      <w:p w14:paraId="6686B59D">
        <w:pPr>
          <w:pStyle w:val="1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066F049D">
    <w:pPr>
      <w:pStyle w:val="1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8E943D">
    <w:pPr>
      <w:pStyle w:val="1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SnapToGridInCell/>
    <w:doNotWrapTextWithPunct/>
    <w:doNotUseEastAsianBreakRules/>
    <w:growAutofit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NWZlY2M2YjcxNmZjZmYyODY1MDg0Y2QwMDhiZTYxOGUifQ=="/>
  </w:docVars>
  <w:rsids>
    <w:rsidRoot w:val="00B312FC"/>
    <w:rsid w:val="00005A8B"/>
    <w:rsid w:val="000260F1"/>
    <w:rsid w:val="00026982"/>
    <w:rsid w:val="00044E24"/>
    <w:rsid w:val="00054312"/>
    <w:rsid w:val="00071ED9"/>
    <w:rsid w:val="00080041"/>
    <w:rsid w:val="00083077"/>
    <w:rsid w:val="00091C2E"/>
    <w:rsid w:val="000970E2"/>
    <w:rsid w:val="000A3F8B"/>
    <w:rsid w:val="000B68C8"/>
    <w:rsid w:val="000E0477"/>
    <w:rsid w:val="000F003D"/>
    <w:rsid w:val="000F5BA4"/>
    <w:rsid w:val="001302C1"/>
    <w:rsid w:val="001529B8"/>
    <w:rsid w:val="001C12C9"/>
    <w:rsid w:val="001C5A74"/>
    <w:rsid w:val="001D0046"/>
    <w:rsid w:val="001D7871"/>
    <w:rsid w:val="001F0A88"/>
    <w:rsid w:val="002073D6"/>
    <w:rsid w:val="00216DCD"/>
    <w:rsid w:val="002356F3"/>
    <w:rsid w:val="0023669C"/>
    <w:rsid w:val="00237DAC"/>
    <w:rsid w:val="00243713"/>
    <w:rsid w:val="0025219B"/>
    <w:rsid w:val="002746C2"/>
    <w:rsid w:val="0028360D"/>
    <w:rsid w:val="002A49E9"/>
    <w:rsid w:val="002B362C"/>
    <w:rsid w:val="002B5C62"/>
    <w:rsid w:val="002C1B5A"/>
    <w:rsid w:val="002C6622"/>
    <w:rsid w:val="00303872"/>
    <w:rsid w:val="003230C6"/>
    <w:rsid w:val="00343C8B"/>
    <w:rsid w:val="0035619D"/>
    <w:rsid w:val="0036579B"/>
    <w:rsid w:val="0037545E"/>
    <w:rsid w:val="003B103E"/>
    <w:rsid w:val="003B2066"/>
    <w:rsid w:val="003B38D1"/>
    <w:rsid w:val="003B45C2"/>
    <w:rsid w:val="003C10B6"/>
    <w:rsid w:val="003D6089"/>
    <w:rsid w:val="003F7CD3"/>
    <w:rsid w:val="00407329"/>
    <w:rsid w:val="0042774A"/>
    <w:rsid w:val="00433105"/>
    <w:rsid w:val="0043529B"/>
    <w:rsid w:val="004447F6"/>
    <w:rsid w:val="00452A7B"/>
    <w:rsid w:val="004765F9"/>
    <w:rsid w:val="004D19E3"/>
    <w:rsid w:val="004E156F"/>
    <w:rsid w:val="004E2E01"/>
    <w:rsid w:val="004F278C"/>
    <w:rsid w:val="004F71F5"/>
    <w:rsid w:val="00502531"/>
    <w:rsid w:val="005033D8"/>
    <w:rsid w:val="00521E88"/>
    <w:rsid w:val="00545496"/>
    <w:rsid w:val="005469CF"/>
    <w:rsid w:val="00552AC6"/>
    <w:rsid w:val="00556729"/>
    <w:rsid w:val="00561ADC"/>
    <w:rsid w:val="005A0B83"/>
    <w:rsid w:val="005B4348"/>
    <w:rsid w:val="005B7749"/>
    <w:rsid w:val="005C53C4"/>
    <w:rsid w:val="005D7C18"/>
    <w:rsid w:val="005F09FA"/>
    <w:rsid w:val="005F7D5D"/>
    <w:rsid w:val="00600873"/>
    <w:rsid w:val="00601C6E"/>
    <w:rsid w:val="00607547"/>
    <w:rsid w:val="00642C18"/>
    <w:rsid w:val="00696A43"/>
    <w:rsid w:val="006C2EB3"/>
    <w:rsid w:val="006F23BE"/>
    <w:rsid w:val="00704F2C"/>
    <w:rsid w:val="00713A95"/>
    <w:rsid w:val="00725579"/>
    <w:rsid w:val="007658DB"/>
    <w:rsid w:val="007A57AD"/>
    <w:rsid w:val="007F690F"/>
    <w:rsid w:val="0080022F"/>
    <w:rsid w:val="0081784A"/>
    <w:rsid w:val="00820ECF"/>
    <w:rsid w:val="008703E2"/>
    <w:rsid w:val="00897839"/>
    <w:rsid w:val="008A3305"/>
    <w:rsid w:val="008A49C0"/>
    <w:rsid w:val="008B044F"/>
    <w:rsid w:val="008B4230"/>
    <w:rsid w:val="008B6B8E"/>
    <w:rsid w:val="008C3F3B"/>
    <w:rsid w:val="008C5612"/>
    <w:rsid w:val="008D0053"/>
    <w:rsid w:val="008F152D"/>
    <w:rsid w:val="0091422D"/>
    <w:rsid w:val="00925C25"/>
    <w:rsid w:val="0093300C"/>
    <w:rsid w:val="00941946"/>
    <w:rsid w:val="009448D8"/>
    <w:rsid w:val="0094736A"/>
    <w:rsid w:val="00961458"/>
    <w:rsid w:val="00980843"/>
    <w:rsid w:val="00981546"/>
    <w:rsid w:val="009844ED"/>
    <w:rsid w:val="009C105D"/>
    <w:rsid w:val="009C2529"/>
    <w:rsid w:val="009D11ED"/>
    <w:rsid w:val="00A1755C"/>
    <w:rsid w:val="00A20A41"/>
    <w:rsid w:val="00A233B8"/>
    <w:rsid w:val="00A2767E"/>
    <w:rsid w:val="00A2793F"/>
    <w:rsid w:val="00A405C5"/>
    <w:rsid w:val="00A416AC"/>
    <w:rsid w:val="00A41FFA"/>
    <w:rsid w:val="00A71644"/>
    <w:rsid w:val="00A75331"/>
    <w:rsid w:val="00A91374"/>
    <w:rsid w:val="00AA0053"/>
    <w:rsid w:val="00AB0532"/>
    <w:rsid w:val="00AB4406"/>
    <w:rsid w:val="00B312FC"/>
    <w:rsid w:val="00B322F0"/>
    <w:rsid w:val="00B455F6"/>
    <w:rsid w:val="00B516E9"/>
    <w:rsid w:val="00B606E1"/>
    <w:rsid w:val="00B77438"/>
    <w:rsid w:val="00B94447"/>
    <w:rsid w:val="00BB1ADD"/>
    <w:rsid w:val="00BC59F8"/>
    <w:rsid w:val="00BD5077"/>
    <w:rsid w:val="00BF0294"/>
    <w:rsid w:val="00C1188E"/>
    <w:rsid w:val="00C36832"/>
    <w:rsid w:val="00C36FD3"/>
    <w:rsid w:val="00C37AEC"/>
    <w:rsid w:val="00C47EDA"/>
    <w:rsid w:val="00C5126D"/>
    <w:rsid w:val="00C5141C"/>
    <w:rsid w:val="00C5653E"/>
    <w:rsid w:val="00C960FD"/>
    <w:rsid w:val="00CA0AB1"/>
    <w:rsid w:val="00CD3679"/>
    <w:rsid w:val="00CF0678"/>
    <w:rsid w:val="00CF170A"/>
    <w:rsid w:val="00CF20B9"/>
    <w:rsid w:val="00D0177C"/>
    <w:rsid w:val="00D026EF"/>
    <w:rsid w:val="00D157F5"/>
    <w:rsid w:val="00D44695"/>
    <w:rsid w:val="00D67F10"/>
    <w:rsid w:val="00D775A1"/>
    <w:rsid w:val="00DB1673"/>
    <w:rsid w:val="00DC00CB"/>
    <w:rsid w:val="00DD0927"/>
    <w:rsid w:val="00DE5332"/>
    <w:rsid w:val="00DE5C9F"/>
    <w:rsid w:val="00E039A7"/>
    <w:rsid w:val="00E20066"/>
    <w:rsid w:val="00E215D5"/>
    <w:rsid w:val="00E231E6"/>
    <w:rsid w:val="00E35D4C"/>
    <w:rsid w:val="00E36AF4"/>
    <w:rsid w:val="00E417AF"/>
    <w:rsid w:val="00E5760D"/>
    <w:rsid w:val="00E62F01"/>
    <w:rsid w:val="00E66C44"/>
    <w:rsid w:val="00E72FF5"/>
    <w:rsid w:val="00E952C7"/>
    <w:rsid w:val="00EB734B"/>
    <w:rsid w:val="00EE2F0B"/>
    <w:rsid w:val="00F20397"/>
    <w:rsid w:val="00F22B59"/>
    <w:rsid w:val="00F331EB"/>
    <w:rsid w:val="00F4497B"/>
    <w:rsid w:val="00F52D23"/>
    <w:rsid w:val="00F66291"/>
    <w:rsid w:val="00F66C47"/>
    <w:rsid w:val="00F74F64"/>
    <w:rsid w:val="00F75FFF"/>
    <w:rsid w:val="00F83581"/>
    <w:rsid w:val="00F836A2"/>
    <w:rsid w:val="00FB7553"/>
    <w:rsid w:val="00FD470D"/>
    <w:rsid w:val="00FD4E1C"/>
    <w:rsid w:val="00FD65BA"/>
    <w:rsid w:val="00FE1B50"/>
    <w:rsid w:val="00FF1109"/>
    <w:rsid w:val="03121772"/>
    <w:rsid w:val="037B5764"/>
    <w:rsid w:val="06770859"/>
    <w:rsid w:val="07653CA6"/>
    <w:rsid w:val="09B4111B"/>
    <w:rsid w:val="09FB08FA"/>
    <w:rsid w:val="0ABB5D08"/>
    <w:rsid w:val="0BC731E3"/>
    <w:rsid w:val="0D0E4DAE"/>
    <w:rsid w:val="0EE943A1"/>
    <w:rsid w:val="18F17793"/>
    <w:rsid w:val="19F94CF7"/>
    <w:rsid w:val="1D4509D6"/>
    <w:rsid w:val="1D951327"/>
    <w:rsid w:val="1F994D4B"/>
    <w:rsid w:val="26681778"/>
    <w:rsid w:val="26C4708E"/>
    <w:rsid w:val="284B01DF"/>
    <w:rsid w:val="2D2653AD"/>
    <w:rsid w:val="2E342364"/>
    <w:rsid w:val="2F176346"/>
    <w:rsid w:val="2FE62AFD"/>
    <w:rsid w:val="307C4D3E"/>
    <w:rsid w:val="31775F48"/>
    <w:rsid w:val="325B4B7A"/>
    <w:rsid w:val="33434458"/>
    <w:rsid w:val="354B19C3"/>
    <w:rsid w:val="3667350A"/>
    <w:rsid w:val="3818512B"/>
    <w:rsid w:val="395C4A5D"/>
    <w:rsid w:val="3B44437D"/>
    <w:rsid w:val="3F1461F9"/>
    <w:rsid w:val="45CD4815"/>
    <w:rsid w:val="46824A08"/>
    <w:rsid w:val="46B02CBE"/>
    <w:rsid w:val="479B74B7"/>
    <w:rsid w:val="4ADA0822"/>
    <w:rsid w:val="4B6E4514"/>
    <w:rsid w:val="4D34086B"/>
    <w:rsid w:val="50056E1A"/>
    <w:rsid w:val="51242FDF"/>
    <w:rsid w:val="55282824"/>
    <w:rsid w:val="56240767"/>
    <w:rsid w:val="567E322B"/>
    <w:rsid w:val="59845592"/>
    <w:rsid w:val="5B374FFA"/>
    <w:rsid w:val="63BF526E"/>
    <w:rsid w:val="66125B9A"/>
    <w:rsid w:val="66200DC9"/>
    <w:rsid w:val="67162F4E"/>
    <w:rsid w:val="6CF6604F"/>
    <w:rsid w:val="71247A59"/>
    <w:rsid w:val="723A74B3"/>
    <w:rsid w:val="726150BA"/>
    <w:rsid w:val="738A3536"/>
    <w:rsid w:val="771A4FEA"/>
    <w:rsid w:val="778161C4"/>
    <w:rsid w:val="78034139"/>
    <w:rsid w:val="7DC8072D"/>
    <w:rsid w:val="7F792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楷体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3">
    <w:name w:val="heading 1"/>
    <w:basedOn w:val="1"/>
    <w:next w:val="1"/>
    <w:link w:val="23"/>
    <w:qFormat/>
    <w:uiPriority w:val="9"/>
    <w:pPr>
      <w:keepNext/>
      <w:keepLines/>
      <w:spacing w:before="340" w:after="330" w:line="576" w:lineRule="auto"/>
      <w:outlineLvl w:val="0"/>
    </w:pPr>
    <w:rPr>
      <w:rFonts w:cs="宋体"/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24"/>
    <w:qFormat/>
    <w:uiPriority w:val="9"/>
    <w:pPr>
      <w:keepNext/>
      <w:keepLines/>
      <w:spacing w:before="260" w:after="260" w:line="415" w:lineRule="auto"/>
      <w:outlineLvl w:val="1"/>
    </w:pPr>
    <w:rPr>
      <w:rFonts w:asciiTheme="majorHAnsi" w:hAnsiTheme="majorHAnsi" w:eastAsiaTheme="majorEastAsia" w:cstheme="majorBidi"/>
      <w:b/>
      <w:bCs/>
      <w:szCs w:val="32"/>
    </w:rPr>
  </w:style>
  <w:style w:type="paragraph" w:styleId="5">
    <w:name w:val="heading 3"/>
    <w:basedOn w:val="1"/>
    <w:next w:val="1"/>
    <w:link w:val="25"/>
    <w:qFormat/>
    <w:uiPriority w:val="9"/>
    <w:pPr>
      <w:keepNext/>
      <w:keepLines/>
      <w:spacing w:before="260" w:after="260" w:line="415" w:lineRule="auto"/>
      <w:outlineLvl w:val="2"/>
    </w:pPr>
    <w:rPr>
      <w:rFonts w:cs="宋体"/>
      <w:b/>
      <w:bCs/>
      <w:szCs w:val="32"/>
    </w:rPr>
  </w:style>
  <w:style w:type="paragraph" w:styleId="6">
    <w:name w:val="heading 4"/>
    <w:basedOn w:val="1"/>
    <w:next w:val="1"/>
    <w:link w:val="26"/>
    <w:qFormat/>
    <w:uiPriority w:val="9"/>
    <w:pPr>
      <w:keepNext/>
      <w:keepLines/>
      <w:spacing w:before="280" w:after="290" w:line="374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7">
    <w:name w:val="heading 5"/>
    <w:basedOn w:val="1"/>
    <w:next w:val="1"/>
    <w:link w:val="27"/>
    <w:qFormat/>
    <w:uiPriority w:val="9"/>
    <w:pPr>
      <w:keepNext/>
      <w:keepLines/>
      <w:spacing w:before="280" w:after="290" w:line="374" w:lineRule="auto"/>
      <w:outlineLvl w:val="4"/>
    </w:pPr>
    <w:rPr>
      <w:rFonts w:cs="宋体"/>
      <w:b/>
      <w:bCs/>
      <w:sz w:val="28"/>
      <w:szCs w:val="28"/>
    </w:rPr>
  </w:style>
  <w:style w:type="paragraph" w:styleId="8">
    <w:name w:val="heading 6"/>
    <w:basedOn w:val="1"/>
    <w:next w:val="1"/>
    <w:link w:val="38"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9">
    <w:name w:val="heading 7"/>
    <w:basedOn w:val="1"/>
    <w:next w:val="1"/>
    <w:link w:val="64"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10">
    <w:name w:val="heading 8"/>
    <w:basedOn w:val="1"/>
    <w:next w:val="1"/>
    <w:link w:val="65"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paragraph" w:styleId="11">
    <w:name w:val="heading 9"/>
    <w:basedOn w:val="1"/>
    <w:next w:val="1"/>
    <w:link w:val="66"/>
    <w:qFormat/>
    <w:uiPriority w:val="9"/>
    <w:pPr>
      <w:keepNext/>
      <w:keepLines/>
      <w:spacing w:before="240" w:after="64" w:line="320" w:lineRule="auto"/>
      <w:outlineLvl w:val="8"/>
    </w:pPr>
    <w:rPr>
      <w:rFonts w:asciiTheme="majorHAnsi" w:hAnsiTheme="majorHAnsi" w:eastAsiaTheme="majorEastAsia" w:cstheme="majorBidi"/>
      <w:szCs w:val="21"/>
    </w:rPr>
  </w:style>
  <w:style w:type="character" w:default="1" w:styleId="20">
    <w:name w:val="Default Paragraph Font"/>
    <w:semiHidden/>
    <w:unhideWhenUsed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/>
      <w:szCs w:val="20"/>
    </w:rPr>
  </w:style>
  <w:style w:type="paragraph" w:styleId="12">
    <w:name w:val="annotation text"/>
    <w:basedOn w:val="1"/>
    <w:link w:val="69"/>
    <w:semiHidden/>
    <w:unhideWhenUsed/>
    <w:qFormat/>
    <w:uiPriority w:val="99"/>
    <w:pPr>
      <w:jc w:val="left"/>
    </w:pPr>
  </w:style>
  <w:style w:type="paragraph" w:styleId="13">
    <w:name w:val="Body Text"/>
    <w:basedOn w:val="1"/>
    <w:qFormat/>
    <w:uiPriority w:val="0"/>
    <w:pPr>
      <w:spacing w:after="120"/>
    </w:pPr>
    <w:rPr>
      <w:rFonts w:ascii="宋体"/>
      <w:snapToGrid w:val="0"/>
      <w:sz w:val="28"/>
      <w:szCs w:val="20"/>
    </w:rPr>
  </w:style>
  <w:style w:type="paragraph" w:styleId="14">
    <w:name w:val="Balloon Text"/>
    <w:basedOn w:val="1"/>
    <w:link w:val="71"/>
    <w:semiHidden/>
    <w:unhideWhenUsed/>
    <w:qFormat/>
    <w:uiPriority w:val="99"/>
    <w:rPr>
      <w:sz w:val="18"/>
      <w:szCs w:val="18"/>
    </w:rPr>
  </w:style>
  <w:style w:type="paragraph" w:styleId="15">
    <w:name w:val="footer"/>
    <w:basedOn w:val="1"/>
    <w:link w:val="6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6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8">
    <w:name w:val="annotation subject"/>
    <w:basedOn w:val="12"/>
    <w:next w:val="12"/>
    <w:link w:val="70"/>
    <w:semiHidden/>
    <w:unhideWhenUsed/>
    <w:uiPriority w:val="99"/>
    <w:rPr>
      <w:b/>
      <w:bCs/>
    </w:rPr>
  </w:style>
  <w:style w:type="character" w:styleId="21">
    <w:name w:val="Strong"/>
    <w:basedOn w:val="20"/>
    <w:qFormat/>
    <w:uiPriority w:val="0"/>
    <w:rPr>
      <w:b/>
      <w:bCs/>
    </w:rPr>
  </w:style>
  <w:style w:type="character" w:styleId="22">
    <w:name w:val="annotation reference"/>
    <w:basedOn w:val="20"/>
    <w:semiHidden/>
    <w:unhideWhenUsed/>
    <w:qFormat/>
    <w:uiPriority w:val="99"/>
    <w:rPr>
      <w:sz w:val="21"/>
      <w:szCs w:val="21"/>
    </w:rPr>
  </w:style>
  <w:style w:type="character" w:customStyle="1" w:styleId="23">
    <w:name w:val="标题 1 Char"/>
    <w:basedOn w:val="20"/>
    <w:link w:val="3"/>
    <w:qFormat/>
    <w:locked/>
    <w:uiPriority w:val="9"/>
    <w:rPr>
      <w:b/>
      <w:bCs/>
      <w:kern w:val="44"/>
      <w:sz w:val="44"/>
      <w:szCs w:val="44"/>
    </w:rPr>
  </w:style>
  <w:style w:type="character" w:customStyle="1" w:styleId="24">
    <w:name w:val="标题 2 Char"/>
    <w:basedOn w:val="20"/>
    <w:link w:val="4"/>
    <w:semiHidden/>
    <w:qFormat/>
    <w:locked/>
    <w:uiPriority w:val="9"/>
    <w:rPr>
      <w:rFonts w:hint="eastAsia" w:asciiTheme="majorHAnsi" w:hAnsiTheme="majorHAnsi" w:eastAsiaTheme="majorEastAsia" w:cstheme="majorBidi"/>
      <w:b/>
      <w:bCs/>
      <w:sz w:val="32"/>
      <w:szCs w:val="32"/>
    </w:rPr>
  </w:style>
  <w:style w:type="character" w:customStyle="1" w:styleId="25">
    <w:name w:val="标题 3 Char"/>
    <w:basedOn w:val="20"/>
    <w:link w:val="5"/>
    <w:semiHidden/>
    <w:qFormat/>
    <w:locked/>
    <w:uiPriority w:val="9"/>
    <w:rPr>
      <w:b/>
      <w:bCs/>
      <w:sz w:val="32"/>
      <w:szCs w:val="32"/>
    </w:rPr>
  </w:style>
  <w:style w:type="character" w:customStyle="1" w:styleId="26">
    <w:name w:val="标题 4 Char"/>
    <w:basedOn w:val="20"/>
    <w:link w:val="6"/>
    <w:semiHidden/>
    <w:qFormat/>
    <w:locked/>
    <w:uiPriority w:val="9"/>
    <w:rPr>
      <w:rFonts w:hint="eastAsia" w:asciiTheme="majorHAnsi" w:hAnsiTheme="majorHAnsi" w:eastAsiaTheme="majorEastAsia" w:cstheme="majorBidi"/>
      <w:b/>
      <w:bCs/>
      <w:sz w:val="28"/>
      <w:szCs w:val="28"/>
    </w:rPr>
  </w:style>
  <w:style w:type="character" w:customStyle="1" w:styleId="27">
    <w:name w:val="标题 5 Char"/>
    <w:basedOn w:val="20"/>
    <w:link w:val="7"/>
    <w:semiHidden/>
    <w:qFormat/>
    <w:locked/>
    <w:uiPriority w:val="9"/>
    <w:rPr>
      <w:b/>
      <w:bCs/>
      <w:sz w:val="28"/>
      <w:szCs w:val="28"/>
    </w:rPr>
  </w:style>
  <w:style w:type="character" w:customStyle="1" w:styleId="28">
    <w:name w:val="FZ标题1 字符"/>
    <w:basedOn w:val="20"/>
    <w:link w:val="29"/>
    <w:qFormat/>
    <w:locked/>
    <w:uiPriority w:val="0"/>
    <w:rPr>
      <w:rFonts w:hint="eastAsia" w:ascii="宋体" w:hAnsi="宋体" w:eastAsia="宋体"/>
      <w:b/>
      <w:color w:val="000000"/>
      <w:sz w:val="32"/>
    </w:rPr>
  </w:style>
  <w:style w:type="paragraph" w:customStyle="1" w:styleId="29">
    <w:name w:val="FZ标题1"/>
    <w:basedOn w:val="3"/>
    <w:link w:val="28"/>
    <w:qFormat/>
    <w:uiPriority w:val="0"/>
    <w:pPr>
      <w:keepNext w:val="0"/>
      <w:keepLines w:val="0"/>
      <w:snapToGrid w:val="0"/>
      <w:spacing w:before="0" w:after="0" w:line="360" w:lineRule="auto"/>
      <w:ind w:left="1" w:leftChars="1" w:right="1" w:rightChars="1" w:firstLine="1" w:firstLineChars="1"/>
      <w:jc w:val="center"/>
    </w:pPr>
    <w:rPr>
      <w:rFonts w:ascii="宋体" w:hAnsi="宋体" w:eastAsia="宋体" w:cstheme="minorBidi"/>
      <w:bCs w:val="0"/>
      <w:color w:val="000000"/>
      <w:kern w:val="2"/>
      <w:sz w:val="32"/>
      <w:szCs w:val="22"/>
    </w:rPr>
  </w:style>
  <w:style w:type="character" w:customStyle="1" w:styleId="30">
    <w:name w:val="FZ标题2 字符"/>
    <w:basedOn w:val="20"/>
    <w:link w:val="31"/>
    <w:qFormat/>
    <w:locked/>
    <w:uiPriority w:val="0"/>
    <w:rPr>
      <w:rFonts w:eastAsia="黑体"/>
      <w:b/>
      <w:bCs/>
      <w:color w:val="000000"/>
      <w:kern w:val="2"/>
      <w:sz w:val="28"/>
      <w:szCs w:val="44"/>
    </w:rPr>
  </w:style>
  <w:style w:type="paragraph" w:customStyle="1" w:styleId="31">
    <w:name w:val="FZ标题2"/>
    <w:basedOn w:val="4"/>
    <w:link w:val="30"/>
    <w:qFormat/>
    <w:uiPriority w:val="0"/>
    <w:pPr>
      <w:keepNext w:val="0"/>
      <w:keepLines w:val="0"/>
      <w:snapToGrid w:val="0"/>
      <w:spacing w:before="0" w:beforeLines="50" w:after="0" w:line="360" w:lineRule="auto"/>
      <w:ind w:left="1" w:leftChars="1" w:right="1" w:rightChars="1" w:firstLine="1" w:firstLineChars="1"/>
      <w:jc w:val="left"/>
    </w:pPr>
    <w:rPr>
      <w:rFonts w:ascii="宋体" w:hAnsi="宋体" w:eastAsia="黑体" w:cstheme="minorBidi"/>
      <w:color w:val="000000"/>
      <w:sz w:val="28"/>
      <w:szCs w:val="44"/>
    </w:rPr>
  </w:style>
  <w:style w:type="character" w:customStyle="1" w:styleId="32">
    <w:name w:val="FZ标题3 字符"/>
    <w:basedOn w:val="20"/>
    <w:link w:val="33"/>
    <w:qFormat/>
    <w:locked/>
    <w:uiPriority w:val="0"/>
    <w:rPr>
      <w:rFonts w:eastAsia="仿宋_GB2312" w:cstheme="majorBidi"/>
      <w:b/>
      <w:bCs/>
      <w:color w:val="000000"/>
      <w:kern w:val="2"/>
      <w:sz w:val="28"/>
      <w:szCs w:val="32"/>
    </w:rPr>
  </w:style>
  <w:style w:type="paragraph" w:customStyle="1" w:styleId="33">
    <w:name w:val="FZ标题3"/>
    <w:basedOn w:val="5"/>
    <w:link w:val="32"/>
    <w:qFormat/>
    <w:uiPriority w:val="0"/>
    <w:pPr>
      <w:keepNext w:val="0"/>
      <w:keepLines w:val="0"/>
      <w:snapToGrid w:val="0"/>
      <w:spacing w:before="120" w:beforeLines="50" w:after="0" w:line="360" w:lineRule="auto"/>
      <w:ind w:right="3" w:rightChars="1" w:firstLine="281" w:firstLineChars="100"/>
    </w:pPr>
    <w:rPr>
      <w:rFonts w:ascii="宋体" w:hAnsi="宋体" w:eastAsia="仿宋_GB2312" w:cstheme="majorBidi"/>
      <w:color w:val="000000"/>
      <w:sz w:val="28"/>
    </w:rPr>
  </w:style>
  <w:style w:type="character" w:customStyle="1" w:styleId="34">
    <w:name w:val="FZ标题4 字符"/>
    <w:basedOn w:val="20"/>
    <w:link w:val="35"/>
    <w:qFormat/>
    <w:locked/>
    <w:uiPriority w:val="0"/>
    <w:rPr>
      <w:rFonts w:ascii="仿宋_GB2312" w:eastAsia="仿宋_GB2312"/>
      <w:b/>
      <w:bCs/>
      <w:color w:val="000000"/>
      <w:kern w:val="2"/>
      <w:sz w:val="28"/>
      <w:szCs w:val="32"/>
    </w:rPr>
  </w:style>
  <w:style w:type="paragraph" w:customStyle="1" w:styleId="35">
    <w:name w:val="FZ标题4"/>
    <w:basedOn w:val="6"/>
    <w:link w:val="34"/>
    <w:qFormat/>
    <w:uiPriority w:val="0"/>
    <w:pPr>
      <w:keepNext w:val="0"/>
      <w:keepLines w:val="0"/>
      <w:snapToGrid w:val="0"/>
      <w:spacing w:before="120" w:beforeLines="50" w:after="0" w:line="560" w:lineRule="exact"/>
      <w:ind w:firstLine="562" w:firstLineChars="200"/>
      <w:jc w:val="left"/>
    </w:pPr>
    <w:rPr>
      <w:rFonts w:ascii="仿宋_GB2312" w:hAnsi="宋体" w:eastAsia="仿宋_GB2312" w:cstheme="minorBidi"/>
      <w:color w:val="000000"/>
      <w:szCs w:val="32"/>
    </w:rPr>
  </w:style>
  <w:style w:type="character" w:customStyle="1" w:styleId="36">
    <w:name w:val="FZ标题5 字符"/>
    <w:basedOn w:val="20"/>
    <w:link w:val="37"/>
    <w:qFormat/>
    <w:locked/>
    <w:uiPriority w:val="0"/>
    <w:rPr>
      <w:rFonts w:hint="eastAsia" w:ascii="宋体" w:hAnsi="宋体" w:eastAsia="宋体" w:cstheme="majorBidi"/>
      <w:bCs/>
      <w:color w:val="000000"/>
      <w:szCs w:val="28"/>
    </w:rPr>
  </w:style>
  <w:style w:type="paragraph" w:customStyle="1" w:styleId="37">
    <w:name w:val="FZ标题5"/>
    <w:basedOn w:val="7"/>
    <w:link w:val="36"/>
    <w:qFormat/>
    <w:uiPriority w:val="0"/>
    <w:pPr>
      <w:keepNext w:val="0"/>
      <w:keepLines w:val="0"/>
      <w:snapToGrid w:val="0"/>
      <w:spacing w:before="0" w:beforeLines="50" w:after="0" w:line="360" w:lineRule="auto"/>
      <w:ind w:left="1" w:leftChars="1" w:right="1" w:rightChars="1" w:firstLine="200" w:firstLineChars="200"/>
      <w:jc w:val="left"/>
    </w:pPr>
    <w:rPr>
      <w:rFonts w:ascii="宋体" w:hAnsi="宋体" w:eastAsia="宋体" w:cstheme="majorBidi"/>
      <w:b w:val="0"/>
      <w:color w:val="000000"/>
      <w:sz w:val="21"/>
    </w:rPr>
  </w:style>
  <w:style w:type="character" w:customStyle="1" w:styleId="38">
    <w:name w:val="标题 6 Char"/>
    <w:basedOn w:val="20"/>
    <w:link w:val="8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39">
    <w:name w:val="FZ标题6 字符"/>
    <w:basedOn w:val="20"/>
    <w:link w:val="40"/>
    <w:qFormat/>
    <w:locked/>
    <w:uiPriority w:val="0"/>
    <w:rPr>
      <w:rFonts w:hint="eastAsia" w:ascii="宋体" w:hAnsi="宋体" w:eastAsia="宋体"/>
      <w:bCs/>
      <w:color w:val="000000"/>
      <w:szCs w:val="28"/>
    </w:rPr>
  </w:style>
  <w:style w:type="paragraph" w:customStyle="1" w:styleId="40">
    <w:name w:val="FZ标题6"/>
    <w:basedOn w:val="8"/>
    <w:link w:val="39"/>
    <w:qFormat/>
    <w:uiPriority w:val="0"/>
    <w:pPr>
      <w:keepNext w:val="0"/>
      <w:keepLines w:val="0"/>
      <w:snapToGrid w:val="0"/>
      <w:spacing w:before="0" w:beforeLines="50" w:after="0" w:line="360" w:lineRule="auto"/>
      <w:ind w:left="1" w:leftChars="1" w:right="1" w:rightChars="1" w:firstLine="200" w:firstLineChars="200"/>
      <w:jc w:val="left"/>
    </w:pPr>
    <w:rPr>
      <w:rFonts w:ascii="宋体" w:hAnsi="宋体" w:eastAsia="宋体" w:cstheme="minorBidi"/>
      <w:b w:val="0"/>
      <w:color w:val="000000"/>
      <w:sz w:val="21"/>
      <w:szCs w:val="28"/>
    </w:rPr>
  </w:style>
  <w:style w:type="character" w:customStyle="1" w:styleId="41">
    <w:name w:val="FZ表格标题行首列 字符"/>
    <w:basedOn w:val="20"/>
    <w:link w:val="42"/>
    <w:qFormat/>
    <w:locked/>
    <w:uiPriority w:val="0"/>
    <w:rPr>
      <w:rFonts w:hint="eastAsia" w:ascii="宋体" w:hAnsi="宋体" w:eastAsia="宋体"/>
      <w:color w:val="000000"/>
      <w:sz w:val="18"/>
    </w:rPr>
  </w:style>
  <w:style w:type="paragraph" w:customStyle="1" w:styleId="42">
    <w:name w:val="FZ表格标题行首列"/>
    <w:basedOn w:val="1"/>
    <w:link w:val="41"/>
    <w:qFormat/>
    <w:uiPriority w:val="0"/>
    <w:pPr>
      <w:snapToGrid w:val="0"/>
      <w:spacing w:before="10" w:after="10"/>
      <w:ind w:left="1" w:leftChars="1" w:right="1" w:rightChars="1" w:firstLine="74" w:firstLineChars="50"/>
      <w:jc w:val="left"/>
    </w:pPr>
    <w:rPr>
      <w:rFonts w:ascii="宋体" w:hAnsi="宋体" w:eastAsia="宋体"/>
      <w:color w:val="000000"/>
      <w:sz w:val="18"/>
    </w:rPr>
  </w:style>
  <w:style w:type="character" w:customStyle="1" w:styleId="43">
    <w:name w:val="FZ表格标题行 字符"/>
    <w:basedOn w:val="20"/>
    <w:link w:val="44"/>
    <w:qFormat/>
    <w:locked/>
    <w:uiPriority w:val="0"/>
    <w:rPr>
      <w:rFonts w:hint="eastAsia" w:ascii="宋体" w:hAnsi="宋体" w:eastAsia="宋体"/>
      <w:color w:val="000000"/>
      <w:sz w:val="18"/>
    </w:rPr>
  </w:style>
  <w:style w:type="paragraph" w:customStyle="1" w:styleId="44">
    <w:name w:val="FZ表格标题行"/>
    <w:basedOn w:val="1"/>
    <w:link w:val="43"/>
    <w:qFormat/>
    <w:uiPriority w:val="0"/>
    <w:pPr>
      <w:snapToGrid w:val="0"/>
      <w:spacing w:before="10" w:after="10"/>
      <w:ind w:left="1" w:leftChars="1" w:right="1" w:rightChars="1" w:firstLine="74" w:firstLineChars="74"/>
      <w:jc w:val="center"/>
    </w:pPr>
    <w:rPr>
      <w:rFonts w:ascii="宋体" w:hAnsi="宋体" w:eastAsia="宋体"/>
      <w:color w:val="000000"/>
      <w:sz w:val="18"/>
    </w:rPr>
  </w:style>
  <w:style w:type="character" w:customStyle="1" w:styleId="45">
    <w:name w:val="FZ表格正文行首列 字符"/>
    <w:basedOn w:val="20"/>
    <w:link w:val="46"/>
    <w:qFormat/>
    <w:locked/>
    <w:uiPriority w:val="0"/>
    <w:rPr>
      <w:rFonts w:hint="eastAsia" w:ascii="宋体" w:hAnsi="宋体" w:eastAsia="宋体"/>
      <w:color w:val="000000"/>
      <w:sz w:val="18"/>
    </w:rPr>
  </w:style>
  <w:style w:type="paragraph" w:customStyle="1" w:styleId="46">
    <w:name w:val="FZ表格正文行首列"/>
    <w:basedOn w:val="1"/>
    <w:link w:val="45"/>
    <w:qFormat/>
    <w:uiPriority w:val="0"/>
    <w:pPr>
      <w:snapToGrid w:val="0"/>
      <w:spacing w:before="10" w:after="10"/>
      <w:ind w:left="1" w:leftChars="1" w:right="1" w:rightChars="1" w:firstLine="50" w:firstLineChars="50"/>
      <w:jc w:val="left"/>
    </w:pPr>
    <w:rPr>
      <w:rFonts w:ascii="宋体" w:hAnsi="宋体" w:eastAsia="宋体"/>
      <w:color w:val="000000"/>
      <w:sz w:val="18"/>
    </w:rPr>
  </w:style>
  <w:style w:type="character" w:customStyle="1" w:styleId="47">
    <w:name w:val="FZ表格正文行 字符"/>
    <w:basedOn w:val="20"/>
    <w:link w:val="48"/>
    <w:qFormat/>
    <w:locked/>
    <w:uiPriority w:val="0"/>
    <w:rPr>
      <w:rFonts w:hint="eastAsia" w:ascii="宋体" w:hAnsi="宋体" w:eastAsia="宋体"/>
      <w:color w:val="000000"/>
      <w:sz w:val="18"/>
    </w:rPr>
  </w:style>
  <w:style w:type="paragraph" w:customStyle="1" w:styleId="48">
    <w:name w:val="FZ表格正文行"/>
    <w:basedOn w:val="1"/>
    <w:link w:val="47"/>
    <w:qFormat/>
    <w:uiPriority w:val="0"/>
    <w:pPr>
      <w:snapToGrid w:val="0"/>
      <w:spacing w:before="10" w:after="10"/>
      <w:ind w:left="1" w:leftChars="1" w:right="1" w:rightChars="50" w:firstLine="74" w:firstLineChars="50"/>
      <w:jc w:val="right"/>
    </w:pPr>
    <w:rPr>
      <w:rFonts w:ascii="Times New Roman" w:hAnsi="Times New Roman" w:eastAsia="宋体"/>
      <w:color w:val="000000"/>
      <w:sz w:val="18"/>
    </w:rPr>
  </w:style>
  <w:style w:type="character" w:customStyle="1" w:styleId="49">
    <w:name w:val="FZ表格合计行首列 字符"/>
    <w:basedOn w:val="20"/>
    <w:link w:val="50"/>
    <w:qFormat/>
    <w:locked/>
    <w:uiPriority w:val="0"/>
    <w:rPr>
      <w:rFonts w:hint="eastAsia" w:ascii="宋体" w:hAnsi="宋体" w:eastAsia="宋体"/>
      <w:color w:val="000000"/>
      <w:sz w:val="18"/>
    </w:rPr>
  </w:style>
  <w:style w:type="paragraph" w:customStyle="1" w:styleId="50">
    <w:name w:val="FZ表格合计行首列"/>
    <w:basedOn w:val="1"/>
    <w:link w:val="49"/>
    <w:qFormat/>
    <w:uiPriority w:val="0"/>
    <w:pPr>
      <w:snapToGrid w:val="0"/>
      <w:spacing w:before="10" w:after="10"/>
      <w:ind w:left="1" w:leftChars="1" w:right="1" w:rightChars="1" w:firstLine="74" w:firstLineChars="74"/>
      <w:jc w:val="center"/>
    </w:pPr>
    <w:rPr>
      <w:rFonts w:ascii="宋体" w:hAnsi="宋体" w:eastAsia="宋体"/>
      <w:color w:val="000000"/>
      <w:sz w:val="18"/>
    </w:rPr>
  </w:style>
  <w:style w:type="character" w:customStyle="1" w:styleId="51">
    <w:name w:val="FZ表格合计行 字符"/>
    <w:basedOn w:val="20"/>
    <w:link w:val="52"/>
    <w:qFormat/>
    <w:locked/>
    <w:uiPriority w:val="0"/>
    <w:rPr>
      <w:rFonts w:hint="eastAsia" w:ascii="宋体" w:hAnsi="宋体" w:eastAsia="宋体"/>
      <w:color w:val="000000"/>
      <w:sz w:val="18"/>
    </w:rPr>
  </w:style>
  <w:style w:type="paragraph" w:customStyle="1" w:styleId="52">
    <w:name w:val="FZ表格合计行"/>
    <w:basedOn w:val="1"/>
    <w:link w:val="51"/>
    <w:qFormat/>
    <w:uiPriority w:val="0"/>
    <w:pPr>
      <w:snapToGrid w:val="0"/>
      <w:spacing w:before="10" w:after="10"/>
      <w:ind w:left="1" w:leftChars="1" w:right="1" w:rightChars="1" w:firstLine="74"/>
      <w:jc w:val="right"/>
    </w:pPr>
    <w:rPr>
      <w:rFonts w:ascii="Times New Roman" w:hAnsi="Times New Roman" w:eastAsia="宋体"/>
      <w:color w:val="000000"/>
      <w:sz w:val="18"/>
    </w:rPr>
  </w:style>
  <w:style w:type="character" w:customStyle="1" w:styleId="53">
    <w:name w:val="FZ正文 字符"/>
    <w:basedOn w:val="20"/>
    <w:link w:val="54"/>
    <w:qFormat/>
    <w:locked/>
    <w:uiPriority w:val="0"/>
    <w:rPr>
      <w:rFonts w:ascii="Times New Roman" w:hAnsi="Times New Roman" w:eastAsia="仿宋_GB2312" w:cs="Times New Roman"/>
      <w:color w:val="000000"/>
      <w:kern w:val="2"/>
      <w:sz w:val="28"/>
      <w:szCs w:val="22"/>
    </w:rPr>
  </w:style>
  <w:style w:type="paragraph" w:customStyle="1" w:styleId="54">
    <w:name w:val="FZ正文"/>
    <w:basedOn w:val="1"/>
    <w:link w:val="53"/>
    <w:qFormat/>
    <w:uiPriority w:val="0"/>
    <w:pPr>
      <w:snapToGrid w:val="0"/>
      <w:spacing w:line="360" w:lineRule="auto"/>
      <w:ind w:left="1" w:leftChars="1" w:right="1" w:rightChars="1" w:firstLine="200" w:firstLineChars="200"/>
    </w:pPr>
    <w:rPr>
      <w:rFonts w:ascii="Times New Roman" w:hAnsi="Times New Roman" w:eastAsia="仿宋_GB2312" w:cs="Times New Roman"/>
      <w:color w:val="000000"/>
      <w:sz w:val="28"/>
    </w:rPr>
  </w:style>
  <w:style w:type="character" w:customStyle="1" w:styleId="55">
    <w:name w:val="FZ副标题 字符"/>
    <w:basedOn w:val="20"/>
    <w:link w:val="56"/>
    <w:qFormat/>
    <w:locked/>
    <w:uiPriority w:val="0"/>
    <w:rPr>
      <w:rFonts w:hint="eastAsia" w:ascii="宋体" w:hAnsi="宋体" w:eastAsia="宋体"/>
      <w:color w:val="000000"/>
    </w:rPr>
  </w:style>
  <w:style w:type="paragraph" w:customStyle="1" w:styleId="56">
    <w:name w:val="FZ副标题"/>
    <w:basedOn w:val="1"/>
    <w:link w:val="55"/>
    <w:qFormat/>
    <w:uiPriority w:val="0"/>
    <w:pPr>
      <w:snapToGrid w:val="0"/>
      <w:spacing w:beforeLines="50"/>
      <w:ind w:left="1" w:leftChars="1" w:right="1" w:rightChars="1" w:firstLine="1" w:firstLineChars="1"/>
      <w:jc w:val="center"/>
    </w:pPr>
    <w:rPr>
      <w:rFonts w:ascii="宋体" w:hAnsi="宋体" w:eastAsia="宋体"/>
      <w:color w:val="000000"/>
    </w:rPr>
  </w:style>
  <w:style w:type="character" w:customStyle="1" w:styleId="57">
    <w:name w:val="FZ落款 字符"/>
    <w:basedOn w:val="20"/>
    <w:link w:val="58"/>
    <w:qFormat/>
    <w:locked/>
    <w:uiPriority w:val="0"/>
    <w:rPr>
      <w:rFonts w:hint="eastAsia" w:ascii="宋体" w:hAnsi="宋体" w:eastAsia="宋体"/>
      <w:color w:val="000000"/>
    </w:rPr>
  </w:style>
  <w:style w:type="paragraph" w:customStyle="1" w:styleId="58">
    <w:name w:val="FZ落款"/>
    <w:basedOn w:val="1"/>
    <w:link w:val="57"/>
    <w:qFormat/>
    <w:uiPriority w:val="0"/>
    <w:pPr>
      <w:snapToGrid w:val="0"/>
      <w:spacing w:beforeLines="50" w:line="360" w:lineRule="auto"/>
      <w:ind w:left="1" w:leftChars="1" w:right="1" w:rightChars="1" w:firstLine="1500" w:firstLineChars="1500"/>
      <w:jc w:val="center"/>
    </w:pPr>
    <w:rPr>
      <w:rFonts w:ascii="宋体" w:hAnsi="宋体" w:eastAsia="宋体"/>
      <w:color w:val="000000"/>
    </w:rPr>
  </w:style>
  <w:style w:type="character" w:customStyle="1" w:styleId="59">
    <w:name w:val="FZ注释 字符"/>
    <w:basedOn w:val="20"/>
    <w:link w:val="60"/>
    <w:qFormat/>
    <w:locked/>
    <w:uiPriority w:val="0"/>
    <w:rPr>
      <w:rFonts w:hint="eastAsia" w:ascii="宋体" w:hAnsi="宋体" w:eastAsia="宋体"/>
      <w:color w:val="000000"/>
      <w:sz w:val="18"/>
    </w:rPr>
  </w:style>
  <w:style w:type="paragraph" w:customStyle="1" w:styleId="60">
    <w:name w:val="FZ注释"/>
    <w:basedOn w:val="1"/>
    <w:link w:val="59"/>
    <w:qFormat/>
    <w:uiPriority w:val="0"/>
    <w:pPr>
      <w:snapToGrid w:val="0"/>
      <w:spacing w:before="10" w:after="10"/>
      <w:ind w:left="1" w:leftChars="1" w:right="1" w:rightChars="1" w:firstLine="74" w:firstLineChars="74"/>
      <w:jc w:val="left"/>
    </w:pPr>
    <w:rPr>
      <w:rFonts w:ascii="宋体" w:hAnsi="宋体" w:eastAsia="宋体"/>
      <w:color w:val="000000"/>
      <w:sz w:val="18"/>
    </w:rPr>
  </w:style>
  <w:style w:type="character" w:customStyle="1" w:styleId="61">
    <w:name w:val="FZ小标题 字符"/>
    <w:basedOn w:val="20"/>
    <w:link w:val="62"/>
    <w:qFormat/>
    <w:locked/>
    <w:uiPriority w:val="0"/>
    <w:rPr>
      <w:rFonts w:hint="eastAsia" w:ascii="宋体" w:hAnsi="宋体" w:eastAsia="宋体"/>
      <w:color w:val="000000"/>
      <w:sz w:val="18"/>
    </w:rPr>
  </w:style>
  <w:style w:type="paragraph" w:customStyle="1" w:styleId="62">
    <w:name w:val="FZ小标题"/>
    <w:basedOn w:val="1"/>
    <w:link w:val="61"/>
    <w:qFormat/>
    <w:uiPriority w:val="0"/>
    <w:pPr>
      <w:snapToGrid w:val="0"/>
      <w:spacing w:before="10" w:after="10"/>
      <w:ind w:left="1" w:leftChars="1" w:right="1" w:rightChars="1" w:firstLine="74" w:firstLineChars="74"/>
      <w:jc w:val="left"/>
    </w:pPr>
    <w:rPr>
      <w:rFonts w:ascii="宋体" w:hAnsi="宋体" w:eastAsia="宋体"/>
      <w:color w:val="000000"/>
      <w:sz w:val="18"/>
    </w:rPr>
  </w:style>
  <w:style w:type="paragraph" w:customStyle="1" w:styleId="63">
    <w:name w:val="tbtd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FFFFFF"/>
      <w:spacing w:before="100" w:beforeAutospacing="1" w:after="100" w:afterAutospacing="1"/>
      <w:textAlignment w:val="center"/>
    </w:pPr>
    <w:rPr>
      <w:rFonts w:ascii="Times New Roman" w:hAnsi="Times New Roman" w:eastAsia="宋体" w:cs="Times New Roman"/>
      <w:color w:val="000000"/>
      <w:kern w:val="0"/>
      <w:sz w:val="18"/>
      <w:szCs w:val="18"/>
    </w:rPr>
  </w:style>
  <w:style w:type="character" w:customStyle="1" w:styleId="64">
    <w:name w:val="标题 7 Char"/>
    <w:basedOn w:val="20"/>
    <w:link w:val="9"/>
    <w:semiHidden/>
    <w:qFormat/>
    <w:uiPriority w:val="9"/>
    <w:rPr>
      <w:rFonts w:asciiTheme="minorHAnsi" w:hAnsiTheme="minorHAnsi" w:eastAsiaTheme="minorEastAsia"/>
      <w:b/>
      <w:bCs/>
      <w:kern w:val="2"/>
      <w:sz w:val="24"/>
      <w:szCs w:val="24"/>
    </w:rPr>
  </w:style>
  <w:style w:type="character" w:customStyle="1" w:styleId="65">
    <w:name w:val="标题 8 Char"/>
    <w:basedOn w:val="20"/>
    <w:link w:val="10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66">
    <w:name w:val="标题 9 Char"/>
    <w:basedOn w:val="20"/>
    <w:link w:val="11"/>
    <w:semiHidden/>
    <w:qFormat/>
    <w:uiPriority w:val="9"/>
    <w:rPr>
      <w:rFonts w:asciiTheme="majorHAnsi" w:hAnsiTheme="majorHAnsi" w:eastAsiaTheme="majorEastAsia" w:cstheme="majorBidi"/>
      <w:kern w:val="2"/>
      <w:sz w:val="21"/>
      <w:szCs w:val="21"/>
    </w:rPr>
  </w:style>
  <w:style w:type="character" w:customStyle="1" w:styleId="67">
    <w:name w:val="页眉 Char"/>
    <w:basedOn w:val="20"/>
    <w:link w:val="16"/>
    <w:qFormat/>
    <w:uiPriority w:val="99"/>
    <w:rPr>
      <w:rFonts w:asciiTheme="minorHAnsi" w:hAnsiTheme="minorHAnsi" w:eastAsiaTheme="minorEastAsia"/>
      <w:kern w:val="2"/>
      <w:sz w:val="18"/>
      <w:szCs w:val="18"/>
    </w:rPr>
  </w:style>
  <w:style w:type="character" w:customStyle="1" w:styleId="68">
    <w:name w:val="页脚 Char"/>
    <w:basedOn w:val="20"/>
    <w:link w:val="15"/>
    <w:qFormat/>
    <w:uiPriority w:val="99"/>
    <w:rPr>
      <w:rFonts w:asciiTheme="minorHAnsi" w:hAnsiTheme="minorHAnsi" w:eastAsiaTheme="minorEastAsia"/>
      <w:kern w:val="2"/>
      <w:sz w:val="18"/>
      <w:szCs w:val="18"/>
    </w:rPr>
  </w:style>
  <w:style w:type="character" w:customStyle="1" w:styleId="69">
    <w:name w:val="批注文字 Char"/>
    <w:basedOn w:val="20"/>
    <w:link w:val="12"/>
    <w:semiHidden/>
    <w:qFormat/>
    <w:uiPriority w:val="99"/>
    <w:rPr>
      <w:rFonts w:asciiTheme="minorHAnsi" w:hAnsiTheme="minorHAnsi" w:eastAsiaTheme="minorEastAsia"/>
      <w:kern w:val="2"/>
      <w:sz w:val="21"/>
      <w:szCs w:val="22"/>
    </w:rPr>
  </w:style>
  <w:style w:type="character" w:customStyle="1" w:styleId="70">
    <w:name w:val="批注主题 Char"/>
    <w:basedOn w:val="69"/>
    <w:link w:val="18"/>
    <w:semiHidden/>
    <w:qFormat/>
    <w:uiPriority w:val="99"/>
    <w:rPr>
      <w:rFonts w:asciiTheme="minorHAnsi" w:hAnsiTheme="minorHAnsi" w:eastAsiaTheme="minorEastAsia"/>
      <w:b/>
      <w:bCs/>
      <w:kern w:val="2"/>
      <w:sz w:val="21"/>
      <w:szCs w:val="22"/>
    </w:rPr>
  </w:style>
  <w:style w:type="character" w:customStyle="1" w:styleId="71">
    <w:name w:val="批注框文本 Char"/>
    <w:basedOn w:val="20"/>
    <w:link w:val="14"/>
    <w:semiHidden/>
    <w:qFormat/>
    <w:uiPriority w:val="99"/>
    <w:rPr>
      <w:rFonts w:asciiTheme="minorHAnsi" w:hAnsiTheme="minorHAnsi" w:eastAsiaTheme="minorEastAsia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B8942-2627-45B6-AEB5-FCCB6A1AE2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7426</Words>
  <Characters>8060</Characters>
  <Lines>57</Lines>
  <Paragraphs>16</Paragraphs>
  <TotalTime>10</TotalTime>
  <ScaleCrop>false</ScaleCrop>
  <LinksUpToDate>false</LinksUpToDate>
  <CharactersWithSpaces>8333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2022-11-19T08:47:00Z</dcterms:created>
  <dc:creator>Xueyang</dc:creator>
  <cp:lastModifiedBy>七安</cp:lastModifiedBy>
  <dcterms:modified xsi:type="dcterms:W3CDTF">2025-06-03T10:12:47Z</dcterms:modified>
  <dc:title>C:\Users\Xueyang\Desktop\170号自评报告\57.艾力西湖镇巴扎（10）村花卉生产基地配套建设项目绩效自评报告.xlsx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B9C8D05E843C40CE9B694FAA98DE663E</vt:lpwstr>
  </property>
  <property fmtid="{D5CDD505-2E9C-101B-9397-08002B2CF9AE}" pid="4" name="KSOTemplateDocerSaveRecord">
    <vt:lpwstr>eyJoZGlkIjoiY2RlOGExMTJjOWFmYjNiZTJjMWUwNDM2NWFmZTM5NmEiLCJ1c2VySWQiOiIxMTAwNDE5NzU4In0=</vt:lpwstr>
  </property>
</Properties>
</file>