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1EB6E02D">
      <w:pPr>
        <w:spacing w:before="120" w:after="120" w:line="480" w:lineRule="auto"/>
        <w:ind w:firstLine="883" w:firstLineChars="200"/>
        <w:jc w:val="center"/>
        <w:outlineLvl w:val="0"/>
        <w:rPr>
          <w:rFonts w:ascii="仿宋_GB2312" w:hAnsi="Arial"/>
          <w:b/>
          <w:sz w:val="44"/>
          <w:szCs w:val="44"/>
        </w:rPr>
      </w:pPr>
    </w:p>
    <w:p w14:paraId="310FD454">
      <w:pPr>
        <w:jc w:val="center"/>
        <w:rPr>
          <w:rFonts w:ascii="方正大标宋简体" w:hAnsi="华文中宋" w:eastAsia="方正大标宋简体" w:cs="宋体"/>
          <w:kern w:val="0"/>
          <w:sz w:val="52"/>
          <w:szCs w:val="52"/>
        </w:rPr>
      </w:pPr>
      <w:r>
        <w:rPr>
          <w:rFonts w:hint="eastAsia" w:ascii="方正大标宋简体" w:hAnsi="华文中宋" w:eastAsia="方正大标宋简体" w:cs="宋体"/>
          <w:kern w:val="0"/>
          <w:sz w:val="52"/>
          <w:szCs w:val="52"/>
        </w:rPr>
        <w:t>和田地区于田县乡村振兴衔接资金项目支出绩效自评报告</w:t>
      </w:r>
    </w:p>
    <w:p w14:paraId="485338C1">
      <w:pPr>
        <w:spacing w:line="700" w:lineRule="exact"/>
        <w:ind w:firstLine="1040" w:firstLineChars="200"/>
        <w:jc w:val="center"/>
        <w:rPr>
          <w:rFonts w:ascii="方正大标宋简体" w:hAnsi="华文中宋" w:eastAsia="方正大标宋简体" w:cs="宋体"/>
          <w:kern w:val="0"/>
          <w:sz w:val="52"/>
          <w:szCs w:val="52"/>
        </w:rPr>
      </w:pPr>
    </w:p>
    <w:p w14:paraId="5587075F">
      <w:pPr>
        <w:spacing w:line="540" w:lineRule="exact"/>
        <w:ind w:firstLine="720" w:firstLineChars="200"/>
        <w:jc w:val="center"/>
        <w:rPr>
          <w:rFonts w:hAnsi="宋体" w:cs="宋体"/>
          <w:kern w:val="0"/>
          <w:sz w:val="36"/>
          <w:szCs w:val="36"/>
        </w:rPr>
      </w:pPr>
      <w:r>
        <w:rPr>
          <w:rFonts w:hint="eastAsia" w:hAnsi="宋体" w:cs="宋体"/>
          <w:kern w:val="0"/>
          <w:sz w:val="36"/>
          <w:szCs w:val="36"/>
        </w:rPr>
        <w:t>（202</w:t>
      </w:r>
      <w:r>
        <w:rPr>
          <w:rFonts w:hint="eastAsia" w:hAnsi="宋体" w:cs="宋体"/>
          <w:kern w:val="0"/>
          <w:sz w:val="36"/>
          <w:szCs w:val="36"/>
          <w:lang w:val="en-US" w:eastAsia="zh-CN"/>
        </w:rPr>
        <w:t>4</w:t>
      </w:r>
      <w:r>
        <w:rPr>
          <w:rFonts w:hint="eastAsia" w:hAnsi="宋体" w:cs="宋体"/>
          <w:kern w:val="0"/>
          <w:sz w:val="36"/>
          <w:szCs w:val="36"/>
        </w:rPr>
        <w:t>年度）</w:t>
      </w:r>
    </w:p>
    <w:p w14:paraId="5D2B429E">
      <w:pPr>
        <w:spacing w:line="540" w:lineRule="exact"/>
        <w:ind w:firstLine="600" w:firstLineChars="200"/>
        <w:jc w:val="center"/>
        <w:rPr>
          <w:rFonts w:hAnsi="宋体" w:cs="宋体"/>
          <w:kern w:val="0"/>
          <w:sz w:val="30"/>
          <w:szCs w:val="30"/>
        </w:rPr>
      </w:pPr>
    </w:p>
    <w:p w14:paraId="2928C4E5">
      <w:pPr>
        <w:spacing w:line="540" w:lineRule="exact"/>
        <w:ind w:firstLine="600" w:firstLineChars="200"/>
        <w:jc w:val="center"/>
        <w:rPr>
          <w:rFonts w:hAnsi="宋体" w:cs="宋体"/>
          <w:kern w:val="0"/>
          <w:sz w:val="30"/>
          <w:szCs w:val="30"/>
        </w:rPr>
      </w:pPr>
    </w:p>
    <w:p w14:paraId="59D51DE0">
      <w:pPr>
        <w:spacing w:line="540" w:lineRule="exact"/>
        <w:ind w:firstLine="600" w:firstLineChars="200"/>
        <w:jc w:val="center"/>
        <w:rPr>
          <w:rFonts w:hAnsi="宋体" w:cs="宋体"/>
          <w:kern w:val="0"/>
          <w:sz w:val="30"/>
          <w:szCs w:val="30"/>
        </w:rPr>
      </w:pPr>
    </w:p>
    <w:p w14:paraId="31417650">
      <w:pPr>
        <w:spacing w:line="540" w:lineRule="exact"/>
        <w:ind w:firstLine="600" w:firstLineChars="200"/>
        <w:jc w:val="center"/>
        <w:rPr>
          <w:rFonts w:hAnsi="宋体" w:cs="宋体"/>
          <w:kern w:val="0"/>
          <w:sz w:val="30"/>
          <w:szCs w:val="30"/>
        </w:rPr>
      </w:pPr>
    </w:p>
    <w:p w14:paraId="5770C276">
      <w:pPr>
        <w:spacing w:line="540" w:lineRule="exact"/>
        <w:ind w:firstLine="600" w:firstLineChars="200"/>
        <w:rPr>
          <w:rFonts w:hAnsi="宋体" w:cs="宋体"/>
          <w:kern w:val="0"/>
          <w:sz w:val="30"/>
          <w:szCs w:val="30"/>
        </w:rPr>
      </w:pPr>
    </w:p>
    <w:p w14:paraId="59E58258">
      <w:pPr>
        <w:spacing w:line="540" w:lineRule="exact"/>
        <w:ind w:firstLine="600" w:firstLineChars="200"/>
        <w:rPr>
          <w:rFonts w:hAnsi="宋体" w:cs="宋体"/>
          <w:kern w:val="0"/>
          <w:sz w:val="30"/>
          <w:szCs w:val="30"/>
        </w:rPr>
      </w:pPr>
    </w:p>
    <w:p w14:paraId="5BD0F95F">
      <w:pPr>
        <w:spacing w:line="360" w:lineRule="auto"/>
        <w:ind w:left="640" w:leftChars="200" w:firstLine="640" w:firstLineChars="200"/>
        <w:rPr>
          <w:rFonts w:ascii="仿宋" w:hAnsi="仿宋" w:eastAsia="仿宋" w:cs="仿宋"/>
          <w:szCs w:val="32"/>
        </w:rPr>
      </w:pPr>
    </w:p>
    <w:p w14:paraId="4C90948F">
      <w:pPr>
        <w:spacing w:line="360" w:lineRule="auto"/>
        <w:ind w:left="640" w:leftChars="200" w:firstLine="640" w:firstLineChars="200"/>
        <w:rPr>
          <w:rFonts w:ascii="仿宋" w:hAnsi="仿宋" w:eastAsia="仿宋" w:cs="仿宋"/>
          <w:szCs w:val="32"/>
        </w:rPr>
      </w:pPr>
    </w:p>
    <w:p w14:paraId="0D34EB88">
      <w:pPr>
        <w:spacing w:line="560" w:lineRule="exact"/>
        <w:ind w:left="640" w:leftChars="200" w:firstLine="640" w:firstLineChars="200"/>
        <w:rPr>
          <w:rFonts w:ascii="仿宋" w:hAnsi="仿宋" w:eastAsia="仿宋" w:cs="仿宋"/>
          <w:szCs w:val="32"/>
        </w:rPr>
      </w:pPr>
    </w:p>
    <w:p w14:paraId="0209A7B0">
      <w:pPr>
        <w:spacing w:line="560" w:lineRule="exact"/>
        <w:ind w:left="640" w:leftChars="200" w:firstLine="0" w:firstLineChars="0"/>
        <w:rPr>
          <w:rFonts w:hint="eastAsia" w:ascii="仿宋" w:hAnsi="仿宋" w:eastAsia="仿宋" w:cs="仿宋"/>
          <w:bCs/>
          <w:color w:val="000000" w:themeColor="text1"/>
          <w:kern w:val="0"/>
          <w:lang w:val="en-US" w:eastAsia="zh-CN"/>
          <w14:textFill>
            <w14:solidFill>
              <w14:schemeClr w14:val="tx1"/>
            </w14:solidFill>
          </w14:textFill>
        </w:rPr>
      </w:pPr>
      <w:r>
        <w:rPr>
          <w:rFonts w:hint="eastAsia" w:ascii="仿宋" w:hAnsi="仿宋" w:eastAsia="仿宋" w:cs="仿宋"/>
          <w:szCs w:val="32"/>
        </w:rPr>
        <w:t>项  目  名  称:</w:t>
      </w:r>
      <w:r>
        <w:rPr>
          <w:rFonts w:hint="eastAsia" w:ascii="仿宋" w:hAnsi="仿宋" w:eastAsia="仿宋" w:cs="仿宋"/>
          <w:bCs/>
          <w:color w:val="000000" w:themeColor="text1"/>
          <w:kern w:val="0"/>
          <w:lang w:val="en-US" w:eastAsia="zh-CN"/>
          <w14:textFill>
            <w14:solidFill>
              <w14:schemeClr w14:val="tx1"/>
            </w14:solidFill>
          </w14:textFill>
        </w:rPr>
        <w:t>2024年土地碎片化治理项目（阿热勒乡）</w:t>
      </w:r>
      <w:r>
        <w:rPr>
          <w:rFonts w:hint="eastAsia" w:ascii="仿宋" w:hAnsi="仿宋" w:eastAsia="仿宋" w:cs="仿宋"/>
          <w:szCs w:val="32"/>
        </w:rPr>
        <w:t>实施单位(公章):</w:t>
      </w:r>
      <w:r>
        <w:rPr>
          <w:rFonts w:hint="eastAsia" w:ascii="仿宋" w:hAnsi="仿宋" w:eastAsia="仿宋" w:cs="仿宋"/>
          <w:bCs/>
          <w:color w:val="000000" w:themeColor="text1"/>
          <w:kern w:val="0"/>
          <w:lang w:val="en-US" w:eastAsia="zh-CN"/>
          <w14:textFill>
            <w14:solidFill>
              <w14:schemeClr w14:val="tx1"/>
            </w14:solidFill>
          </w14:textFill>
        </w:rPr>
        <w:t>于田县阿热勒乡人民政府</w:t>
      </w:r>
    </w:p>
    <w:p w14:paraId="6F27C52F">
      <w:pPr>
        <w:spacing w:line="560" w:lineRule="exact"/>
        <w:ind w:firstLine="640" w:firstLineChars="200"/>
        <w:rPr>
          <w:rFonts w:hint="eastAsia" w:ascii="仿宋" w:hAnsi="仿宋" w:eastAsia="仿宋" w:cs="仿宋"/>
          <w:bCs/>
          <w:color w:val="000000" w:themeColor="text1"/>
          <w:kern w:val="0"/>
          <w:lang w:val="en-US" w:eastAsia="zh-CN"/>
          <w14:textFill>
            <w14:solidFill>
              <w14:schemeClr w14:val="tx1"/>
            </w14:solidFill>
          </w14:textFill>
        </w:rPr>
      </w:pPr>
      <w:r>
        <w:rPr>
          <w:rFonts w:hint="eastAsia" w:ascii="仿宋" w:hAnsi="仿宋" w:eastAsia="仿宋" w:cs="仿宋"/>
          <w:szCs w:val="32"/>
        </w:rPr>
        <w:t>主管部门(公章):</w:t>
      </w:r>
      <w:r>
        <w:rPr>
          <w:rFonts w:hint="eastAsia" w:ascii="仿宋" w:hAnsi="仿宋" w:eastAsia="仿宋" w:cs="仿宋"/>
          <w:bCs/>
          <w:color w:val="000000" w:themeColor="text1"/>
          <w:kern w:val="0"/>
          <w:lang w:val="en-US" w:eastAsia="zh-CN"/>
          <w14:textFill>
            <w14:solidFill>
              <w14:schemeClr w14:val="tx1"/>
            </w14:solidFill>
          </w14:textFill>
        </w:rPr>
        <w:t>于田县发展和改革委员会</w:t>
      </w:r>
    </w:p>
    <w:p w14:paraId="6DA941FF">
      <w:pPr>
        <w:spacing w:line="560" w:lineRule="exact"/>
        <w:ind w:firstLine="640" w:firstLineChars="200"/>
        <w:rPr>
          <w:rFonts w:hint="eastAsia" w:ascii="仿宋" w:hAnsi="仿宋" w:eastAsia="仿宋" w:cs="仿宋"/>
          <w:bCs/>
          <w:color w:val="000000" w:themeColor="text1"/>
          <w:kern w:val="0"/>
          <w:lang w:val="en-US" w:eastAsia="zh-CN"/>
          <w14:textFill>
            <w14:solidFill>
              <w14:schemeClr w14:val="tx1"/>
            </w14:solidFill>
          </w14:textFill>
        </w:rPr>
      </w:pPr>
      <w:r>
        <w:rPr>
          <w:rFonts w:hint="eastAsia" w:ascii="仿宋" w:hAnsi="仿宋" w:eastAsia="仿宋" w:cs="仿宋"/>
          <w:szCs w:val="32"/>
        </w:rPr>
        <w:t>项目负责人(签章):</w:t>
      </w:r>
      <w:r>
        <w:rPr>
          <w:rFonts w:hint="eastAsia" w:ascii="仿宋" w:hAnsi="仿宋" w:eastAsia="仿宋" w:cs="仿宋"/>
          <w:bCs/>
          <w:color w:val="000000" w:themeColor="text1"/>
          <w:kern w:val="0"/>
          <w:lang w:val="en-US" w:eastAsia="zh-CN"/>
          <w14:textFill>
            <w14:solidFill>
              <w14:schemeClr w14:val="tx1"/>
            </w14:solidFill>
          </w14:textFill>
        </w:rPr>
        <w:t>刘栋</w:t>
      </w:r>
    </w:p>
    <w:p w14:paraId="161AD716">
      <w:pPr>
        <w:spacing w:line="560" w:lineRule="exact"/>
        <w:ind w:firstLine="640" w:firstLineChars="200"/>
      </w:pPr>
      <w:r>
        <w:rPr>
          <w:rFonts w:hint="eastAsia" w:ascii="仿宋" w:hAnsi="仿宋" w:eastAsia="仿宋" w:cs="仿宋"/>
          <w:szCs w:val="32"/>
        </w:rPr>
        <w:t>填  报  时  间:</w:t>
      </w:r>
      <w:r>
        <w:rPr>
          <w:rFonts w:ascii="仿宋" w:hAnsi="仿宋" w:eastAsia="仿宋" w:cs="仿宋"/>
          <w:szCs w:val="32"/>
        </w:rPr>
        <w:t>20</w:t>
      </w:r>
      <w:r>
        <w:rPr>
          <w:rFonts w:hint="eastAsia" w:ascii="仿宋" w:hAnsi="仿宋" w:eastAsia="仿宋" w:cs="仿宋"/>
          <w:szCs w:val="32"/>
        </w:rPr>
        <w:t>2</w:t>
      </w:r>
      <w:r>
        <w:rPr>
          <w:rFonts w:hint="eastAsia" w:ascii="仿宋" w:hAnsi="仿宋" w:eastAsia="仿宋" w:cs="仿宋"/>
          <w:szCs w:val="32"/>
          <w:lang w:val="en-US" w:eastAsia="zh-CN"/>
        </w:rPr>
        <w:t>5</w:t>
      </w:r>
      <w:r>
        <w:rPr>
          <w:rFonts w:ascii="仿宋" w:hAnsi="仿宋" w:eastAsia="仿宋" w:cs="仿宋"/>
          <w:szCs w:val="32"/>
        </w:rPr>
        <w:t>年</w:t>
      </w:r>
      <w:r>
        <w:rPr>
          <w:rFonts w:hint="eastAsia" w:ascii="仿宋" w:hAnsi="仿宋" w:eastAsia="仿宋" w:cs="仿宋"/>
          <w:szCs w:val="32"/>
          <w:lang w:val="en-US" w:eastAsia="zh-CN"/>
        </w:rPr>
        <w:t>2</w:t>
      </w:r>
      <w:r>
        <w:rPr>
          <w:rFonts w:ascii="仿宋" w:hAnsi="仿宋" w:eastAsia="仿宋" w:cs="仿宋"/>
          <w:szCs w:val="32"/>
        </w:rPr>
        <w:t>月</w:t>
      </w:r>
      <w:r>
        <w:rPr>
          <w:rFonts w:hint="eastAsia" w:ascii="仿宋" w:hAnsi="仿宋" w:eastAsia="仿宋" w:cs="仿宋"/>
          <w:szCs w:val="32"/>
          <w:lang w:val="en-US" w:eastAsia="zh-CN"/>
        </w:rPr>
        <w:t>20</w:t>
      </w:r>
      <w:r>
        <w:rPr>
          <w:rFonts w:ascii="仿宋" w:hAnsi="仿宋" w:eastAsia="仿宋" w:cs="仿宋"/>
          <w:szCs w:val="32"/>
        </w:rPr>
        <w:t>日</w:t>
      </w:r>
    </w:p>
    <w:p w14:paraId="7A42346D">
      <w:pPr>
        <w:spacing w:line="560" w:lineRule="exact"/>
        <w:ind w:firstLine="640" w:firstLineChars="200"/>
        <w:rPr>
          <w:rFonts w:ascii="仿宋_GB2312" w:hAnsi="仿宋_GB2312" w:cs="仿宋_GB2312"/>
          <w:kern w:val="0"/>
          <w:szCs w:val="32"/>
          <w:lang w:bidi="en-US"/>
        </w:rPr>
      </w:pPr>
    </w:p>
    <w:p w14:paraId="7FAC3CF2">
      <w:pPr>
        <w:spacing w:line="560" w:lineRule="exact"/>
        <w:ind w:firstLine="640" w:firstLineChars="200"/>
        <w:rPr>
          <w:rFonts w:ascii="仿宋_GB2312" w:hAnsi="仿宋_GB2312" w:cs="仿宋_GB2312"/>
          <w:kern w:val="0"/>
          <w:szCs w:val="32"/>
          <w:lang w:bidi="en-US"/>
        </w:rPr>
      </w:pPr>
    </w:p>
    <w:p w14:paraId="596902FE">
      <w:pPr>
        <w:spacing w:line="360" w:lineRule="auto"/>
        <w:ind w:firstLine="627" w:firstLineChars="200"/>
        <w:rPr>
          <w:rStyle w:val="20"/>
          <w:rFonts w:ascii="黑体" w:hAnsi="黑体" w:eastAsia="黑体" w:cs="Times New Roman"/>
          <w:spacing w:val="-4"/>
          <w:szCs w:val="32"/>
        </w:rPr>
      </w:pPr>
    </w:p>
    <w:p w14:paraId="0C99468E">
      <w:pPr>
        <w:spacing w:line="360" w:lineRule="auto"/>
        <w:ind w:firstLine="627" w:firstLineChars="200"/>
        <w:rPr>
          <w:rStyle w:val="20"/>
          <w:rFonts w:ascii="黑体" w:hAnsi="黑体" w:eastAsia="黑体" w:cs="Times New Roman"/>
          <w:spacing w:val="-4"/>
          <w:szCs w:val="32"/>
        </w:rPr>
      </w:pPr>
      <w:r>
        <w:rPr>
          <w:rStyle w:val="20"/>
          <w:rFonts w:hint="eastAsia" w:ascii="黑体" w:hAnsi="黑体" w:eastAsia="黑体" w:cs="Times New Roman"/>
          <w:spacing w:val="-4"/>
          <w:szCs w:val="32"/>
        </w:rPr>
        <w:t>一、绩效目标分解下达情况</w:t>
      </w:r>
    </w:p>
    <w:p w14:paraId="3BDCE834">
      <w:pPr>
        <w:spacing w:line="360" w:lineRule="auto"/>
        <w:ind w:firstLine="546" w:firstLineChars="200"/>
      </w:pPr>
      <w:r>
        <w:rPr>
          <w:rFonts w:hint="eastAsia" w:ascii="楷体_GB2312" w:hAnsi="楷体" w:cs="Times New Roman"/>
          <w:b/>
          <w:spacing w:val="-4"/>
          <w:sz w:val="28"/>
          <w:szCs w:val="32"/>
        </w:rPr>
        <w:t>（一）财政专项乡村振兴衔接资金下达预算及项目情况</w:t>
      </w:r>
    </w:p>
    <w:p w14:paraId="56AA32F8">
      <w:pPr>
        <w:pStyle w:val="53"/>
        <w:ind w:left="3" w:right="3" w:firstLine="562"/>
        <w:rPr>
          <w:rFonts w:ascii="仿宋_GB2312"/>
          <w:b/>
          <w:szCs w:val="32"/>
        </w:rPr>
      </w:pPr>
      <w:r>
        <w:rPr>
          <w:rFonts w:hint="eastAsia" w:ascii="仿宋_GB2312"/>
          <w:b/>
          <w:szCs w:val="32"/>
        </w:rPr>
        <w:t>1.下达预算情况</w:t>
      </w:r>
    </w:p>
    <w:p w14:paraId="6D53942B">
      <w:pPr>
        <w:pStyle w:val="53"/>
        <w:ind w:left="3" w:right="3" w:firstLine="560"/>
        <w:rPr>
          <w:rFonts w:hint="eastAsia" w:ascii="仿宋_GB2312" w:hAnsi="Times New Roman" w:eastAsia="仿宋_GB2312" w:cs="Times New Roman"/>
          <w:color w:val="000000" w:themeColor="text1"/>
          <w:kern w:val="2"/>
          <w:sz w:val="28"/>
          <w:szCs w:val="32"/>
          <w:highlight w:val="none"/>
          <w:lang w:val="en-US" w:eastAsia="zh-CN" w:bidi="ar-SA"/>
          <w14:textFill>
            <w14:solidFill>
              <w14:schemeClr w14:val="tx1"/>
            </w14:solidFill>
          </w14:textFill>
        </w:rPr>
      </w:pPr>
      <w:r>
        <w:rPr>
          <w:rFonts w:hint="eastAsia" w:ascii="仿宋_GB2312"/>
          <w:szCs w:val="32"/>
        </w:rPr>
        <w:t>本项目根据</w:t>
      </w:r>
      <w:r>
        <w:rPr>
          <w:rFonts w:hint="eastAsia" w:ascii="仿宋_GB2312"/>
          <w:szCs w:val="32"/>
          <w:lang w:val="en-US" w:eastAsia="zh-CN"/>
        </w:rPr>
        <w:t>于田县发展和改革委员会</w:t>
      </w:r>
      <w:r>
        <w:rPr>
          <w:rFonts w:hint="eastAsia" w:ascii="仿宋_GB2312"/>
          <w:szCs w:val="32"/>
        </w:rPr>
        <w:t>下发的《</w:t>
      </w:r>
      <w:r>
        <w:rPr>
          <w:rFonts w:hint="eastAsia" w:ascii="仿宋_GB2312"/>
          <w:szCs w:val="32"/>
          <w:lang w:val="en-US" w:eastAsia="zh-CN"/>
        </w:rPr>
        <w:t>关于对</w:t>
      </w:r>
      <w:r>
        <w:rPr>
          <w:rFonts w:hint="eastAsia" w:ascii="仿宋" w:hAnsi="仿宋" w:eastAsia="仿宋" w:cs="仿宋"/>
          <w:bCs/>
          <w:color w:val="000000" w:themeColor="text1"/>
          <w:kern w:val="0"/>
          <w:lang w:val="en-US" w:eastAsia="zh-CN"/>
          <w14:textFill>
            <w14:solidFill>
              <w14:schemeClr w14:val="tx1"/>
            </w14:solidFill>
          </w14:textFill>
        </w:rPr>
        <w:t>2024年土地碎片化治理项目（阿热勒乡）</w:t>
      </w:r>
      <w:r>
        <w:rPr>
          <w:rFonts w:hint="eastAsia" w:ascii="仿宋_GB2312"/>
          <w:szCs w:val="32"/>
        </w:rPr>
        <w:t>实施方案》</w:t>
      </w:r>
      <w:r>
        <w:rPr>
          <w:rFonts w:hint="eastAsia" w:ascii="仿宋_GB2312"/>
          <w:szCs w:val="32"/>
          <w:lang w:eastAsia="zh-CN"/>
        </w:rPr>
        <w:t>（</w:t>
      </w:r>
      <w:r>
        <w:rPr>
          <w:rFonts w:hint="eastAsia" w:ascii="仿宋_GB2312"/>
          <w:szCs w:val="32"/>
        </w:rPr>
        <w:t>于</w:t>
      </w:r>
      <w:r>
        <w:rPr>
          <w:rFonts w:hint="eastAsia" w:ascii="仿宋_GB2312"/>
          <w:szCs w:val="32"/>
          <w:lang w:val="en-US" w:eastAsia="zh-CN"/>
        </w:rPr>
        <w:t>发改项目</w:t>
      </w:r>
      <w:r>
        <w:rPr>
          <w:rFonts w:hint="eastAsia" w:ascii="仿宋_GB2312"/>
          <w:szCs w:val="32"/>
        </w:rPr>
        <w:t>(202</w:t>
      </w:r>
      <w:r>
        <w:rPr>
          <w:rFonts w:hint="eastAsia" w:ascii="仿宋_GB2312"/>
          <w:szCs w:val="32"/>
          <w:lang w:val="en-US" w:eastAsia="zh-CN"/>
        </w:rPr>
        <w:t>4</w:t>
      </w:r>
      <w:r>
        <w:rPr>
          <w:rFonts w:hint="eastAsia" w:ascii="仿宋_GB2312"/>
          <w:szCs w:val="32"/>
        </w:rPr>
        <w:t>)</w:t>
      </w:r>
      <w:r>
        <w:rPr>
          <w:rFonts w:hint="eastAsia" w:ascii="仿宋_GB2312"/>
          <w:szCs w:val="32"/>
          <w:lang w:val="en-US" w:eastAsia="zh-CN"/>
        </w:rPr>
        <w:t>180</w:t>
      </w:r>
      <w:r>
        <w:rPr>
          <w:rFonts w:hint="eastAsia" w:ascii="仿宋_GB2312"/>
          <w:szCs w:val="32"/>
        </w:rPr>
        <w:t>号</w:t>
      </w:r>
      <w:r>
        <w:rPr>
          <w:rFonts w:hint="eastAsia" w:ascii="仿宋_GB2312"/>
          <w:szCs w:val="32"/>
          <w:lang w:eastAsia="zh-CN"/>
        </w:rPr>
        <w:t>）</w:t>
      </w:r>
      <w:r>
        <w:rPr>
          <w:rFonts w:hint="eastAsia" w:ascii="仿宋_GB2312"/>
          <w:szCs w:val="32"/>
          <w:lang w:val="en-US" w:eastAsia="zh-CN"/>
        </w:rPr>
        <w:t>文</w:t>
      </w:r>
      <w:r>
        <w:rPr>
          <w:rFonts w:hint="eastAsia" w:ascii="仿宋_GB2312"/>
          <w:szCs w:val="32"/>
        </w:rPr>
        <w:t>批复立</w:t>
      </w:r>
      <w:r>
        <w:rPr>
          <w:rFonts w:hint="eastAsia" w:ascii="仿宋_GB2312" w:hAnsi="Times New Roman" w:eastAsia="仿宋_GB2312" w:cs="Times New Roman"/>
          <w:color w:val="000000" w:themeColor="text1"/>
          <w:kern w:val="2"/>
          <w:sz w:val="28"/>
          <w:szCs w:val="32"/>
          <w:highlight w:val="none"/>
          <w:lang w:val="en-US" w:eastAsia="zh-CN" w:bidi="ar-SA"/>
          <w14:textFill>
            <w14:solidFill>
              <w14:schemeClr w14:val="tx1"/>
            </w14:solidFill>
          </w14:textFill>
        </w:rPr>
        <w:t>项实施，2024年土地碎片化治理项目（阿热勒乡）预算安排总额为55.6万元，其中：乡村振兴衔接资金55.6万元。预算资金到位率为100.00%。</w:t>
      </w:r>
    </w:p>
    <w:p w14:paraId="02BEAF9F">
      <w:pPr>
        <w:pStyle w:val="53"/>
        <w:ind w:left="3" w:right="3" w:firstLine="562"/>
        <w:rPr>
          <w:rFonts w:hint="eastAsia" w:ascii="仿宋_GB2312"/>
          <w:b/>
          <w:szCs w:val="32"/>
        </w:rPr>
      </w:pPr>
      <w:r>
        <w:rPr>
          <w:rFonts w:hint="eastAsia" w:ascii="仿宋_GB2312"/>
          <w:b/>
          <w:szCs w:val="32"/>
        </w:rPr>
        <w:t>2.项目实施背景</w:t>
      </w:r>
    </w:p>
    <w:p w14:paraId="16C95F3D">
      <w:pPr>
        <w:spacing w:line="560" w:lineRule="exact"/>
        <w:ind w:firstLine="560" w:firstLineChars="200"/>
        <w:rPr>
          <w:rFonts w:hint="eastAsia" w:ascii="仿宋_GB2312" w:hAnsi="Times New Roman" w:eastAsia="仿宋_GB2312" w:cs="Times New Roman"/>
          <w:color w:val="000000" w:themeColor="text1"/>
          <w:kern w:val="2"/>
          <w:sz w:val="28"/>
          <w:szCs w:val="32"/>
          <w:highlight w:val="none"/>
          <w:lang w:val="en-US" w:eastAsia="zh-CN" w:bidi="ar-SA"/>
          <w14:textFill>
            <w14:solidFill>
              <w14:schemeClr w14:val="tx1"/>
            </w14:solidFill>
          </w14:textFill>
        </w:rPr>
      </w:pPr>
      <w:r>
        <w:rPr>
          <w:rFonts w:hint="eastAsia" w:ascii="仿宋_GB2312" w:hAnsi="Times New Roman" w:eastAsia="仿宋_GB2312" w:cs="Times New Roman"/>
          <w:color w:val="000000" w:themeColor="text1"/>
          <w:kern w:val="2"/>
          <w:sz w:val="28"/>
          <w:szCs w:val="32"/>
          <w:highlight w:val="none"/>
          <w:lang w:val="en-US" w:eastAsia="zh-CN" w:bidi="ar-SA"/>
          <w14:textFill>
            <w14:solidFill>
              <w14:schemeClr w14:val="tx1"/>
            </w14:solidFill>
          </w14:textFill>
        </w:rPr>
        <w:t>阿热勒乡位于水资源相对紧缺的地区，耕地面积达 278 亩，但由于土地碎片化严重，导致灌溉效率低下，水资源浪费严重。这种状况不仅影响了农作物的正常生长，也限制了农业生产的规模和效益。因此，实施土地碎片化治理项目，对于优化水资源配置、提高灌溉效率具有重要意义。</w:t>
      </w:r>
    </w:p>
    <w:p w14:paraId="710F483B">
      <w:pPr>
        <w:spacing w:line="560" w:lineRule="exact"/>
        <w:ind w:firstLine="560" w:firstLineChars="200"/>
        <w:rPr>
          <w:rFonts w:hint="eastAsia" w:ascii="仿宋_GB2312" w:hAnsi="Times New Roman" w:eastAsia="仿宋_GB2312" w:cs="Times New Roman"/>
          <w:color w:val="000000" w:themeColor="text1"/>
          <w:kern w:val="2"/>
          <w:sz w:val="28"/>
          <w:szCs w:val="32"/>
          <w:highlight w:val="none"/>
          <w:lang w:val="en-US" w:eastAsia="zh-CN" w:bidi="ar-SA"/>
          <w14:textFill>
            <w14:solidFill>
              <w14:schemeClr w14:val="tx1"/>
            </w14:solidFill>
          </w14:textFill>
        </w:rPr>
      </w:pPr>
      <w:r>
        <w:rPr>
          <w:rFonts w:hint="eastAsia" w:ascii="仿宋_GB2312" w:hAnsi="Times New Roman" w:eastAsia="仿宋_GB2312" w:cs="Times New Roman"/>
          <w:color w:val="000000" w:themeColor="text1"/>
          <w:kern w:val="2"/>
          <w:sz w:val="28"/>
          <w:szCs w:val="32"/>
          <w:highlight w:val="none"/>
          <w:lang w:val="en-US" w:eastAsia="zh-CN" w:bidi="ar-SA"/>
          <w14:textFill>
            <w14:solidFill>
              <w14:schemeClr w14:val="tx1"/>
            </w14:solidFill>
          </w14:textFill>
        </w:rPr>
        <w:t>土地碎片化导致农业生产分散、规模效益低下，农民在农业生产中的投入与产出比失衡，收入增长缓慢。土地碎片化治理项目的实施，将促进土地整合与规模化经营，有利于农民采用现代农业技术和设备，提高农业生产效率，进而增加农民收入。通过土地流转、农业合作组织等方式，农民还可以分享到土地规模经营带来的经济效益，实现收入的稳步增长。</w:t>
      </w:r>
    </w:p>
    <w:p w14:paraId="2FF47A79">
      <w:pPr>
        <w:spacing w:line="560" w:lineRule="exact"/>
        <w:ind w:firstLine="560" w:firstLineChars="200"/>
        <w:rPr>
          <w:rFonts w:hint="eastAsia" w:ascii="仿宋_GB2312" w:hAnsi="Times New Roman" w:eastAsia="仿宋_GB2312" w:cs="Times New Roman"/>
          <w:color w:val="000000" w:themeColor="text1"/>
          <w:kern w:val="2"/>
          <w:sz w:val="28"/>
          <w:szCs w:val="32"/>
          <w:highlight w:val="none"/>
          <w:lang w:val="en-US" w:eastAsia="zh-CN" w:bidi="ar-SA"/>
          <w14:textFill>
            <w14:solidFill>
              <w14:schemeClr w14:val="tx1"/>
            </w14:solidFill>
          </w14:textFill>
        </w:rPr>
      </w:pPr>
      <w:r>
        <w:rPr>
          <w:rFonts w:hint="eastAsia" w:ascii="仿宋_GB2312" w:hAnsi="Times New Roman" w:eastAsia="仿宋_GB2312" w:cs="Times New Roman"/>
          <w:color w:val="000000" w:themeColor="text1"/>
          <w:kern w:val="2"/>
          <w:sz w:val="28"/>
          <w:szCs w:val="32"/>
          <w:highlight w:val="none"/>
          <w:lang w:val="en-US" w:eastAsia="zh-CN" w:bidi="ar-SA"/>
          <w14:textFill>
            <w14:solidFill>
              <w14:schemeClr w14:val="tx1"/>
            </w14:solidFill>
          </w14:textFill>
        </w:rPr>
        <w:t>土地碎片化问题在阿热勒乡尤为突出，表现为土地面积小、地块分散、权属复杂等特点。这不仅限制了农业生产规模的扩大和技术的推广，也增加了农业生产的成本和管理难度。土地碎片化治理项目的实施，旨在通过土地整合、流转等方式，解决土地碎片化问题，为农业生产提供更大的发展空间和更好的生产条件。</w:t>
      </w:r>
    </w:p>
    <w:p w14:paraId="301D7A7D">
      <w:pPr>
        <w:spacing w:line="560" w:lineRule="exact"/>
        <w:ind w:firstLine="560" w:firstLineChars="200"/>
        <w:rPr>
          <w:rFonts w:hint="eastAsia" w:ascii="仿宋_GB2312" w:hAnsi="Times New Roman" w:eastAsia="仿宋_GB2312" w:cs="Times New Roman"/>
          <w:color w:val="000000"/>
          <w:sz w:val="28"/>
          <w:szCs w:val="32"/>
        </w:rPr>
      </w:pPr>
      <w:r>
        <w:rPr>
          <w:rFonts w:hint="eastAsia" w:ascii="仿宋_GB2312" w:hAnsi="Times New Roman" w:eastAsia="仿宋_GB2312" w:cs="Times New Roman"/>
          <w:color w:val="000000"/>
          <w:sz w:val="28"/>
          <w:szCs w:val="32"/>
        </w:rPr>
        <w:t>由于上述原因开展2024年土地碎片化治理项目（阿热勒乡），本项目由</w:t>
      </w:r>
      <w:r>
        <w:rPr>
          <w:rFonts w:hint="eastAsia" w:ascii="仿宋_GB2312" w:hAnsi="Times New Roman" w:eastAsia="仿宋_GB2312" w:cs="Times New Roman"/>
          <w:color w:val="000000" w:themeColor="text1"/>
          <w:sz w:val="28"/>
          <w:szCs w:val="32"/>
          <w:lang w:val="en-US" w:eastAsia="zh-CN"/>
          <w14:textFill>
            <w14:solidFill>
              <w14:schemeClr w14:val="tx1"/>
            </w14:solidFill>
          </w14:textFill>
        </w:rPr>
        <w:t>于田县发展和改革委员会</w:t>
      </w:r>
      <w:r>
        <w:rPr>
          <w:rFonts w:hint="eastAsia" w:ascii="仿宋_GB2312" w:hAnsi="Times New Roman" w:eastAsia="仿宋_GB2312" w:cs="Times New Roman"/>
          <w:color w:val="000000"/>
          <w:sz w:val="28"/>
          <w:szCs w:val="32"/>
        </w:rPr>
        <w:t>主管，</w:t>
      </w:r>
      <w:r>
        <w:rPr>
          <w:rFonts w:hint="eastAsia" w:ascii="仿宋_GB2312" w:hAnsi="Times New Roman" w:eastAsia="仿宋_GB2312" w:cs="Times New Roman"/>
          <w:color w:val="000000"/>
          <w:sz w:val="28"/>
          <w:szCs w:val="32"/>
          <w:lang w:val="en-US" w:eastAsia="zh-CN"/>
        </w:rPr>
        <w:t>于田县阿热勒乡人民政府</w:t>
      </w:r>
      <w:r>
        <w:rPr>
          <w:rFonts w:hint="eastAsia" w:ascii="仿宋_GB2312" w:hAnsi="Times New Roman" w:eastAsia="仿宋_GB2312" w:cs="Times New Roman"/>
          <w:color w:val="000000"/>
          <w:sz w:val="28"/>
          <w:szCs w:val="32"/>
        </w:rPr>
        <w:t>负责实施，项目施工期</w:t>
      </w:r>
      <w:r>
        <w:rPr>
          <w:rFonts w:hint="eastAsia" w:ascii="仿宋_GB2312" w:hAnsi="Times New Roman" w:eastAsia="仿宋_GB2312" w:cs="Times New Roman"/>
          <w:color w:val="000000"/>
          <w:sz w:val="28"/>
          <w:szCs w:val="32"/>
          <w:lang w:val="en-US" w:eastAsia="zh-CN"/>
        </w:rPr>
        <w:t>为2024年7月-2024年9月</w:t>
      </w:r>
      <w:r>
        <w:rPr>
          <w:rFonts w:hint="eastAsia" w:ascii="仿宋_GB2312" w:hAnsi="Times New Roman" w:eastAsia="仿宋_GB2312" w:cs="Times New Roman"/>
          <w:color w:val="000000"/>
          <w:sz w:val="28"/>
          <w:szCs w:val="32"/>
        </w:rPr>
        <w:t>。</w:t>
      </w:r>
    </w:p>
    <w:p w14:paraId="69CD2DB2">
      <w:pPr>
        <w:spacing w:line="560" w:lineRule="exact"/>
        <w:ind w:firstLine="560" w:firstLineChars="200"/>
        <w:rPr>
          <w:rFonts w:hint="eastAsia" w:ascii="仿宋_GB2312" w:hAnsi="Times New Roman" w:eastAsia="仿宋_GB2312" w:cs="Times New Roman"/>
          <w:color w:val="000000"/>
          <w:sz w:val="28"/>
          <w:szCs w:val="32"/>
          <w:lang w:val="en-US" w:eastAsia="zh-CN"/>
        </w:rPr>
      </w:pPr>
      <w:r>
        <w:rPr>
          <w:rFonts w:hint="eastAsia" w:ascii="仿宋_GB2312" w:hAnsi="Times New Roman" w:eastAsia="仿宋_GB2312" w:cs="Times New Roman"/>
          <w:color w:val="000000"/>
          <w:sz w:val="28"/>
          <w:szCs w:val="32"/>
          <w:lang w:val="en-US" w:eastAsia="zh-CN"/>
        </w:rPr>
        <w:t>工程实施后，在灌溉用水方面，通过优化水资源配置和提高灌溉效率，将有效保障 278 亩耕地的灌溉用水需求，为农作物的正常生长提供有力保障。在农民收入方面，通过土地整合和规模化经营，农民将能够采用更先进的农业技术和设备，提高农业生产效率和经济效益，实现收入的稳步增长。在土地碎片化问题方面，本项目的实施将有效解决土地碎片化问题，为农业生产提供更大的发展空间和更好的生产条件，促进农业产业升级和可持续发展。在农村经济方面，本项目的实施将促进农业产业的现代化和市场化发展，推动农村经济的持续发展和繁荣。同时，通过土地流转和农业合作组织等方式，农民将能够分享到土地规模经营带来的经济效益和社会效益，提高生活质量和幸福感。</w:t>
      </w:r>
    </w:p>
    <w:p w14:paraId="3C60EB8A">
      <w:pPr>
        <w:spacing w:line="560" w:lineRule="exact"/>
        <w:ind w:firstLine="562" w:firstLineChars="200"/>
        <w:rPr>
          <w:rFonts w:ascii="仿宋_GB2312" w:hAnsi="Times New Roman" w:eastAsia="仿宋_GB2312" w:cs="Times New Roman"/>
          <w:b/>
          <w:bCs/>
          <w:color w:val="000000"/>
          <w:sz w:val="28"/>
          <w:szCs w:val="32"/>
        </w:rPr>
      </w:pPr>
      <w:r>
        <w:rPr>
          <w:rFonts w:ascii="仿宋_GB2312" w:hAnsi="Times New Roman" w:eastAsia="仿宋_GB2312" w:cs="Times New Roman"/>
          <w:b/>
          <w:bCs/>
          <w:color w:val="000000"/>
          <w:sz w:val="28"/>
          <w:szCs w:val="32"/>
        </w:rPr>
        <w:t>3</w:t>
      </w:r>
      <w:r>
        <w:rPr>
          <w:rFonts w:hint="eastAsia" w:ascii="仿宋_GB2312" w:hAnsi="Times New Roman" w:eastAsia="仿宋_GB2312" w:cs="Times New Roman"/>
          <w:b/>
          <w:bCs/>
          <w:color w:val="000000"/>
          <w:sz w:val="28"/>
          <w:szCs w:val="32"/>
        </w:rPr>
        <w:t>、项目实施依据及范围</w:t>
      </w:r>
    </w:p>
    <w:p w14:paraId="791E0106">
      <w:pPr>
        <w:spacing w:line="560" w:lineRule="exact"/>
        <w:ind w:firstLine="560" w:firstLineChars="200"/>
        <w:rPr>
          <w:rFonts w:hint="eastAsia" w:ascii="仿宋_GB2312" w:hAnsi="Times New Roman" w:eastAsia="仿宋_GB2312" w:cs="Times New Roman"/>
          <w:color w:val="000000"/>
          <w:sz w:val="28"/>
          <w:szCs w:val="32"/>
          <w:lang w:eastAsia="zh-CN"/>
        </w:rPr>
      </w:pPr>
      <w:r>
        <w:rPr>
          <w:rFonts w:hint="eastAsia" w:ascii="仿宋_GB2312" w:hAnsi="Times New Roman" w:eastAsia="仿宋_GB2312" w:cs="Times New Roman"/>
          <w:color w:val="000000"/>
          <w:sz w:val="28"/>
          <w:szCs w:val="32"/>
        </w:rPr>
        <w:t>2024年土地碎片化治理项目（阿热勒乡），根据于田县发展和改革委员会下发的《关于对2024年土地碎片化治理项目（阿热勒乡）实施方案》</w:t>
      </w:r>
      <w:r>
        <w:rPr>
          <w:rFonts w:hint="eastAsia" w:ascii="仿宋_GB2312" w:hAnsi="Times New Roman" w:eastAsia="仿宋_GB2312" w:cs="Times New Roman"/>
          <w:color w:val="000000"/>
          <w:sz w:val="28"/>
          <w:szCs w:val="32"/>
          <w:lang w:eastAsia="zh-CN"/>
        </w:rPr>
        <w:t>（</w:t>
      </w:r>
      <w:r>
        <w:rPr>
          <w:rFonts w:hint="eastAsia" w:ascii="仿宋_GB2312" w:hAnsi="Times New Roman" w:eastAsia="仿宋_GB2312" w:cs="Times New Roman"/>
          <w:color w:val="000000"/>
          <w:sz w:val="28"/>
          <w:szCs w:val="32"/>
        </w:rPr>
        <w:t>于发改项目(2024)180号</w:t>
      </w:r>
      <w:r>
        <w:rPr>
          <w:rFonts w:hint="eastAsia" w:ascii="仿宋_GB2312" w:hAnsi="Times New Roman" w:eastAsia="仿宋_GB2312" w:cs="Times New Roman"/>
          <w:color w:val="000000"/>
          <w:sz w:val="28"/>
          <w:szCs w:val="32"/>
          <w:lang w:eastAsia="zh-CN"/>
        </w:rPr>
        <w:t>）</w:t>
      </w:r>
      <w:r>
        <w:rPr>
          <w:rFonts w:hint="eastAsia" w:ascii="仿宋_GB2312" w:hAnsi="Times New Roman" w:eastAsia="仿宋_GB2312" w:cs="Times New Roman"/>
          <w:color w:val="000000"/>
          <w:sz w:val="28"/>
          <w:szCs w:val="32"/>
        </w:rPr>
        <w:t>文批复立项实施，实施范围涉及于田县</w:t>
      </w:r>
      <w:r>
        <w:rPr>
          <w:rFonts w:hint="eastAsia" w:ascii="仿宋_GB2312" w:hAnsi="Times New Roman" w:eastAsia="仿宋_GB2312" w:cs="Times New Roman"/>
          <w:color w:val="000000"/>
          <w:sz w:val="28"/>
          <w:szCs w:val="32"/>
          <w:lang w:eastAsia="zh-CN"/>
        </w:rPr>
        <w:t>阿热</w:t>
      </w:r>
      <w:r>
        <w:rPr>
          <w:rFonts w:hint="eastAsia" w:ascii="仿宋_GB2312" w:hAnsi="Times New Roman" w:eastAsia="仿宋_GB2312" w:cs="Times New Roman"/>
          <w:color w:val="000000"/>
          <w:sz w:val="28"/>
          <w:szCs w:val="32"/>
          <w:lang w:val="en-US" w:eastAsia="zh-CN"/>
        </w:rPr>
        <w:t>勒乡全域范围</w:t>
      </w:r>
      <w:r>
        <w:rPr>
          <w:rFonts w:hint="eastAsia" w:ascii="仿宋_GB2312" w:hAnsi="Times New Roman" w:eastAsia="仿宋_GB2312" w:cs="Times New Roman"/>
          <w:color w:val="000000"/>
          <w:sz w:val="28"/>
          <w:szCs w:val="32"/>
        </w:rPr>
        <w:t>。建设内容：于田县阿热勒乡进行土地平整278亩，换填土方72002</w:t>
      </w:r>
      <w:r>
        <w:rPr>
          <w:rFonts w:hint="eastAsia" w:ascii="仿宋_GB2312" w:hAnsi="Times New Roman" w:eastAsia="仿宋_GB2312" w:cs="Times New Roman"/>
          <w:color w:val="000000"/>
          <w:sz w:val="28"/>
          <w:szCs w:val="32"/>
          <w:lang w:val="en-US" w:eastAsia="zh-CN"/>
        </w:rPr>
        <w:t>立方米</w:t>
      </w:r>
      <w:r>
        <w:rPr>
          <w:rFonts w:hint="eastAsia" w:ascii="仿宋_GB2312" w:hAnsi="Times New Roman" w:eastAsia="仿宋_GB2312" w:cs="Times New Roman"/>
          <w:color w:val="000000"/>
          <w:sz w:val="28"/>
          <w:szCs w:val="32"/>
          <w:lang w:eastAsia="zh-CN"/>
        </w:rPr>
        <w:t>。</w:t>
      </w:r>
    </w:p>
    <w:p w14:paraId="554A4FFE">
      <w:pPr>
        <w:spacing w:line="560" w:lineRule="exact"/>
        <w:ind w:firstLine="562" w:firstLineChars="200"/>
        <w:rPr>
          <w:rFonts w:ascii="仿宋_GB2312" w:hAnsi="Times New Roman" w:eastAsia="仿宋_GB2312" w:cs="Times New Roman"/>
          <w:b/>
          <w:bCs/>
          <w:color w:val="000000"/>
          <w:sz w:val="28"/>
          <w:szCs w:val="32"/>
        </w:rPr>
      </w:pPr>
      <w:r>
        <w:rPr>
          <w:rFonts w:ascii="仿宋_GB2312" w:hAnsi="Times New Roman" w:eastAsia="仿宋_GB2312" w:cs="Times New Roman"/>
          <w:b/>
          <w:bCs/>
          <w:color w:val="000000"/>
          <w:sz w:val="28"/>
          <w:szCs w:val="32"/>
        </w:rPr>
        <w:t>4</w:t>
      </w:r>
      <w:r>
        <w:rPr>
          <w:rFonts w:hint="eastAsia" w:ascii="仿宋_GB2312" w:hAnsi="Times New Roman" w:eastAsia="仿宋_GB2312" w:cs="Times New Roman"/>
          <w:b/>
          <w:bCs/>
          <w:color w:val="000000"/>
          <w:sz w:val="28"/>
          <w:szCs w:val="32"/>
        </w:rPr>
        <w:t>、项目基本性质及类别</w:t>
      </w:r>
    </w:p>
    <w:p w14:paraId="1FD9E883">
      <w:pPr>
        <w:spacing w:line="560" w:lineRule="exact"/>
        <w:ind w:firstLine="560" w:firstLineChars="200"/>
        <w:rPr>
          <w:rFonts w:ascii="仿宋_GB2312" w:hAnsi="Times New Roman" w:eastAsia="仿宋_GB2312" w:cs="Times New Roman"/>
          <w:color w:val="000000"/>
          <w:sz w:val="28"/>
          <w:szCs w:val="32"/>
        </w:rPr>
      </w:pPr>
      <w:r>
        <w:rPr>
          <w:rFonts w:hint="eastAsia" w:ascii="仿宋_GB2312" w:hAnsi="Times New Roman" w:eastAsia="仿宋_GB2312" w:cs="Times New Roman"/>
          <w:color w:val="000000"/>
          <w:sz w:val="28"/>
          <w:szCs w:val="32"/>
        </w:rPr>
        <w:t>2024年土地碎片化治理项目（阿热勒乡）性质为</w:t>
      </w:r>
      <w:r>
        <w:rPr>
          <w:rFonts w:hint="eastAsia" w:ascii="仿宋_GB2312" w:hAnsi="Times New Roman" w:eastAsia="仿宋_GB2312" w:cs="Times New Roman"/>
          <w:color w:val="000000"/>
          <w:sz w:val="28"/>
          <w:szCs w:val="32"/>
          <w:lang w:val="en-US" w:eastAsia="zh-CN"/>
        </w:rPr>
        <w:t>其他</w:t>
      </w:r>
      <w:r>
        <w:rPr>
          <w:rFonts w:hint="eastAsia" w:ascii="仿宋_GB2312" w:hAnsi="Times New Roman" w:eastAsia="仿宋_GB2312" w:cs="Times New Roman"/>
          <w:color w:val="000000"/>
          <w:sz w:val="28"/>
          <w:szCs w:val="32"/>
        </w:rPr>
        <w:t>项目，属于乡村振兴衔接资金项目。</w:t>
      </w:r>
    </w:p>
    <w:p w14:paraId="22666A8D">
      <w:pPr>
        <w:spacing w:line="560" w:lineRule="exact"/>
        <w:ind w:firstLine="546" w:firstLineChars="200"/>
        <w:rPr>
          <w:rStyle w:val="20"/>
          <w:rFonts w:ascii="楷体_GB2312" w:hAnsi="楷体" w:cs="Times New Roman"/>
          <w:spacing w:val="-4"/>
          <w:sz w:val="28"/>
          <w:szCs w:val="32"/>
        </w:rPr>
      </w:pPr>
      <w:r>
        <w:rPr>
          <w:rStyle w:val="20"/>
          <w:rFonts w:hint="eastAsia" w:ascii="楷体_GB2312" w:hAnsi="楷体" w:cs="Times New Roman"/>
          <w:spacing w:val="-4"/>
          <w:sz w:val="28"/>
          <w:szCs w:val="32"/>
        </w:rPr>
        <w:t>（二）财政专项乡村振兴衔接资金项目绩效目标设定情况</w:t>
      </w:r>
    </w:p>
    <w:p w14:paraId="6047D90A">
      <w:pPr>
        <w:spacing w:line="560" w:lineRule="exact"/>
        <w:ind w:firstLine="562" w:firstLineChars="200"/>
        <w:rPr>
          <w:rFonts w:ascii="仿宋_GB2312" w:hAnsi="Times New Roman" w:eastAsia="仿宋_GB2312" w:cs="Times New Roman"/>
          <w:b/>
          <w:bCs/>
          <w:sz w:val="28"/>
          <w:szCs w:val="32"/>
        </w:rPr>
      </w:pPr>
      <w:r>
        <w:rPr>
          <w:rFonts w:hint="eastAsia" w:ascii="仿宋_GB2312" w:hAnsi="Times New Roman" w:eastAsia="仿宋_GB2312" w:cs="Times New Roman"/>
          <w:b/>
          <w:bCs/>
          <w:sz w:val="28"/>
          <w:szCs w:val="32"/>
        </w:rPr>
        <w:t>1.项目绩效总体目标</w:t>
      </w:r>
    </w:p>
    <w:p w14:paraId="2EF78413">
      <w:pPr>
        <w:spacing w:line="560" w:lineRule="exact"/>
        <w:ind w:firstLine="560" w:firstLineChars="200"/>
        <w:rPr>
          <w:rFonts w:hint="eastAsia" w:ascii="仿宋_GB2312" w:hAnsi="Times New Roman" w:eastAsia="仿宋_GB2312" w:cs="Times New Roman"/>
          <w:color w:val="000000"/>
          <w:sz w:val="28"/>
          <w:szCs w:val="32"/>
        </w:rPr>
      </w:pPr>
      <w:r>
        <w:rPr>
          <w:rFonts w:hint="eastAsia" w:ascii="仿宋_GB2312" w:hAnsi="Times New Roman" w:eastAsia="仿宋_GB2312" w:cs="Times New Roman"/>
          <w:color w:val="000000"/>
          <w:sz w:val="28"/>
          <w:szCs w:val="32"/>
        </w:rPr>
        <w:t>2024年土地碎片化治理项目（阿热勒乡）</w:t>
      </w:r>
      <w:r>
        <w:rPr>
          <w:rFonts w:hint="eastAsia" w:ascii="仿宋_GB2312" w:hAnsi="Times New Roman" w:eastAsia="仿宋_GB2312" w:cs="Times New Roman"/>
          <w:color w:val="000000"/>
          <w:sz w:val="28"/>
          <w:szCs w:val="32"/>
          <w:lang w:val="en-US" w:eastAsia="zh-CN"/>
        </w:rPr>
        <w:t>总投资55.6万元，全部申请以乡村振兴衔接资金。主要内容为：</w:t>
      </w:r>
      <w:r>
        <w:rPr>
          <w:rFonts w:hint="eastAsia" w:ascii="仿宋_GB2312" w:hAnsi="Times New Roman" w:eastAsia="仿宋_GB2312" w:cs="Times New Roman"/>
          <w:color w:val="000000"/>
          <w:sz w:val="28"/>
          <w:szCs w:val="32"/>
        </w:rPr>
        <w:t>于田县阿热勒乡进行土地平整 278 亩，换填土方 72002立方米。</w:t>
      </w:r>
    </w:p>
    <w:p w14:paraId="58DA4640">
      <w:pPr>
        <w:spacing w:line="560" w:lineRule="exact"/>
        <w:ind w:firstLine="560" w:firstLineChars="200"/>
        <w:rPr>
          <w:rFonts w:ascii="仿宋_GB2312"/>
          <w:szCs w:val="32"/>
        </w:rPr>
      </w:pPr>
      <w:r>
        <w:rPr>
          <w:rFonts w:hint="eastAsia" w:ascii="仿宋_GB2312" w:hAnsi="Times New Roman" w:eastAsia="仿宋_GB2312" w:cs="Times New Roman"/>
          <w:color w:val="000000"/>
          <w:sz w:val="28"/>
          <w:szCs w:val="32"/>
        </w:rPr>
        <w:t>有效整合零散地块，提升土地规模化经营水平。推广农业先进技术和管理模式，提高农业生产效率和经济效益。完善土地流转机制，保障农民土地权益，促进农民增收</w:t>
      </w:r>
      <w:r>
        <w:rPr>
          <w:rFonts w:hint="eastAsia" w:ascii="仿宋_GB2312" w:hAnsi="Times New Roman" w:eastAsia="仿宋_GB2312" w:cs="Times New Roman"/>
          <w:color w:val="000000"/>
          <w:sz w:val="28"/>
          <w:szCs w:val="32"/>
          <w:lang w:val="en-US" w:eastAsia="zh-CN"/>
        </w:rPr>
        <w:t>。</w:t>
      </w:r>
    </w:p>
    <w:p w14:paraId="6B82DD83">
      <w:pPr>
        <w:pStyle w:val="53"/>
        <w:spacing w:line="560" w:lineRule="exact"/>
        <w:ind w:left="3" w:right="3" w:firstLine="562"/>
        <w:rPr>
          <w:rFonts w:ascii="仿宋_GB2312"/>
          <w:b/>
          <w:bCs/>
          <w:szCs w:val="32"/>
        </w:rPr>
      </w:pPr>
      <w:r>
        <w:rPr>
          <w:rFonts w:hint="eastAsia" w:ascii="仿宋_GB2312"/>
          <w:b/>
          <w:bCs/>
          <w:szCs w:val="32"/>
        </w:rPr>
        <w:t>2.具体绩效指标</w:t>
      </w:r>
    </w:p>
    <w:p w14:paraId="77FF048E">
      <w:pPr>
        <w:pStyle w:val="53"/>
        <w:spacing w:line="560" w:lineRule="exact"/>
        <w:ind w:left="3" w:right="3" w:firstLine="560"/>
        <w:rPr>
          <w:rFonts w:ascii="仿宋_GB2312"/>
          <w:szCs w:val="32"/>
        </w:rPr>
      </w:pPr>
      <w:r>
        <w:rPr>
          <w:rFonts w:ascii="仿宋_GB2312"/>
          <w:szCs w:val="32"/>
        </w:rPr>
        <w:t>根据《自治区财政专项扶贫资金绩效管理操作指南》（新财预〔2019〕170号）的规定，结合项目具体情况，</w:t>
      </w:r>
      <w:r>
        <w:rPr>
          <w:rFonts w:hint="eastAsia" w:ascii="仿宋_GB2312"/>
          <w:szCs w:val="32"/>
        </w:rPr>
        <w:t>本项目共设置一级指标3个，二级指标</w:t>
      </w:r>
      <w:r>
        <w:rPr>
          <w:rFonts w:hint="eastAsia" w:ascii="仿宋_GB2312"/>
          <w:szCs w:val="32"/>
          <w:lang w:val="en-US" w:eastAsia="zh-CN"/>
        </w:rPr>
        <w:t>6</w:t>
      </w:r>
      <w:r>
        <w:rPr>
          <w:rFonts w:hint="eastAsia" w:ascii="仿宋_GB2312"/>
          <w:szCs w:val="32"/>
        </w:rPr>
        <w:t>个，三级指标</w:t>
      </w:r>
      <w:r>
        <w:rPr>
          <w:rFonts w:hint="eastAsia" w:ascii="仿宋_GB2312"/>
          <w:szCs w:val="32"/>
          <w:lang w:val="en-US" w:eastAsia="zh-CN"/>
        </w:rPr>
        <w:t>11</w:t>
      </w:r>
      <w:r>
        <w:rPr>
          <w:rFonts w:hint="eastAsia" w:ascii="仿宋_GB2312"/>
          <w:szCs w:val="32"/>
        </w:rPr>
        <w:t>个。</w:t>
      </w:r>
    </w:p>
    <w:p w14:paraId="484DE238">
      <w:pPr>
        <w:pStyle w:val="30"/>
        <w:spacing w:before="120"/>
        <w:ind w:left="0" w:leftChars="0" w:right="3" w:firstLine="562" w:firstLineChars="200"/>
        <w:rPr>
          <w:rFonts w:eastAsia="宋体"/>
          <w:sz w:val="21"/>
        </w:rPr>
      </w:pPr>
      <w:r>
        <w:rPr>
          <w:rFonts w:hint="eastAsia"/>
        </w:rPr>
        <w:t>二、绩效自评工作开展情况</w:t>
      </w:r>
    </w:p>
    <w:p w14:paraId="1E3C53B8">
      <w:pPr>
        <w:spacing w:line="560" w:lineRule="exact"/>
        <w:ind w:firstLine="546" w:firstLineChars="200"/>
        <w:rPr>
          <w:rStyle w:val="20"/>
          <w:rFonts w:ascii="楷体_GB2312" w:hAnsi="楷体" w:cs="Times New Roman"/>
          <w:spacing w:val="-4"/>
          <w:sz w:val="28"/>
          <w:szCs w:val="32"/>
        </w:rPr>
      </w:pPr>
      <w:r>
        <w:rPr>
          <w:rStyle w:val="20"/>
          <w:rFonts w:hint="eastAsia" w:ascii="楷体_GB2312" w:hAnsi="楷体" w:cs="Times New Roman"/>
          <w:spacing w:val="-4"/>
          <w:sz w:val="28"/>
          <w:szCs w:val="32"/>
        </w:rPr>
        <w:t>（一）绩效自评工作开展范围</w:t>
      </w:r>
    </w:p>
    <w:p w14:paraId="73AC4208">
      <w:pPr>
        <w:pStyle w:val="53"/>
        <w:spacing w:line="560" w:lineRule="exact"/>
        <w:ind w:left="3" w:right="3" w:firstLine="560"/>
      </w:pPr>
      <w:r>
        <w:t>本次自评范围涵盖项目总体绩效目标、各项绩效指标完成情况以及预算执行情况。</w:t>
      </w:r>
    </w:p>
    <w:p w14:paraId="4FF17995">
      <w:pPr>
        <w:spacing w:line="560" w:lineRule="exact"/>
        <w:ind w:firstLine="546" w:firstLineChars="200"/>
        <w:rPr>
          <w:rStyle w:val="20"/>
          <w:rFonts w:ascii="楷体_GB2312" w:hAnsi="楷体" w:cs="Times New Roman"/>
          <w:spacing w:val="-4"/>
          <w:sz w:val="28"/>
          <w:szCs w:val="32"/>
        </w:rPr>
      </w:pPr>
      <w:r>
        <w:rPr>
          <w:rStyle w:val="20"/>
          <w:rFonts w:hint="eastAsia" w:ascii="楷体_GB2312" w:hAnsi="楷体" w:cs="Times New Roman"/>
          <w:spacing w:val="-4"/>
          <w:sz w:val="28"/>
          <w:szCs w:val="32"/>
        </w:rPr>
        <w:t>（二）绩效自评工作对象</w:t>
      </w:r>
    </w:p>
    <w:p w14:paraId="4AEDAFFF">
      <w:pPr>
        <w:pStyle w:val="53"/>
        <w:spacing w:line="560" w:lineRule="exact"/>
        <w:ind w:left="3" w:right="3" w:firstLine="560"/>
      </w:pPr>
      <w:r>
        <w:t>本次绩效自评遵循《中央财政衔接推进乡村振兴补助资金管理办法》的通知（财农〔2021〕19号）、《新疆维吾尔自治区财政财政衔接推进乡村振兴补助资金管理办法》（新财规〔2021〕11号）、《自治区财政专项扶贫资金绩效管理操作指南》（新财预〔2019〕170号）等相关政策文件与规定，对</w:t>
      </w:r>
      <w:r>
        <w:rPr>
          <w:rFonts w:hint="eastAsia" w:ascii="仿宋_GB2312" w:cs="Times New Roman"/>
          <w:color w:val="000000"/>
          <w:sz w:val="28"/>
          <w:szCs w:val="32"/>
          <w:lang w:val="en-US" w:eastAsia="zh-CN"/>
        </w:rPr>
        <w:t>2024年土地碎片化治理项目（阿热勒乡）</w:t>
      </w:r>
      <w:r>
        <w:t>资金的使用管理、项目产出、综合效益等进行评价。</w:t>
      </w:r>
    </w:p>
    <w:p w14:paraId="0AF0C0AD">
      <w:pPr>
        <w:spacing w:line="560" w:lineRule="exact"/>
        <w:ind w:firstLine="546" w:firstLineChars="200"/>
        <w:rPr>
          <w:rStyle w:val="20"/>
          <w:rFonts w:ascii="楷体_GB2312" w:hAnsi="楷体" w:cs="Times New Roman"/>
          <w:spacing w:val="-4"/>
          <w:sz w:val="28"/>
          <w:szCs w:val="32"/>
        </w:rPr>
      </w:pPr>
      <w:r>
        <w:rPr>
          <w:rStyle w:val="20"/>
          <w:rFonts w:hint="eastAsia" w:ascii="楷体_GB2312" w:hAnsi="楷体" w:cs="Times New Roman"/>
          <w:spacing w:val="-4"/>
          <w:sz w:val="28"/>
          <w:szCs w:val="32"/>
        </w:rPr>
        <w:t>（三）绩效自评工作方式</w:t>
      </w:r>
    </w:p>
    <w:p w14:paraId="11F349B1">
      <w:pPr>
        <w:pStyle w:val="34"/>
      </w:pPr>
      <w:r>
        <w:rPr>
          <w:rFonts w:hint="eastAsia"/>
        </w:rPr>
        <w:t>1.前期准备</w:t>
      </w:r>
    </w:p>
    <w:p w14:paraId="1D20E09D">
      <w:pPr>
        <w:pStyle w:val="53"/>
        <w:spacing w:line="560" w:lineRule="exact"/>
        <w:ind w:left="3" w:right="0" w:rightChars="0" w:firstLine="560"/>
      </w:pPr>
      <w:r>
        <w:t>202</w:t>
      </w:r>
      <w:r>
        <w:rPr>
          <w:rFonts w:hint="eastAsia"/>
          <w:lang w:val="en-US" w:eastAsia="zh-CN"/>
        </w:rPr>
        <w:t>4</w:t>
      </w:r>
      <w:r>
        <w:t>年，认真学习相关要求与规定，成立绩效自评工作组，作为绩效自评工作具体实施机构。成员构成如下：</w:t>
      </w:r>
    </w:p>
    <w:p w14:paraId="5FE1A5C1">
      <w:pPr>
        <w:pStyle w:val="53"/>
        <w:keepNext w:val="0"/>
        <w:keepLines w:val="0"/>
        <w:pageBreakBefore w:val="0"/>
        <w:kinsoku/>
        <w:wordWrap/>
        <w:overflowPunct/>
        <w:topLinePunct w:val="0"/>
        <w:autoSpaceDE/>
        <w:autoSpaceDN/>
        <w:bidi w:val="0"/>
        <w:adjustRightInd/>
        <w:spacing w:line="560" w:lineRule="exact"/>
        <w:ind w:left="3" w:right="3" w:firstLine="560"/>
        <w:textAlignment w:val="auto"/>
        <w:rPr>
          <w:rFonts w:hint="default"/>
          <w:highlight w:val="none"/>
          <w:lang w:val="en-US" w:eastAsia="zh-CN"/>
        </w:rPr>
      </w:pPr>
      <w:r>
        <w:rPr>
          <w:rFonts w:hint="eastAsia"/>
          <w:highlight w:val="none"/>
        </w:rPr>
        <w:t>组  长</w:t>
      </w:r>
      <w:r>
        <w:rPr>
          <w:rFonts w:hint="eastAsia"/>
          <w:highlight w:val="none"/>
          <w:lang w:eastAsia="zh-CN"/>
        </w:rPr>
        <w:t>：</w:t>
      </w:r>
      <w:r>
        <w:rPr>
          <w:rFonts w:hint="eastAsia"/>
          <w:highlight w:val="none"/>
          <w:lang w:val="en-US" w:eastAsia="zh-CN"/>
        </w:rPr>
        <w:t xml:space="preserve">吾麦尔江·赛提瓦                   </w:t>
      </w:r>
      <w:r>
        <w:rPr>
          <w:rFonts w:hint="eastAsia"/>
          <w:highlight w:val="none"/>
        </w:rPr>
        <w:t xml:space="preserve"> </w:t>
      </w:r>
      <w:r>
        <w:rPr>
          <w:highlight w:val="none"/>
        </w:rPr>
        <w:t xml:space="preserve"> </w:t>
      </w:r>
      <w:r>
        <w:rPr>
          <w:rFonts w:hint="eastAsia"/>
          <w:highlight w:val="none"/>
          <w:lang w:val="en-US" w:eastAsia="zh-CN"/>
        </w:rPr>
        <w:t xml:space="preserve">        </w:t>
      </w:r>
      <w:r>
        <w:rPr>
          <w:rFonts w:hint="eastAsia"/>
          <w:highlight w:val="none"/>
          <w:lang w:eastAsia="zh-CN"/>
        </w:rPr>
        <w:t>党委</w:t>
      </w:r>
      <w:r>
        <w:rPr>
          <w:rFonts w:hint="eastAsia"/>
          <w:highlight w:val="none"/>
          <w:lang w:val="en-US" w:eastAsia="zh-CN"/>
        </w:rPr>
        <w:t>副</w:t>
      </w:r>
      <w:r>
        <w:rPr>
          <w:rFonts w:hint="eastAsia"/>
          <w:highlight w:val="none"/>
          <w:lang w:eastAsia="zh-CN"/>
        </w:rPr>
        <w:t>书记、</w:t>
      </w:r>
      <w:r>
        <w:rPr>
          <w:rFonts w:hint="eastAsia"/>
          <w:highlight w:val="none"/>
          <w:lang w:val="en-US" w:eastAsia="zh-CN"/>
        </w:rPr>
        <w:t>乡长</w:t>
      </w:r>
    </w:p>
    <w:p w14:paraId="3D2D0493">
      <w:pPr>
        <w:pStyle w:val="53"/>
        <w:keepNext w:val="0"/>
        <w:keepLines w:val="0"/>
        <w:pageBreakBefore w:val="0"/>
        <w:kinsoku/>
        <w:wordWrap/>
        <w:overflowPunct/>
        <w:topLinePunct w:val="0"/>
        <w:autoSpaceDE/>
        <w:autoSpaceDN/>
        <w:bidi w:val="0"/>
        <w:adjustRightInd/>
        <w:spacing w:line="560" w:lineRule="exact"/>
        <w:ind w:left="3" w:right="3" w:firstLine="560"/>
        <w:textAlignment w:val="auto"/>
        <w:rPr>
          <w:rFonts w:hint="default"/>
          <w:highlight w:val="none"/>
          <w:lang w:val="en-US" w:eastAsia="zh-CN"/>
        </w:rPr>
      </w:pPr>
      <w:r>
        <w:rPr>
          <w:rFonts w:hint="eastAsia"/>
          <w:highlight w:val="none"/>
        </w:rPr>
        <w:t>副组长：</w:t>
      </w:r>
      <w:r>
        <w:rPr>
          <w:rFonts w:hint="eastAsia"/>
          <w:highlight w:val="none"/>
          <w:lang w:val="en-US" w:eastAsia="zh-CN"/>
        </w:rPr>
        <w:t>刘栋                          党委委员、武装部长</w:t>
      </w:r>
    </w:p>
    <w:p w14:paraId="6B9FE95C">
      <w:pPr>
        <w:pStyle w:val="53"/>
        <w:keepNext w:val="0"/>
        <w:keepLines w:val="0"/>
        <w:pageBreakBefore w:val="0"/>
        <w:kinsoku/>
        <w:wordWrap/>
        <w:overflowPunct/>
        <w:topLinePunct w:val="0"/>
        <w:autoSpaceDE/>
        <w:autoSpaceDN/>
        <w:bidi w:val="0"/>
        <w:adjustRightInd/>
        <w:spacing w:line="560" w:lineRule="exact"/>
        <w:ind w:left="0" w:leftChars="0" w:right="3" w:firstLine="560" w:firstLineChars="200"/>
        <w:textAlignment w:val="auto"/>
        <w:rPr>
          <w:rFonts w:hint="eastAsia"/>
          <w:highlight w:val="none"/>
          <w:lang w:eastAsia="zh-CN"/>
        </w:rPr>
      </w:pPr>
      <w:r>
        <w:rPr>
          <w:rFonts w:hint="eastAsia"/>
          <w:highlight w:val="none"/>
          <w:lang w:eastAsia="zh-CN"/>
        </w:rPr>
        <w:t>罗震</w:t>
      </w:r>
      <w:r>
        <w:rPr>
          <w:rFonts w:hint="eastAsia"/>
          <w:highlight w:val="none"/>
        </w:rPr>
        <w:t xml:space="preserve">         </w:t>
      </w:r>
      <w:r>
        <w:rPr>
          <w:highlight w:val="none"/>
        </w:rPr>
        <w:t xml:space="preserve">                     </w:t>
      </w:r>
      <w:r>
        <w:rPr>
          <w:rFonts w:hint="eastAsia"/>
          <w:highlight w:val="none"/>
          <w:lang w:val="en-US" w:eastAsia="zh-CN"/>
        </w:rPr>
        <w:t xml:space="preserve">              </w:t>
      </w:r>
      <w:r>
        <w:rPr>
          <w:rFonts w:hint="eastAsia"/>
          <w:highlight w:val="none"/>
          <w:lang w:eastAsia="zh-CN"/>
        </w:rPr>
        <w:t>党委委员、纪委书记、监察办主任</w:t>
      </w:r>
    </w:p>
    <w:p w14:paraId="7DC35531">
      <w:pPr>
        <w:pStyle w:val="53"/>
        <w:keepNext w:val="0"/>
        <w:keepLines w:val="0"/>
        <w:pageBreakBefore w:val="0"/>
        <w:kinsoku/>
        <w:wordWrap/>
        <w:overflowPunct/>
        <w:topLinePunct w:val="0"/>
        <w:autoSpaceDE/>
        <w:autoSpaceDN/>
        <w:bidi w:val="0"/>
        <w:adjustRightInd/>
        <w:spacing w:line="560" w:lineRule="exact"/>
        <w:ind w:left="3" w:right="3" w:firstLine="560"/>
        <w:textAlignment w:val="auto"/>
        <w:rPr>
          <w:rFonts w:hint="eastAsia"/>
          <w:highlight w:val="none"/>
        </w:rPr>
      </w:pPr>
      <w:r>
        <w:rPr>
          <w:rFonts w:hint="eastAsia"/>
          <w:highlight w:val="none"/>
        </w:rPr>
        <w:t>成  员：</w:t>
      </w:r>
    </w:p>
    <w:p w14:paraId="700131ED">
      <w:pPr>
        <w:pStyle w:val="53"/>
        <w:keepNext w:val="0"/>
        <w:keepLines w:val="0"/>
        <w:pageBreakBefore w:val="0"/>
        <w:kinsoku/>
        <w:wordWrap/>
        <w:overflowPunct/>
        <w:topLinePunct w:val="0"/>
        <w:autoSpaceDE/>
        <w:autoSpaceDN/>
        <w:bidi w:val="0"/>
        <w:adjustRightInd/>
        <w:spacing w:line="560" w:lineRule="exact"/>
        <w:ind w:left="0" w:leftChars="0" w:right="3" w:firstLine="560" w:firstLineChars="200"/>
        <w:textAlignment w:val="auto"/>
        <w:rPr>
          <w:rFonts w:hint="default"/>
          <w:highlight w:val="none"/>
          <w:lang w:val="en-US" w:eastAsia="zh-CN"/>
        </w:rPr>
      </w:pPr>
      <w:r>
        <w:rPr>
          <w:rFonts w:hint="eastAsia"/>
          <w:highlight w:val="none"/>
          <w:lang w:eastAsia="zh-CN"/>
        </w:rPr>
        <w:t>艾力</w:t>
      </w:r>
      <w:r>
        <w:rPr>
          <w:rFonts w:hint="eastAsia"/>
          <w:highlight w:val="none"/>
          <w:lang w:val="en-US" w:eastAsia="zh-CN"/>
        </w:rPr>
        <w:t>·喀哈尔                                                                             财政所所长</w:t>
      </w:r>
    </w:p>
    <w:p w14:paraId="541004A5">
      <w:pPr>
        <w:pStyle w:val="53"/>
        <w:keepNext w:val="0"/>
        <w:keepLines w:val="0"/>
        <w:pageBreakBefore w:val="0"/>
        <w:kinsoku/>
        <w:wordWrap/>
        <w:overflowPunct/>
        <w:topLinePunct w:val="0"/>
        <w:autoSpaceDE/>
        <w:autoSpaceDN/>
        <w:bidi w:val="0"/>
        <w:adjustRightInd/>
        <w:spacing w:line="560" w:lineRule="exact"/>
        <w:ind w:left="0" w:leftChars="0" w:right="3" w:firstLine="560" w:firstLineChars="200"/>
        <w:textAlignment w:val="auto"/>
        <w:rPr>
          <w:highlight w:val="none"/>
        </w:rPr>
      </w:pPr>
      <w:r>
        <w:rPr>
          <w:rFonts w:hint="eastAsia"/>
          <w:highlight w:val="none"/>
          <w:lang w:eastAsia="zh-CN"/>
        </w:rPr>
        <w:t>阿米娜</w:t>
      </w:r>
      <w:r>
        <w:rPr>
          <w:rFonts w:hint="eastAsia"/>
          <w:highlight w:val="none"/>
          <w:lang w:val="en-US" w:eastAsia="zh-CN"/>
        </w:rPr>
        <w:t>·买合木提</w:t>
      </w:r>
      <w:r>
        <w:rPr>
          <w:rFonts w:hint="eastAsia"/>
          <w:highlight w:val="none"/>
        </w:rPr>
        <w:t xml:space="preserve"> </w:t>
      </w:r>
      <w:r>
        <w:rPr>
          <w:rFonts w:hint="eastAsia"/>
          <w:highlight w:val="none"/>
          <w:lang w:val="en-US" w:eastAsia="zh-CN"/>
        </w:rPr>
        <w:t xml:space="preserve">                                                    </w:t>
      </w:r>
      <w:r>
        <w:rPr>
          <w:highlight w:val="none"/>
        </w:rPr>
        <w:t xml:space="preserve">                </w:t>
      </w:r>
      <w:r>
        <w:rPr>
          <w:rFonts w:hint="eastAsia"/>
          <w:highlight w:val="none"/>
          <w:lang w:eastAsia="zh-CN"/>
        </w:rPr>
        <w:t>财政所</w:t>
      </w:r>
      <w:r>
        <w:rPr>
          <w:rFonts w:hint="eastAsia"/>
          <w:highlight w:val="none"/>
        </w:rPr>
        <w:t>科员</w:t>
      </w:r>
    </w:p>
    <w:p w14:paraId="1F3D7B02">
      <w:pPr>
        <w:pStyle w:val="53"/>
        <w:spacing w:line="560" w:lineRule="exact"/>
        <w:ind w:left="3" w:right="3" w:firstLine="560"/>
        <w:rPr>
          <w:rFonts w:hint="eastAsia"/>
          <w:highlight w:val="none"/>
          <w:lang w:val="en-US" w:eastAsia="zh-CN"/>
        </w:rPr>
      </w:pPr>
      <w:r>
        <w:rPr>
          <w:rFonts w:hint="eastAsia"/>
          <w:highlight w:val="none"/>
          <w:lang w:val="en-US" w:eastAsia="zh-CN"/>
        </w:rPr>
        <w:t>耿新娟</w:t>
      </w:r>
      <w:r>
        <w:rPr>
          <w:rFonts w:hint="eastAsia"/>
          <w:highlight w:val="none"/>
        </w:rPr>
        <w:t xml:space="preserve">            </w:t>
      </w:r>
      <w:r>
        <w:rPr>
          <w:highlight w:val="none"/>
        </w:rPr>
        <w:t xml:space="preserve">                       </w:t>
      </w:r>
      <w:r>
        <w:rPr>
          <w:rFonts w:hint="eastAsia"/>
          <w:highlight w:val="none"/>
          <w:lang w:val="en-US" w:eastAsia="zh-CN"/>
        </w:rPr>
        <w:t xml:space="preserve">                                           </w:t>
      </w:r>
      <w:r>
        <w:rPr>
          <w:highlight w:val="none"/>
        </w:rPr>
        <w:t xml:space="preserve">   </w:t>
      </w:r>
      <w:r>
        <w:rPr>
          <w:rFonts w:hint="eastAsia"/>
          <w:highlight w:val="none"/>
          <w:lang w:val="en-US" w:eastAsia="zh-CN"/>
        </w:rPr>
        <w:t>四级主任科员</w:t>
      </w:r>
    </w:p>
    <w:p w14:paraId="10F73A35">
      <w:pPr>
        <w:pStyle w:val="53"/>
        <w:spacing w:line="560" w:lineRule="exact"/>
        <w:ind w:left="3" w:right="3" w:firstLine="560"/>
        <w:rPr>
          <w:rFonts w:hint="eastAsia"/>
          <w:highlight w:val="none"/>
          <w:lang w:val="en-US" w:eastAsia="zh-CN"/>
        </w:rPr>
      </w:pPr>
      <w:r>
        <w:rPr>
          <w:rFonts w:hint="eastAsia"/>
          <w:highlight w:val="none"/>
        </w:rPr>
        <w:t xml:space="preserve"> </w:t>
      </w:r>
      <w:r>
        <w:rPr>
          <w:rFonts w:hint="eastAsia"/>
          <w:highlight w:val="none"/>
          <w:lang w:val="en-US" w:eastAsia="zh-CN"/>
        </w:rPr>
        <w:t>刘建涛</w:t>
      </w:r>
      <w:r>
        <w:rPr>
          <w:rFonts w:hint="eastAsia"/>
          <w:highlight w:val="none"/>
        </w:rPr>
        <w:t xml:space="preserve">            </w:t>
      </w:r>
      <w:r>
        <w:rPr>
          <w:highlight w:val="none"/>
        </w:rPr>
        <w:t xml:space="preserve">                              </w:t>
      </w:r>
      <w:r>
        <w:rPr>
          <w:rFonts w:hint="eastAsia"/>
          <w:highlight w:val="none"/>
        </w:rPr>
        <w:t xml:space="preserve">  </w:t>
      </w:r>
      <w:r>
        <w:rPr>
          <w:rFonts w:hint="eastAsia"/>
          <w:highlight w:val="none"/>
          <w:lang w:val="en-US" w:eastAsia="zh-CN"/>
        </w:rPr>
        <w:t xml:space="preserve">                                    四级主任科员</w:t>
      </w:r>
    </w:p>
    <w:p w14:paraId="5511F1D6">
      <w:pPr>
        <w:pStyle w:val="53"/>
        <w:spacing w:line="560" w:lineRule="exact"/>
        <w:ind w:left="282" w:leftChars="88" w:right="3" w:firstLine="280" w:firstLineChars="100"/>
      </w:pPr>
      <w:r>
        <w:rPr>
          <w:rFonts w:hint="eastAsia"/>
        </w:rPr>
        <w:t>办公室负责项目的计划制定、实施，督查、指导相关单位共同做好项目管理工作。切实把该项目作为生态健康建设的重要举措来抓，加强领导，明确分工，落实责任，密切配合，形成合力，推动该项目顺利实施。由</w:t>
      </w:r>
      <w:r>
        <w:rPr>
          <w:rFonts w:hint="eastAsia"/>
          <w:lang w:val="en-US" w:eastAsia="zh-CN"/>
        </w:rPr>
        <w:t>于田县阿热勒乡人民政府</w:t>
      </w:r>
      <w:r>
        <w:rPr>
          <w:rFonts w:hint="eastAsia"/>
        </w:rPr>
        <w:t>单位牵头，负责整个项目的统筹安排和经费使用管理工作，实现分级管理制度。</w:t>
      </w:r>
    </w:p>
    <w:p w14:paraId="0F1F935A">
      <w:pPr>
        <w:pStyle w:val="34"/>
      </w:pPr>
      <w:r>
        <w:rPr>
          <w:rFonts w:hint="eastAsia"/>
        </w:rPr>
        <w:t>2.组织实施</w:t>
      </w:r>
    </w:p>
    <w:p w14:paraId="17F4A421">
      <w:pPr>
        <w:pStyle w:val="53"/>
        <w:spacing w:line="560" w:lineRule="exact"/>
        <w:ind w:left="3" w:right="3" w:firstLine="560"/>
      </w:pPr>
      <w:r>
        <w:t>成立绩效自评工作组后，经评价组通过实地调研等方式，采用综合分析法对项目的决策、管理、绩效进行的综合评价分析。</w:t>
      </w:r>
    </w:p>
    <w:p w14:paraId="68C93C48">
      <w:pPr>
        <w:pStyle w:val="34"/>
      </w:pPr>
      <w:r>
        <w:rPr>
          <w:rFonts w:hint="eastAsia"/>
        </w:rPr>
        <w:t>3.分析评价。</w:t>
      </w:r>
    </w:p>
    <w:p w14:paraId="54495EA5">
      <w:pPr>
        <w:pStyle w:val="53"/>
        <w:spacing w:line="560" w:lineRule="exact"/>
        <w:ind w:left="3" w:right="3" w:firstLine="560"/>
      </w:pPr>
      <w:r>
        <w:t>首先按照指标体系进行定量、定性分析。其次开展量化打分、综合评价工作，形成初步评价结论。最后归纳整体项目情况与存在问题，撰写绩效自评报告。</w:t>
      </w:r>
    </w:p>
    <w:p w14:paraId="2C3F49EE">
      <w:pPr>
        <w:pStyle w:val="53"/>
        <w:spacing w:line="560" w:lineRule="exact"/>
        <w:ind w:left="3" w:right="3" w:firstLine="560"/>
      </w:pPr>
      <w:r>
        <w:t>（1）绩效自评指标体系</w:t>
      </w:r>
    </w:p>
    <w:p w14:paraId="505E9F8F">
      <w:pPr>
        <w:pStyle w:val="53"/>
        <w:spacing w:line="560" w:lineRule="exact"/>
        <w:ind w:left="3" w:right="3" w:firstLine="560"/>
      </w:pPr>
      <w:r>
        <w:t>按照《自治区财政专项扶贫资金绩效管理操作指南》（新财预〔2019〕170号）文件要求，并根据项目各项指标重要程度确定二级指标的分值，并对核心指标赋予更高的权重。其中：数量指标</w:t>
      </w:r>
      <w:r>
        <w:rPr>
          <w:rFonts w:hint="eastAsia"/>
          <w:lang w:val="en-US" w:eastAsia="zh-CN"/>
        </w:rPr>
        <w:t>12</w:t>
      </w:r>
      <w:r>
        <w:t>分、质量指标</w:t>
      </w:r>
      <w:r>
        <w:rPr>
          <w:rFonts w:hint="eastAsia"/>
          <w:lang w:val="en-US" w:eastAsia="zh-CN"/>
        </w:rPr>
        <w:t>11</w:t>
      </w:r>
      <w:r>
        <w:t>分，时效指标</w:t>
      </w:r>
      <w:r>
        <w:rPr>
          <w:rFonts w:hint="eastAsia"/>
          <w:lang w:val="en-US" w:eastAsia="zh-CN"/>
        </w:rPr>
        <w:t>15</w:t>
      </w:r>
      <w:r>
        <w:t>分、成本指标</w:t>
      </w:r>
      <w:r>
        <w:rPr>
          <w:rFonts w:hint="eastAsia"/>
          <w:lang w:val="en-US" w:eastAsia="zh-CN"/>
        </w:rPr>
        <w:t>12</w:t>
      </w:r>
      <w:r>
        <w:t>分、社会效益指标</w:t>
      </w:r>
      <w:r>
        <w:rPr>
          <w:rFonts w:hint="eastAsia"/>
          <w:lang w:val="en-US" w:eastAsia="zh-CN"/>
        </w:rPr>
        <w:t>30</w:t>
      </w:r>
      <w:r>
        <w:t>分、</w:t>
      </w:r>
      <w:r>
        <w:rPr>
          <w:rFonts w:hint="eastAsia"/>
        </w:rPr>
        <w:t>服务对象满意度指标</w:t>
      </w:r>
      <w:r>
        <w:t>10分、预算资金执行率10分，满分100分。</w:t>
      </w:r>
    </w:p>
    <w:p w14:paraId="57841B21">
      <w:pPr>
        <w:pStyle w:val="53"/>
        <w:spacing w:line="560" w:lineRule="exact"/>
        <w:ind w:left="3" w:right="3" w:firstLine="560"/>
      </w:pPr>
      <w:r>
        <w:t>（2）绩效自评方法</w:t>
      </w:r>
    </w:p>
    <w:p w14:paraId="2D1261B5">
      <w:pPr>
        <w:pStyle w:val="53"/>
        <w:spacing w:line="560" w:lineRule="exact"/>
        <w:ind w:left="3" w:right="3" w:firstLine="560"/>
      </w:pPr>
      <w:r>
        <w:t>本次绩效自评采用比较法和综合分析法对项目资金的使用管理、项目产出、综合效益等进行评价。</w:t>
      </w:r>
    </w:p>
    <w:p w14:paraId="778BAEC7">
      <w:pPr>
        <w:pStyle w:val="53"/>
        <w:spacing w:line="560" w:lineRule="exact"/>
        <w:ind w:left="3" w:right="3" w:firstLine="560"/>
      </w:pPr>
      <w:r>
        <w:t>（3）绩效自评标准</w:t>
      </w:r>
    </w:p>
    <w:p w14:paraId="3D5E1778">
      <w:pPr>
        <w:pStyle w:val="53"/>
        <w:spacing w:line="560" w:lineRule="exact"/>
        <w:ind w:left="3" w:right="3" w:firstLine="560"/>
      </w:pPr>
      <w:r>
        <w:t>绩效评价标准通常包括计划标准、行业标准、历史标准等，用于对绩效指标完成情况进行比较。本次评价主要采用了计划标准，以预先制定的目标、计划、预算、定额等作为评价标准，对比分析项目产出、效益的完成情况。</w:t>
      </w:r>
    </w:p>
    <w:p w14:paraId="4E2DFA9E">
      <w:pPr>
        <w:pStyle w:val="53"/>
        <w:spacing w:line="560" w:lineRule="exact"/>
        <w:ind w:left="3" w:right="3" w:firstLine="560"/>
      </w:pPr>
      <w:r>
        <w:t>（4）绩效自评等级</w:t>
      </w:r>
    </w:p>
    <w:p w14:paraId="7523E4E0">
      <w:pPr>
        <w:pStyle w:val="53"/>
        <w:spacing w:line="560" w:lineRule="exact"/>
        <w:ind w:left="3" w:right="3" w:firstLine="560"/>
      </w:pPr>
      <w:r>
        <w:t>绩效自评总分值100分，根据评分结果，90（含）-100分为优、80（含）-90分为良、60（含）-80分为中、60分以下为差。</w:t>
      </w:r>
    </w:p>
    <w:p w14:paraId="73C1DD68">
      <w:pPr>
        <w:pStyle w:val="30"/>
        <w:spacing w:before="120"/>
        <w:ind w:leftChars="0" w:right="3" w:firstLine="562" w:firstLineChars="200"/>
      </w:pPr>
      <w:r>
        <w:rPr>
          <w:rFonts w:hint="eastAsia"/>
        </w:rPr>
        <w:t>三、绩效目标自评完成情况分析</w:t>
      </w:r>
    </w:p>
    <w:p w14:paraId="245D5ED7">
      <w:pPr>
        <w:spacing w:line="560" w:lineRule="exact"/>
        <w:ind w:firstLine="546" w:firstLineChars="200"/>
        <w:rPr>
          <w:rStyle w:val="20"/>
          <w:rFonts w:ascii="楷体_GB2312" w:hAnsi="楷体" w:cs="Times New Roman"/>
          <w:spacing w:val="-4"/>
          <w:sz w:val="28"/>
          <w:szCs w:val="32"/>
        </w:rPr>
      </w:pPr>
      <w:r>
        <w:rPr>
          <w:rStyle w:val="20"/>
          <w:rFonts w:hint="eastAsia" w:ascii="楷体_GB2312" w:hAnsi="楷体" w:cs="Times New Roman"/>
          <w:spacing w:val="-4"/>
          <w:sz w:val="28"/>
          <w:szCs w:val="32"/>
        </w:rPr>
        <w:t>（一）资金投入情况分析</w:t>
      </w:r>
    </w:p>
    <w:p w14:paraId="4EF98A14">
      <w:pPr>
        <w:pStyle w:val="34"/>
      </w:pPr>
      <w:r>
        <w:rPr>
          <w:rFonts w:hint="eastAsia"/>
        </w:rPr>
        <w:t>1.项目资金到位情况分析</w:t>
      </w:r>
    </w:p>
    <w:p w14:paraId="092B1623">
      <w:pPr>
        <w:pStyle w:val="53"/>
        <w:spacing w:line="560" w:lineRule="exact"/>
        <w:ind w:left="0" w:leftChars="0" w:right="3" w:firstLine="560"/>
        <w:rPr>
          <w:rFonts w:hint="eastAsia"/>
          <w:lang w:val="en-US" w:eastAsia="zh-CN"/>
        </w:rPr>
      </w:pPr>
      <w:r>
        <w:rPr>
          <w:rFonts w:hint="eastAsia"/>
          <w:lang w:val="en-US" w:eastAsia="zh-CN"/>
        </w:rPr>
        <w:t>2024年土地碎片化治理项目（阿热勒乡）</w:t>
      </w:r>
      <w:r>
        <w:rPr>
          <w:rFonts w:hint="eastAsia"/>
        </w:rPr>
        <w:t>预算安排总额为</w:t>
      </w:r>
      <w:r>
        <w:rPr>
          <w:rFonts w:hint="eastAsia"/>
          <w:lang w:val="en-US" w:eastAsia="zh-CN"/>
        </w:rPr>
        <w:t>55.6万元，其中：乡村振兴衔接资金55.6万元。预算资金到位率为100.00%。</w:t>
      </w:r>
    </w:p>
    <w:p w14:paraId="11BEE088">
      <w:pPr>
        <w:pStyle w:val="53"/>
        <w:spacing w:line="560" w:lineRule="exact"/>
        <w:ind w:left="0" w:leftChars="0" w:right="3" w:firstLine="562"/>
        <w:rPr>
          <w:b/>
        </w:rPr>
      </w:pPr>
      <w:r>
        <w:rPr>
          <w:rFonts w:hint="eastAsia"/>
          <w:b/>
        </w:rPr>
        <w:t>2.项目资金执行情况分析</w:t>
      </w:r>
    </w:p>
    <w:p w14:paraId="54F3A9B3">
      <w:pPr>
        <w:pStyle w:val="53"/>
        <w:spacing w:line="560" w:lineRule="exact"/>
        <w:ind w:left="0" w:leftChars="0" w:right="3" w:firstLine="560"/>
        <w:rPr>
          <w:rFonts w:hint="eastAsia"/>
          <w:lang w:val="en-US" w:eastAsia="zh-CN"/>
        </w:rPr>
      </w:pPr>
      <w:r>
        <w:rPr>
          <w:rFonts w:hint="eastAsia"/>
          <w:lang w:val="en-US" w:eastAsia="zh-CN"/>
        </w:rPr>
        <w:t>2024年土地碎片化治理项目（阿热勒乡），</w:t>
      </w:r>
      <w:r>
        <w:rPr>
          <w:rFonts w:hint="eastAsia"/>
        </w:rPr>
        <w:t>预算投入资金</w:t>
      </w:r>
      <w:r>
        <w:rPr>
          <w:rFonts w:hint="eastAsia"/>
          <w:lang w:val="en-US" w:eastAsia="zh-CN"/>
        </w:rPr>
        <w:t>55.6万元，经财务决算，项目实际完成投资共55.06万元，其中：建筑安装工程投资54.06万元，待摊投资 1万元；实际工程节概资金0.54万元。截至2024年12月31日，项目实际支出55.06万元，预算资金执行率99.03%。</w:t>
      </w:r>
    </w:p>
    <w:p w14:paraId="6C48FA51">
      <w:pPr>
        <w:pStyle w:val="34"/>
      </w:pPr>
      <w:r>
        <w:rPr>
          <w:rFonts w:hint="eastAsia"/>
        </w:rPr>
        <w:t>3.项目资金管理情况分析</w:t>
      </w:r>
    </w:p>
    <w:p w14:paraId="66FA3C27">
      <w:pPr>
        <w:pStyle w:val="53"/>
        <w:spacing w:line="560" w:lineRule="exact"/>
        <w:ind w:left="0" w:leftChars="0" w:right="3" w:firstLine="560"/>
      </w:pPr>
      <w:r>
        <w:t>项目资金使用和管理按照关于印发《中央财政衔接推进乡村振兴补助资金管理办法》的通知（财农〔2021〕19号）、《新疆维吾尔自治区财政财政衔接推进乡村振兴补助资金管理办法》（新财规〔2021〕11号）等相关文件要求。项目实施单位依据项目计划，提出支付申请并提供相关真实、合规的证明材料，制定资金使用计划，经审核后按照国库集中支付管理制度的规定和程序及时支付资金。资金的拨付过程有完整的审批程序和手续，不存在截留、挤占、挪用等情况。</w:t>
      </w:r>
    </w:p>
    <w:p w14:paraId="0CE3B718">
      <w:pPr>
        <w:pStyle w:val="53"/>
        <w:spacing w:line="560" w:lineRule="exact"/>
        <w:ind w:leftChars="0" w:right="3" w:firstLine="562"/>
        <w:rPr>
          <w:b/>
        </w:rPr>
      </w:pPr>
      <w:r>
        <w:rPr>
          <w:rFonts w:hint="eastAsia"/>
          <w:b/>
        </w:rPr>
        <w:t>4.项目管理情况分析</w:t>
      </w:r>
    </w:p>
    <w:p w14:paraId="4455BB3F">
      <w:pPr>
        <w:pStyle w:val="53"/>
        <w:spacing w:line="580" w:lineRule="exact"/>
        <w:ind w:left="0" w:leftChars="0" w:right="3" w:firstLine="560"/>
      </w:pPr>
      <w:r>
        <w:rPr>
          <w:rFonts w:hint="eastAsia"/>
        </w:rPr>
        <w:t>在项目实施中，</w:t>
      </w:r>
      <w:r>
        <w:rPr>
          <w:rFonts w:hint="eastAsia"/>
          <w:lang w:val="en-US" w:eastAsia="zh-CN"/>
        </w:rPr>
        <w:t>于田县阿热勒乡人民政府</w:t>
      </w:r>
      <w:r>
        <w:rPr>
          <w:rFonts w:hint="eastAsia"/>
        </w:rPr>
        <w:t>建立了项目管理制度，用以保障本项目的顺利实施。项目的实施遵守相关法律法规和业务管理规定，项目资料齐全并及时归档。已建立项目监督检查机制，不定期对项目进度情况进行督导检查，对检查过程中发现的问题及时督促整改，确保了项目按时保质完成。</w:t>
      </w:r>
    </w:p>
    <w:p w14:paraId="1EB2A922">
      <w:pPr>
        <w:spacing w:line="580" w:lineRule="exact"/>
        <w:ind w:firstLine="546" w:firstLineChars="200"/>
        <w:rPr>
          <w:rStyle w:val="20"/>
          <w:rFonts w:ascii="楷体_GB2312" w:hAnsi="楷体" w:cs="Times New Roman"/>
          <w:spacing w:val="-4"/>
          <w:sz w:val="28"/>
          <w:szCs w:val="32"/>
        </w:rPr>
      </w:pPr>
      <w:r>
        <w:rPr>
          <w:rStyle w:val="20"/>
          <w:rFonts w:hint="eastAsia" w:ascii="楷体_GB2312" w:hAnsi="楷体" w:cs="Times New Roman"/>
          <w:spacing w:val="-4"/>
          <w:sz w:val="28"/>
          <w:szCs w:val="32"/>
        </w:rPr>
        <w:t>（二）绩效目标完成情况分析</w:t>
      </w:r>
    </w:p>
    <w:p w14:paraId="53E67CEB">
      <w:pPr>
        <w:pStyle w:val="53"/>
        <w:spacing w:line="560" w:lineRule="exact"/>
        <w:ind w:left="3" w:right="3" w:firstLine="560"/>
        <w:rPr>
          <w:rFonts w:hint="eastAsia" w:ascii="仿宋_GB2312"/>
          <w:szCs w:val="32"/>
        </w:rPr>
      </w:pPr>
      <w:r>
        <w:rPr>
          <w:rFonts w:hint="eastAsia" w:ascii="仿宋_GB2312"/>
          <w:szCs w:val="32"/>
        </w:rPr>
        <w:t>本项目在</w:t>
      </w:r>
      <w:r>
        <w:rPr>
          <w:rFonts w:hint="eastAsia" w:ascii="仿宋_GB2312"/>
          <w:szCs w:val="32"/>
          <w:lang w:val="en-US" w:eastAsia="zh-CN"/>
        </w:rPr>
        <w:t>2024年</w:t>
      </w:r>
      <w:r>
        <w:rPr>
          <w:rFonts w:hint="eastAsia" w:ascii="仿宋_GB2312"/>
          <w:szCs w:val="32"/>
        </w:rPr>
        <w:t>截止1</w:t>
      </w:r>
      <w:r>
        <w:rPr>
          <w:rFonts w:hint="eastAsia" w:ascii="仿宋_GB2312"/>
          <w:szCs w:val="32"/>
          <w:lang w:val="en-US" w:eastAsia="zh-CN"/>
        </w:rPr>
        <w:t>2</w:t>
      </w:r>
      <w:r>
        <w:rPr>
          <w:rFonts w:hint="eastAsia" w:ascii="仿宋_GB2312"/>
          <w:szCs w:val="32"/>
        </w:rPr>
        <w:t>月底，工</w:t>
      </w:r>
      <w:r>
        <w:rPr>
          <w:rFonts w:hint="eastAsia" w:ascii="仿宋_GB2312"/>
          <w:color w:val="000000" w:themeColor="text1"/>
          <w:szCs w:val="32"/>
          <w14:textFill>
            <w14:solidFill>
              <w14:schemeClr w14:val="tx1"/>
            </w14:solidFill>
          </w14:textFill>
        </w:rPr>
        <w:t>程实际</w:t>
      </w:r>
      <w:r>
        <w:rPr>
          <w:rFonts w:hint="eastAsia" w:ascii="仿宋_GB2312"/>
          <w:szCs w:val="32"/>
        </w:rPr>
        <w:t>完成于田县阿热勒乡进行土地平整278亩，换填土方72002</w:t>
      </w:r>
      <w:r>
        <w:rPr>
          <w:rFonts w:hint="eastAsia" w:ascii="仿宋_GB2312"/>
          <w:szCs w:val="32"/>
          <w:lang w:eastAsia="zh-CN"/>
        </w:rPr>
        <w:t>立方米。</w:t>
      </w:r>
      <w:r>
        <w:rPr>
          <w:rFonts w:hint="eastAsia" w:ascii="仿宋_GB2312"/>
          <w:szCs w:val="32"/>
        </w:rPr>
        <w:t>该工程已完成竣工验收，资产</w:t>
      </w:r>
      <w:r>
        <w:rPr>
          <w:rFonts w:hint="eastAsia" w:ascii="仿宋_GB2312"/>
          <w:szCs w:val="32"/>
          <w:lang w:val="en-US" w:eastAsia="zh-CN"/>
        </w:rPr>
        <w:t>由于田县阿热勒乡人民政府</w:t>
      </w:r>
      <w:r>
        <w:rPr>
          <w:rFonts w:hint="eastAsia" w:ascii="仿宋_GB2312"/>
          <w:szCs w:val="32"/>
        </w:rPr>
        <w:t>负责运行，维护。本项目共设置一级指标3个，二级指标</w:t>
      </w:r>
      <w:r>
        <w:rPr>
          <w:rFonts w:hint="eastAsia" w:ascii="仿宋_GB2312"/>
          <w:szCs w:val="32"/>
          <w:lang w:val="en-US" w:eastAsia="zh-CN"/>
        </w:rPr>
        <w:t>6</w:t>
      </w:r>
      <w:r>
        <w:rPr>
          <w:rFonts w:hint="eastAsia" w:ascii="仿宋_GB2312"/>
          <w:szCs w:val="32"/>
        </w:rPr>
        <w:t>个，三级指标</w:t>
      </w:r>
      <w:r>
        <w:rPr>
          <w:rFonts w:hint="eastAsia" w:ascii="仿宋_GB2312"/>
          <w:szCs w:val="32"/>
          <w:lang w:val="en-US" w:eastAsia="zh-CN"/>
        </w:rPr>
        <w:t>11</w:t>
      </w:r>
      <w:r>
        <w:rPr>
          <w:rFonts w:hint="eastAsia" w:ascii="仿宋_GB2312"/>
          <w:szCs w:val="32"/>
        </w:rPr>
        <w:t>个，其中已完成三级指标</w:t>
      </w:r>
      <w:r>
        <w:rPr>
          <w:rFonts w:hint="eastAsia" w:ascii="仿宋_GB2312"/>
          <w:szCs w:val="32"/>
          <w:lang w:val="en-US" w:eastAsia="zh-CN"/>
        </w:rPr>
        <w:t>9</w:t>
      </w:r>
      <w:r>
        <w:rPr>
          <w:rFonts w:hint="eastAsia" w:ascii="仿宋_GB2312"/>
          <w:szCs w:val="32"/>
        </w:rPr>
        <w:t>个，指标完成率为</w:t>
      </w:r>
      <w:bookmarkStart w:id="0" w:name="_GoBack"/>
      <w:bookmarkEnd w:id="0"/>
      <w:r>
        <w:rPr>
          <w:rFonts w:hint="eastAsia" w:ascii="仿宋_GB2312"/>
          <w:szCs w:val="32"/>
          <w:lang w:val="en-US" w:eastAsia="zh-CN"/>
        </w:rPr>
        <w:t>81.82</w:t>
      </w:r>
      <w:r>
        <w:rPr>
          <w:rFonts w:hint="eastAsia" w:ascii="仿宋_GB2312"/>
          <w:szCs w:val="32"/>
        </w:rPr>
        <w:t>%，指标完成情况分析如下：</w:t>
      </w:r>
    </w:p>
    <w:p w14:paraId="6F2AACC9">
      <w:pPr>
        <w:pStyle w:val="53"/>
        <w:spacing w:line="580" w:lineRule="exact"/>
        <w:ind w:left="0" w:leftChars="0" w:right="0" w:rightChars="0" w:firstLine="562"/>
        <w:rPr>
          <w:b/>
        </w:rPr>
      </w:pPr>
      <w:r>
        <w:rPr>
          <w:rFonts w:hint="eastAsia"/>
          <w:b/>
        </w:rPr>
        <w:t>1.产出指标完成情况分析</w:t>
      </w:r>
    </w:p>
    <w:p w14:paraId="131E2865">
      <w:pPr>
        <w:pStyle w:val="53"/>
        <w:spacing w:line="580" w:lineRule="exact"/>
        <w:ind w:left="0" w:leftChars="0" w:right="0" w:rightChars="0" w:firstLine="560"/>
        <w:rPr>
          <w:rFonts w:ascii="仿宋_GB2312"/>
        </w:rPr>
      </w:pPr>
      <w:r>
        <w:rPr>
          <w:rFonts w:hint="eastAsia" w:ascii="仿宋_GB2312"/>
        </w:rPr>
        <w:t>1.1项目完成数量</w:t>
      </w:r>
    </w:p>
    <w:p w14:paraId="110E896E">
      <w:pPr>
        <w:pStyle w:val="53"/>
        <w:spacing w:line="560" w:lineRule="exact"/>
        <w:ind w:left="0" w:leftChars="0" w:right="0" w:rightChars="0" w:firstLine="560"/>
        <w:rPr>
          <w:rFonts w:hint="eastAsia"/>
        </w:rPr>
      </w:pPr>
      <w:r>
        <w:rPr>
          <w:rFonts w:hint="eastAsia"/>
        </w:rPr>
        <w:t>“</w:t>
      </w:r>
      <w:r>
        <w:rPr>
          <w:rFonts w:hint="eastAsia"/>
          <w:lang w:eastAsia="zh-CN"/>
        </w:rPr>
        <w:t>平整土地亩数</w:t>
      </w:r>
      <w:r>
        <w:rPr>
          <w:rFonts w:hint="eastAsia"/>
        </w:rPr>
        <w:t>”指标，预期指标值为</w:t>
      </w:r>
      <w:r>
        <w:rPr>
          <w:rFonts w:hint="eastAsia"/>
          <w:lang w:eastAsia="zh-CN"/>
        </w:rPr>
        <w:t>大于等于</w:t>
      </w:r>
      <w:r>
        <w:rPr>
          <w:rFonts w:hint="eastAsia"/>
          <w:lang w:val="en-US" w:eastAsia="zh-CN"/>
        </w:rPr>
        <w:t>278亩</w:t>
      </w:r>
      <w:r>
        <w:rPr>
          <w:rFonts w:hint="eastAsia"/>
        </w:rPr>
        <w:t>,全年实际值为</w:t>
      </w:r>
      <w:r>
        <w:rPr>
          <w:rFonts w:hint="eastAsia"/>
          <w:lang w:val="en-US" w:eastAsia="zh-CN"/>
        </w:rPr>
        <w:t>278亩</w:t>
      </w:r>
      <w:r>
        <w:rPr>
          <w:rFonts w:hint="eastAsia"/>
        </w:rPr>
        <w:t>，指标完成率为100.00%。所设分值</w:t>
      </w:r>
      <w:r>
        <w:rPr>
          <w:rFonts w:hint="eastAsia"/>
          <w:lang w:val="en-US" w:eastAsia="zh-CN"/>
        </w:rPr>
        <w:t>6</w:t>
      </w:r>
      <w:r>
        <w:rPr>
          <w:rFonts w:hint="eastAsia"/>
        </w:rPr>
        <w:t>分，实际得分</w:t>
      </w:r>
      <w:r>
        <w:rPr>
          <w:rFonts w:hint="eastAsia"/>
          <w:lang w:val="en-US" w:eastAsia="zh-CN"/>
        </w:rPr>
        <w:t>6</w:t>
      </w:r>
      <w:r>
        <w:rPr>
          <w:rFonts w:hint="eastAsia"/>
        </w:rPr>
        <w:t>分。</w:t>
      </w:r>
    </w:p>
    <w:p w14:paraId="44B3F4D9">
      <w:pPr>
        <w:pStyle w:val="53"/>
        <w:spacing w:line="560" w:lineRule="exact"/>
        <w:ind w:left="0" w:leftChars="0" w:right="0" w:rightChars="0" w:firstLine="560"/>
        <w:rPr>
          <w:rFonts w:hint="eastAsia"/>
          <w:lang w:eastAsia="zh-CN"/>
        </w:rPr>
      </w:pPr>
      <w:r>
        <w:rPr>
          <w:rFonts w:hint="eastAsia"/>
        </w:rPr>
        <w:t>“</w:t>
      </w:r>
      <w:r>
        <w:rPr>
          <w:rFonts w:hint="eastAsia"/>
          <w:lang w:val="en-US" w:eastAsia="zh-CN"/>
        </w:rPr>
        <w:t>换填土方体积</w:t>
      </w:r>
      <w:r>
        <w:rPr>
          <w:rFonts w:hint="eastAsia"/>
        </w:rPr>
        <w:t>”指标，预期指标值为</w:t>
      </w:r>
      <w:r>
        <w:rPr>
          <w:rFonts w:hint="eastAsia"/>
          <w:lang w:eastAsia="zh-CN"/>
        </w:rPr>
        <w:t>大于等于</w:t>
      </w:r>
      <w:r>
        <w:rPr>
          <w:rFonts w:hint="eastAsia"/>
          <w:lang w:val="en-US" w:eastAsia="zh-CN"/>
        </w:rPr>
        <w:t>72002立方米，</w:t>
      </w:r>
      <w:r>
        <w:rPr>
          <w:rFonts w:hint="eastAsia"/>
        </w:rPr>
        <w:t>全年实际值为</w:t>
      </w:r>
      <w:r>
        <w:rPr>
          <w:rFonts w:hint="eastAsia"/>
          <w:lang w:val="en-US" w:eastAsia="zh-CN"/>
        </w:rPr>
        <w:t>72002立方米</w:t>
      </w:r>
      <w:r>
        <w:rPr>
          <w:rFonts w:hint="eastAsia"/>
        </w:rPr>
        <w:t>，指标完成率为100.00%。所设分值</w:t>
      </w:r>
      <w:r>
        <w:rPr>
          <w:rFonts w:hint="eastAsia"/>
          <w:lang w:val="en-US" w:eastAsia="zh-CN"/>
        </w:rPr>
        <w:t>6</w:t>
      </w:r>
      <w:r>
        <w:rPr>
          <w:rFonts w:hint="eastAsia"/>
        </w:rPr>
        <w:t>分，实际得分</w:t>
      </w:r>
      <w:r>
        <w:rPr>
          <w:rFonts w:hint="eastAsia"/>
          <w:lang w:val="en-US" w:eastAsia="zh-CN"/>
        </w:rPr>
        <w:t>6</w:t>
      </w:r>
      <w:r>
        <w:rPr>
          <w:rFonts w:hint="eastAsia"/>
        </w:rPr>
        <w:t>分。</w:t>
      </w:r>
    </w:p>
    <w:p w14:paraId="669C24D3">
      <w:pPr>
        <w:pStyle w:val="53"/>
        <w:spacing w:line="560" w:lineRule="exact"/>
        <w:ind w:left="0" w:leftChars="0" w:right="0" w:rightChars="0" w:firstLine="560"/>
      </w:pPr>
      <w:r>
        <w:rPr>
          <w:rFonts w:ascii="仿宋_GB2312"/>
        </w:rPr>
        <w:t>1.2项目完成质量</w:t>
      </w:r>
    </w:p>
    <w:p w14:paraId="04F407A0">
      <w:pPr>
        <w:pStyle w:val="53"/>
        <w:spacing w:line="560" w:lineRule="exact"/>
        <w:ind w:left="0" w:leftChars="0" w:right="0" w:rightChars="0" w:firstLine="560"/>
      </w:pPr>
      <w:r>
        <w:rPr>
          <w:rFonts w:hint="eastAsia"/>
        </w:rPr>
        <w:t>“项目验收合格率”指标，预期指标值为</w:t>
      </w:r>
      <w:r>
        <w:rPr>
          <w:rFonts w:hint="eastAsia"/>
          <w:lang w:eastAsia="zh-CN"/>
        </w:rPr>
        <w:t>等于</w:t>
      </w:r>
      <w:r>
        <w:rPr>
          <w:rFonts w:hint="eastAsia"/>
        </w:rPr>
        <w:t>100.00%,全年实际值为100.00%，指标完成率为100.00%。所设分值</w:t>
      </w:r>
      <w:r>
        <w:rPr>
          <w:rFonts w:hint="eastAsia"/>
          <w:lang w:val="en-US" w:eastAsia="zh-CN"/>
        </w:rPr>
        <w:t>6</w:t>
      </w:r>
      <w:r>
        <w:rPr>
          <w:rFonts w:hint="eastAsia"/>
        </w:rPr>
        <w:t>分，实际得分</w:t>
      </w:r>
      <w:r>
        <w:rPr>
          <w:rFonts w:hint="eastAsia"/>
          <w:lang w:val="en-US" w:eastAsia="zh-CN"/>
        </w:rPr>
        <w:t>6</w:t>
      </w:r>
      <w:r>
        <w:rPr>
          <w:rFonts w:hint="eastAsia"/>
        </w:rPr>
        <w:t>分。</w:t>
      </w:r>
    </w:p>
    <w:p w14:paraId="77A2F082">
      <w:pPr>
        <w:pStyle w:val="53"/>
        <w:spacing w:line="560" w:lineRule="exact"/>
        <w:ind w:left="0" w:leftChars="0" w:right="0" w:rightChars="0" w:firstLine="560"/>
      </w:pPr>
      <w:r>
        <w:rPr>
          <w:rFonts w:hint="eastAsia"/>
        </w:rPr>
        <w:t>“</w:t>
      </w:r>
      <w:r>
        <w:rPr>
          <w:rFonts w:hint="eastAsia"/>
          <w:lang w:val="en-US" w:eastAsia="zh-CN"/>
        </w:rPr>
        <w:t>资金支付</w:t>
      </w:r>
      <w:r>
        <w:rPr>
          <w:rFonts w:hint="eastAsia"/>
        </w:rPr>
        <w:t>合</w:t>
      </w:r>
      <w:r>
        <w:rPr>
          <w:rFonts w:hint="eastAsia"/>
          <w:lang w:val="en-US" w:eastAsia="zh-CN"/>
        </w:rPr>
        <w:t>规</w:t>
      </w:r>
      <w:r>
        <w:rPr>
          <w:rFonts w:hint="eastAsia"/>
        </w:rPr>
        <w:t>率”指标，预期指标值为</w:t>
      </w:r>
      <w:r>
        <w:rPr>
          <w:rFonts w:hint="eastAsia"/>
          <w:lang w:eastAsia="zh-CN"/>
        </w:rPr>
        <w:t>等于</w:t>
      </w:r>
      <w:r>
        <w:rPr>
          <w:rFonts w:hint="eastAsia"/>
        </w:rPr>
        <w:t>100.00%,全年实际值为100.00%，指标完成率为100.00%。所设分值</w:t>
      </w:r>
      <w:r>
        <w:rPr>
          <w:rFonts w:hint="eastAsia"/>
          <w:lang w:val="en-US" w:eastAsia="zh-CN"/>
        </w:rPr>
        <w:t>5</w:t>
      </w:r>
      <w:r>
        <w:rPr>
          <w:rFonts w:hint="eastAsia"/>
        </w:rPr>
        <w:t>分，实际得分</w:t>
      </w:r>
      <w:r>
        <w:rPr>
          <w:rFonts w:hint="eastAsia"/>
          <w:lang w:val="en-US" w:eastAsia="zh-CN"/>
        </w:rPr>
        <w:t>5</w:t>
      </w:r>
      <w:r>
        <w:rPr>
          <w:rFonts w:hint="eastAsia"/>
        </w:rPr>
        <w:t>分。</w:t>
      </w:r>
    </w:p>
    <w:p w14:paraId="6E58A8C0">
      <w:pPr>
        <w:pStyle w:val="53"/>
        <w:spacing w:line="560" w:lineRule="exact"/>
        <w:ind w:left="0" w:leftChars="0" w:right="0" w:rightChars="0" w:firstLine="560"/>
      </w:pPr>
      <w:r>
        <w:t>1.3项目完成时效</w:t>
      </w:r>
    </w:p>
    <w:p w14:paraId="73E19345">
      <w:pPr>
        <w:pStyle w:val="53"/>
        <w:spacing w:line="560" w:lineRule="exact"/>
        <w:ind w:left="0" w:leftChars="0" w:right="0" w:rightChars="0" w:firstLine="560"/>
        <w:rPr>
          <w:rFonts w:hint="eastAsia" w:eastAsia="仿宋_GB2312"/>
          <w:lang w:val="en-US" w:eastAsia="zh-CN"/>
        </w:rPr>
      </w:pPr>
      <w:r>
        <w:rPr>
          <w:rFonts w:hint="eastAsia"/>
        </w:rPr>
        <w:t>“</w:t>
      </w:r>
      <w:r>
        <w:rPr>
          <w:rFonts w:hint="eastAsia"/>
          <w:lang w:val="en-US" w:eastAsia="zh-CN"/>
        </w:rPr>
        <w:t>资金支付及时率</w:t>
      </w:r>
      <w:r>
        <w:rPr>
          <w:rFonts w:hint="eastAsia"/>
        </w:rPr>
        <w:t>”</w:t>
      </w:r>
      <w:r>
        <w:rPr>
          <w:rFonts w:hint="eastAsia"/>
          <w:lang w:val="en-US" w:eastAsia="zh-CN"/>
        </w:rPr>
        <w:t>指标，</w:t>
      </w:r>
      <w:r>
        <w:rPr>
          <w:rFonts w:hint="eastAsia"/>
        </w:rPr>
        <w:t>预期指标值为</w:t>
      </w:r>
      <w:r>
        <w:rPr>
          <w:rFonts w:hint="eastAsia"/>
          <w:lang w:eastAsia="zh-CN"/>
        </w:rPr>
        <w:t>等于</w:t>
      </w:r>
      <w:r>
        <w:rPr>
          <w:rFonts w:hint="eastAsia"/>
        </w:rPr>
        <w:t>100.00%,全年实际值为100.00%，指标完成率为100.00%。所设分值</w:t>
      </w:r>
      <w:r>
        <w:rPr>
          <w:rFonts w:hint="eastAsia"/>
          <w:lang w:val="en-US" w:eastAsia="zh-CN"/>
        </w:rPr>
        <w:t>5</w:t>
      </w:r>
      <w:r>
        <w:rPr>
          <w:rFonts w:hint="eastAsia"/>
        </w:rPr>
        <w:t>分，实际得分</w:t>
      </w:r>
      <w:r>
        <w:rPr>
          <w:rFonts w:hint="eastAsia"/>
          <w:lang w:val="en-US" w:eastAsia="zh-CN"/>
        </w:rPr>
        <w:t>5</w:t>
      </w:r>
      <w:r>
        <w:rPr>
          <w:rFonts w:hint="eastAsia"/>
        </w:rPr>
        <w:t>分。</w:t>
      </w:r>
    </w:p>
    <w:p w14:paraId="6C06E7FD">
      <w:pPr>
        <w:pStyle w:val="53"/>
        <w:spacing w:line="560" w:lineRule="exact"/>
        <w:ind w:left="0" w:leftChars="0" w:right="0" w:rightChars="0" w:firstLine="560"/>
        <w:rPr>
          <w:rFonts w:hint="eastAsia"/>
        </w:rPr>
      </w:pPr>
      <w:r>
        <w:rPr>
          <w:rFonts w:hint="eastAsia"/>
        </w:rPr>
        <w:t>“项目开工时间”指标，预期指标值为</w:t>
      </w:r>
      <w:r>
        <w:rPr>
          <w:rFonts w:hint="eastAsia"/>
          <w:lang w:val="en-US" w:eastAsia="zh-CN"/>
        </w:rPr>
        <w:t>2024年7月</w:t>
      </w:r>
      <w:r>
        <w:rPr>
          <w:rFonts w:hint="eastAsia"/>
        </w:rPr>
        <w:t>,全年实际值为</w:t>
      </w:r>
      <w:r>
        <w:rPr>
          <w:rFonts w:hint="eastAsia"/>
          <w:lang w:val="en-US" w:eastAsia="zh-CN"/>
        </w:rPr>
        <w:t>2024年7月</w:t>
      </w:r>
      <w:r>
        <w:rPr>
          <w:rFonts w:hint="eastAsia"/>
        </w:rPr>
        <w:t>，指标完成率为100.00%。所设分值5分，实际得分5分。</w:t>
      </w:r>
    </w:p>
    <w:p w14:paraId="51C0BD40">
      <w:pPr>
        <w:pStyle w:val="53"/>
        <w:spacing w:line="560" w:lineRule="exact"/>
        <w:ind w:left="0" w:leftChars="0" w:right="0" w:rightChars="0" w:firstLine="560"/>
        <w:rPr>
          <w:rFonts w:hint="eastAsia"/>
        </w:rPr>
      </w:pPr>
      <w:r>
        <w:rPr>
          <w:rFonts w:hint="eastAsia"/>
        </w:rPr>
        <w:t>“项目完工时间”指标，预期指标值为</w:t>
      </w:r>
      <w:r>
        <w:rPr>
          <w:rFonts w:hint="eastAsia"/>
          <w:lang w:val="en-US" w:eastAsia="zh-CN"/>
        </w:rPr>
        <w:t>2024年9</w:t>
      </w:r>
      <w:r>
        <w:rPr>
          <w:rFonts w:hint="eastAsia"/>
        </w:rPr>
        <w:t>月,全年实际值为</w:t>
      </w:r>
      <w:r>
        <w:rPr>
          <w:rFonts w:hint="eastAsia"/>
          <w:lang w:val="en-US" w:eastAsia="zh-CN"/>
        </w:rPr>
        <w:t>2024年9</w:t>
      </w:r>
      <w:r>
        <w:rPr>
          <w:rFonts w:hint="eastAsia"/>
        </w:rPr>
        <w:t xml:space="preserve">月，指标完成率为100.00%。所设分值5分，实际得分5分。        </w:t>
      </w:r>
    </w:p>
    <w:p w14:paraId="2D7CFEC9">
      <w:pPr>
        <w:pStyle w:val="53"/>
        <w:spacing w:line="560" w:lineRule="exact"/>
        <w:ind w:left="0" w:leftChars="0" w:right="0" w:rightChars="0" w:firstLine="560"/>
        <w:rPr>
          <w:rFonts w:hint="eastAsia"/>
        </w:rPr>
      </w:pPr>
      <w:r>
        <w:rPr>
          <w:rFonts w:hint="eastAsia"/>
        </w:rPr>
        <w:t>1.4项目成本节约情况</w:t>
      </w:r>
    </w:p>
    <w:p w14:paraId="51A503D3">
      <w:pPr>
        <w:pStyle w:val="53"/>
        <w:spacing w:line="560" w:lineRule="exact"/>
        <w:ind w:left="0" w:leftChars="0" w:right="0" w:rightChars="0" w:firstLine="560"/>
        <w:rPr>
          <w:rFonts w:hint="eastAsia"/>
        </w:rPr>
      </w:pPr>
      <w:r>
        <w:rPr>
          <w:rFonts w:hint="eastAsia"/>
        </w:rPr>
        <w:t>为有效控制项目实施成本，我单位在实施项目前就该项目设定了成本控制指标，实施过程中我单位通过公开招标的方式有效降低了项目执行成本，具体指标设置及完成情况如下：</w:t>
      </w:r>
    </w:p>
    <w:p w14:paraId="0CF7C609">
      <w:pPr>
        <w:pStyle w:val="34"/>
        <w:keepNext w:val="0"/>
        <w:keepLines w:val="0"/>
        <w:pageBreakBefore w:val="0"/>
        <w:widowControl w:val="0"/>
        <w:kinsoku/>
        <w:wordWrap/>
        <w:overflowPunct/>
        <w:topLinePunct w:val="0"/>
        <w:autoSpaceDE/>
        <w:autoSpaceDN/>
        <w:bidi w:val="0"/>
        <w:adjustRightInd/>
        <w:snapToGrid w:val="0"/>
        <w:textAlignment w:val="auto"/>
        <w:rPr>
          <w:rFonts w:hint="eastAsia"/>
        </w:rPr>
      </w:pPr>
      <w:r>
        <w:rPr>
          <w:rFonts w:hint="eastAsia"/>
        </w:rPr>
        <w:t>“工程</w:t>
      </w:r>
      <w:r>
        <w:rPr>
          <w:rFonts w:hint="eastAsia"/>
          <w:lang w:val="en-US" w:eastAsia="zh-CN"/>
        </w:rPr>
        <w:t>费用</w:t>
      </w:r>
      <w:r>
        <w:rPr>
          <w:rFonts w:hint="eastAsia"/>
        </w:rPr>
        <w:t>”指标，预期指标值为</w:t>
      </w:r>
      <w:r>
        <w:rPr>
          <w:rFonts w:hint="eastAsia"/>
          <w:lang w:eastAsia="zh-CN"/>
        </w:rPr>
        <w:t>小于等于</w:t>
      </w:r>
      <w:r>
        <w:rPr>
          <w:rFonts w:hint="eastAsia"/>
          <w:lang w:val="en-US" w:eastAsia="zh-CN"/>
        </w:rPr>
        <w:t>52.93万</w:t>
      </w:r>
      <w:r>
        <w:rPr>
          <w:rFonts w:hint="eastAsia"/>
        </w:rPr>
        <w:t>元, 全年实际值为</w:t>
      </w:r>
      <w:r>
        <w:rPr>
          <w:rFonts w:hint="eastAsia"/>
          <w:lang w:val="en-US" w:eastAsia="zh-CN"/>
        </w:rPr>
        <w:t>54.06</w:t>
      </w:r>
      <w:r>
        <w:rPr>
          <w:rFonts w:hint="eastAsia"/>
        </w:rPr>
        <w:t>万元，指标完成率为</w:t>
      </w:r>
      <w:r>
        <w:rPr>
          <w:rFonts w:hint="eastAsia"/>
          <w:lang w:val="en-US" w:eastAsia="zh-CN"/>
        </w:rPr>
        <w:t>99</w:t>
      </w:r>
      <w:r>
        <w:rPr>
          <w:rFonts w:hint="eastAsia"/>
        </w:rPr>
        <w:t>%。所设分值</w:t>
      </w:r>
      <w:r>
        <w:rPr>
          <w:rFonts w:hint="eastAsia"/>
          <w:lang w:val="en-US" w:eastAsia="zh-CN"/>
        </w:rPr>
        <w:t>6</w:t>
      </w:r>
      <w:r>
        <w:rPr>
          <w:rFonts w:hint="eastAsia"/>
        </w:rPr>
        <w:t>分，实际得分</w:t>
      </w:r>
      <w:r>
        <w:rPr>
          <w:rFonts w:hint="eastAsia"/>
          <w:lang w:val="en-US" w:eastAsia="zh-CN"/>
        </w:rPr>
        <w:t>5.94</w:t>
      </w:r>
      <w:r>
        <w:rPr>
          <w:rFonts w:hint="eastAsia"/>
        </w:rPr>
        <w:t>分。</w:t>
      </w:r>
    </w:p>
    <w:p w14:paraId="686ED023">
      <w:pPr>
        <w:pStyle w:val="34"/>
        <w:rPr>
          <w:rFonts w:hint="eastAsia"/>
        </w:rPr>
      </w:pPr>
      <w:r>
        <w:rPr>
          <w:rFonts w:hint="eastAsia"/>
        </w:rPr>
        <w:t>偏差原因：项目已完工，根据财务决算审定总投资为55.06万元，剩余资金财政收回。</w:t>
      </w:r>
    </w:p>
    <w:p w14:paraId="5165F9D9">
      <w:pPr>
        <w:pStyle w:val="34"/>
        <w:rPr>
          <w:rFonts w:hint="eastAsia"/>
        </w:rPr>
      </w:pPr>
      <w:r>
        <w:rPr>
          <w:rFonts w:hint="eastAsia"/>
        </w:rPr>
        <w:t>改进措施：加强项目前期管理，合理编制工程费用。</w:t>
      </w:r>
    </w:p>
    <w:p w14:paraId="49BC09D6">
      <w:pPr>
        <w:pStyle w:val="34"/>
        <w:rPr>
          <w:rFonts w:hint="eastAsia"/>
        </w:rPr>
      </w:pPr>
      <w:r>
        <w:rPr>
          <w:rFonts w:hint="eastAsia"/>
        </w:rPr>
        <w:t>“</w:t>
      </w:r>
      <w:r>
        <w:rPr>
          <w:rFonts w:hint="eastAsia"/>
          <w:lang w:val="en-US" w:eastAsia="zh-CN"/>
        </w:rPr>
        <w:t>工程建设其他费用</w:t>
      </w:r>
      <w:r>
        <w:rPr>
          <w:rFonts w:hint="eastAsia"/>
        </w:rPr>
        <w:t>”指标，预期指标值为</w:t>
      </w:r>
      <w:r>
        <w:rPr>
          <w:rFonts w:hint="eastAsia"/>
          <w:lang w:eastAsia="zh-CN"/>
        </w:rPr>
        <w:t>小于等于</w:t>
      </w:r>
      <w:r>
        <w:rPr>
          <w:rFonts w:hint="eastAsia"/>
          <w:lang w:val="en-US" w:eastAsia="zh-CN"/>
        </w:rPr>
        <w:t>2.668</w:t>
      </w:r>
      <w:r>
        <w:rPr>
          <w:rFonts w:hint="eastAsia"/>
        </w:rPr>
        <w:t>万元, 全年实际值为</w:t>
      </w:r>
      <w:r>
        <w:rPr>
          <w:rFonts w:hint="eastAsia"/>
          <w:lang w:val="en-US" w:eastAsia="zh-CN"/>
        </w:rPr>
        <w:t>1</w:t>
      </w:r>
      <w:r>
        <w:rPr>
          <w:rFonts w:hint="eastAsia"/>
        </w:rPr>
        <w:t>万元，指标完成率为</w:t>
      </w:r>
      <w:r>
        <w:rPr>
          <w:rFonts w:hint="eastAsia"/>
          <w:lang w:val="en-US" w:eastAsia="zh-CN"/>
        </w:rPr>
        <w:t>37.48</w:t>
      </w:r>
      <w:r>
        <w:rPr>
          <w:rFonts w:hint="eastAsia"/>
        </w:rPr>
        <w:t>%；所设分值</w:t>
      </w:r>
      <w:r>
        <w:rPr>
          <w:rFonts w:hint="eastAsia"/>
          <w:lang w:val="en-US" w:eastAsia="zh-CN"/>
        </w:rPr>
        <w:t>6</w:t>
      </w:r>
      <w:r>
        <w:rPr>
          <w:rFonts w:hint="eastAsia"/>
        </w:rPr>
        <w:t>分，实际得分</w:t>
      </w:r>
      <w:r>
        <w:rPr>
          <w:rFonts w:hint="eastAsia"/>
          <w:lang w:val="en-US" w:eastAsia="zh-CN"/>
        </w:rPr>
        <w:t>2.25</w:t>
      </w:r>
      <w:r>
        <w:rPr>
          <w:rFonts w:hint="eastAsia"/>
        </w:rPr>
        <w:t>分。</w:t>
      </w:r>
    </w:p>
    <w:p w14:paraId="4218B4B5">
      <w:pPr>
        <w:pStyle w:val="34"/>
        <w:rPr>
          <w:rFonts w:hint="eastAsia"/>
        </w:rPr>
      </w:pPr>
      <w:r>
        <w:rPr>
          <w:rFonts w:hint="eastAsia"/>
          <w:lang w:val="en-US" w:eastAsia="zh-CN"/>
        </w:rPr>
        <w:t xml:space="preserve"> </w:t>
      </w:r>
      <w:r>
        <w:rPr>
          <w:rFonts w:hint="eastAsia"/>
        </w:rPr>
        <w:t>偏差原因：项目已完工，根据财务决算审定总投资为55.06万元，剩余资金财政收回。</w:t>
      </w:r>
    </w:p>
    <w:p w14:paraId="0619B434">
      <w:pPr>
        <w:pStyle w:val="34"/>
        <w:rPr>
          <w:rFonts w:hint="eastAsia" w:eastAsia="仿宋_GB2312"/>
          <w:lang w:val="en-US" w:eastAsia="zh-CN"/>
        </w:rPr>
      </w:pPr>
      <w:r>
        <w:rPr>
          <w:rFonts w:hint="eastAsia"/>
        </w:rPr>
        <w:t>改进措施：加强项目前期管理，合理编制工程费用</w:t>
      </w:r>
      <w:r>
        <w:rPr>
          <w:rFonts w:hint="eastAsia"/>
          <w:lang w:eastAsia="zh-CN"/>
        </w:rPr>
        <w:t>。</w:t>
      </w:r>
    </w:p>
    <w:p w14:paraId="73637491">
      <w:pPr>
        <w:pStyle w:val="34"/>
        <w:rPr>
          <w:b/>
          <w:bCs w:val="0"/>
        </w:rPr>
      </w:pPr>
      <w:r>
        <w:rPr>
          <w:rFonts w:hint="eastAsia"/>
          <w:b/>
          <w:bCs w:val="0"/>
        </w:rPr>
        <w:t>2.效益指标完成情况分析</w:t>
      </w:r>
    </w:p>
    <w:p w14:paraId="0ADE8159">
      <w:pPr>
        <w:pStyle w:val="53"/>
        <w:spacing w:line="560" w:lineRule="exact"/>
        <w:ind w:left="0" w:leftChars="0" w:right="0" w:rightChars="0" w:firstLine="560"/>
      </w:pPr>
      <w:r>
        <w:t>2.1项目实施的</w:t>
      </w:r>
      <w:r>
        <w:rPr>
          <w:rFonts w:hint="eastAsia"/>
          <w:lang w:val="en-US" w:eastAsia="zh-CN"/>
        </w:rPr>
        <w:t>社会</w:t>
      </w:r>
      <w:r>
        <w:t>效益分析</w:t>
      </w:r>
    </w:p>
    <w:p w14:paraId="5F7296B5">
      <w:pPr>
        <w:pStyle w:val="53"/>
        <w:spacing w:line="560" w:lineRule="exact"/>
        <w:ind w:left="0" w:leftChars="0" w:right="0" w:rightChars="0" w:firstLine="560"/>
      </w:pPr>
      <w:r>
        <w:rPr>
          <w:rFonts w:hint="eastAsia"/>
        </w:rPr>
        <w:t>“</w:t>
      </w:r>
      <w:r>
        <w:rPr>
          <w:rFonts w:hint="eastAsia"/>
          <w:lang w:val="en-US" w:eastAsia="zh-CN"/>
        </w:rPr>
        <w:t>有效整合零散地块</w:t>
      </w:r>
      <w:r>
        <w:rPr>
          <w:rFonts w:hint="eastAsia"/>
        </w:rPr>
        <w:t>”指标，指标预期值为</w:t>
      </w:r>
      <w:r>
        <w:rPr>
          <w:rFonts w:hint="eastAsia"/>
          <w:lang w:val="en-US" w:eastAsia="zh-CN"/>
        </w:rPr>
        <w:t>效果显著</w:t>
      </w:r>
      <w:r>
        <w:rPr>
          <w:rFonts w:hint="eastAsia"/>
        </w:rPr>
        <w:t>，实际完成值为</w:t>
      </w:r>
      <w:r>
        <w:rPr>
          <w:rFonts w:hint="eastAsia"/>
          <w:lang w:val="en-US" w:eastAsia="zh-CN"/>
        </w:rPr>
        <w:t>效果显著</w:t>
      </w:r>
      <w:r>
        <w:rPr>
          <w:rFonts w:hint="eastAsia"/>
        </w:rPr>
        <w:t>，指标完成率为100.00%。所设分值</w:t>
      </w:r>
      <w:r>
        <w:rPr>
          <w:rFonts w:hint="eastAsia"/>
          <w:lang w:val="en-US" w:eastAsia="zh-CN"/>
        </w:rPr>
        <w:t>30</w:t>
      </w:r>
      <w:r>
        <w:rPr>
          <w:rFonts w:hint="eastAsia"/>
        </w:rPr>
        <w:t>分，实际得分</w:t>
      </w:r>
      <w:r>
        <w:rPr>
          <w:rFonts w:hint="eastAsia"/>
          <w:lang w:val="en-US" w:eastAsia="zh-CN"/>
        </w:rPr>
        <w:t>30</w:t>
      </w:r>
      <w:r>
        <w:rPr>
          <w:rFonts w:hint="eastAsia"/>
        </w:rPr>
        <w:t>分。</w:t>
      </w:r>
    </w:p>
    <w:p w14:paraId="63094898">
      <w:pPr>
        <w:pStyle w:val="34"/>
      </w:pPr>
      <w:r>
        <w:rPr>
          <w:rFonts w:hint="eastAsia"/>
        </w:rPr>
        <w:t>3.满意度指标完成情况分析</w:t>
      </w:r>
    </w:p>
    <w:p w14:paraId="72CCE668">
      <w:pPr>
        <w:spacing w:line="560" w:lineRule="exact"/>
        <w:ind w:firstLine="544" w:firstLineChars="200"/>
        <w:rPr>
          <w:rFonts w:ascii="仿宋_GB2312" w:hAnsi="Times New Roman" w:eastAsia="仿宋_GB2312" w:cs="Times New Roman"/>
          <w:bCs/>
          <w:spacing w:val="-4"/>
          <w:sz w:val="28"/>
          <w:szCs w:val="28"/>
        </w:rPr>
      </w:pPr>
      <w:r>
        <w:rPr>
          <w:rFonts w:hint="eastAsia" w:ascii="仿宋_GB2312" w:hAnsi="Times New Roman" w:eastAsia="仿宋_GB2312" w:cs="Times New Roman"/>
          <w:bCs/>
          <w:spacing w:val="-4"/>
          <w:sz w:val="28"/>
          <w:szCs w:val="28"/>
        </w:rPr>
        <w:t>“</w:t>
      </w:r>
      <w:r>
        <w:rPr>
          <w:rFonts w:hint="eastAsia" w:ascii="仿宋_GB2312" w:hAnsi="Times New Roman" w:eastAsia="仿宋_GB2312" w:cs="Times New Roman"/>
          <w:bCs/>
          <w:spacing w:val="-4"/>
          <w:sz w:val="28"/>
          <w:szCs w:val="28"/>
          <w:lang w:val="en-US" w:eastAsia="zh-CN"/>
        </w:rPr>
        <w:t>村民</w:t>
      </w:r>
      <w:r>
        <w:rPr>
          <w:rFonts w:hint="eastAsia" w:ascii="仿宋_GB2312" w:hAnsi="Times New Roman" w:eastAsia="仿宋_GB2312" w:cs="Times New Roman"/>
          <w:bCs/>
          <w:spacing w:val="-4"/>
          <w:sz w:val="28"/>
          <w:szCs w:val="28"/>
        </w:rPr>
        <w:t>满意度”指标，指标预期指标值为</w:t>
      </w:r>
      <w:r>
        <w:rPr>
          <w:rFonts w:hint="eastAsia" w:ascii="仿宋_GB2312" w:hAnsi="Times New Roman" w:eastAsia="仿宋_GB2312" w:cs="Times New Roman"/>
          <w:bCs/>
          <w:spacing w:val="-4"/>
          <w:sz w:val="28"/>
          <w:szCs w:val="28"/>
          <w:lang w:eastAsia="zh-CN"/>
        </w:rPr>
        <w:t>大于等于</w:t>
      </w:r>
      <w:r>
        <w:rPr>
          <w:rFonts w:hint="eastAsia" w:ascii="仿宋_GB2312" w:hAnsi="Times New Roman" w:eastAsia="仿宋_GB2312" w:cs="Times New Roman"/>
          <w:bCs/>
          <w:spacing w:val="-4"/>
          <w:sz w:val="28"/>
          <w:szCs w:val="28"/>
        </w:rPr>
        <w:t>95%，实际完成值为95%，指标完成率为100.00%。所设分值10分，实际得分10分。</w:t>
      </w:r>
    </w:p>
    <w:p w14:paraId="4D5DA957">
      <w:pPr>
        <w:pStyle w:val="30"/>
        <w:spacing w:beforeLines="0" w:line="560" w:lineRule="exact"/>
        <w:ind w:left="0" w:leftChars="0" w:right="0" w:rightChars="0" w:firstLine="544" w:firstLineChars="200"/>
        <w:rPr>
          <w:rFonts w:ascii="仿宋_GB2312" w:hAnsi="Times New Roman" w:eastAsia="仿宋_GB2312" w:cs="Times New Roman"/>
          <w:b w:val="0"/>
          <w:color w:val="auto"/>
          <w:spacing w:val="-4"/>
          <w:szCs w:val="28"/>
        </w:rPr>
      </w:pPr>
      <w:r>
        <w:rPr>
          <w:rFonts w:hint="eastAsia" w:ascii="仿宋_GB2312" w:hAnsi="Times New Roman" w:eastAsia="仿宋_GB2312" w:cs="Times New Roman"/>
          <w:b w:val="0"/>
          <w:color w:val="auto"/>
          <w:spacing w:val="-4"/>
          <w:szCs w:val="28"/>
        </w:rPr>
        <w:t>项目实施完成后我单位就该项目的满意度采取抽样发放调查问卷的方式开展调查，通过对调查问卷的梳理和统计，项目覆盖区</w:t>
      </w:r>
      <w:r>
        <w:rPr>
          <w:rFonts w:hint="eastAsia" w:ascii="仿宋_GB2312" w:hAnsi="Times New Roman" w:eastAsia="仿宋_GB2312" w:cs="Times New Roman"/>
          <w:b w:val="0"/>
          <w:color w:val="auto"/>
          <w:spacing w:val="-4"/>
          <w:szCs w:val="28"/>
          <w:lang w:val="en-US" w:eastAsia="zh-CN"/>
        </w:rPr>
        <w:t>村民</w:t>
      </w:r>
      <w:r>
        <w:rPr>
          <w:rFonts w:hint="eastAsia" w:ascii="仿宋_GB2312" w:hAnsi="Times New Roman" w:eastAsia="仿宋_GB2312" w:cs="Times New Roman"/>
          <w:b w:val="0"/>
          <w:color w:val="auto"/>
          <w:spacing w:val="-4"/>
          <w:szCs w:val="28"/>
        </w:rPr>
        <w:t>满意度指标综合满意率为95.00%。</w:t>
      </w:r>
    </w:p>
    <w:p w14:paraId="6F98587D">
      <w:pPr>
        <w:pStyle w:val="30"/>
        <w:spacing w:before="120"/>
        <w:ind w:left="0" w:leftChars="0" w:right="3" w:firstLine="562" w:firstLineChars="200"/>
      </w:pPr>
      <w:r>
        <w:rPr>
          <w:rFonts w:hint="eastAsia"/>
        </w:rPr>
        <w:t>四、偏离绩效目标的原因和下一步改进措施</w:t>
      </w:r>
    </w:p>
    <w:p w14:paraId="537F6CC9">
      <w:pPr>
        <w:pStyle w:val="34"/>
        <w:keepNext w:val="0"/>
        <w:keepLines w:val="0"/>
        <w:pageBreakBefore w:val="0"/>
        <w:widowControl w:val="0"/>
        <w:kinsoku/>
        <w:wordWrap/>
        <w:overflowPunct/>
        <w:topLinePunct w:val="0"/>
        <w:autoSpaceDE/>
        <w:autoSpaceDN/>
        <w:bidi w:val="0"/>
        <w:adjustRightInd/>
        <w:snapToGrid w:val="0"/>
        <w:ind w:left="0" w:leftChars="0" w:firstLine="560" w:firstLineChars="200"/>
        <w:textAlignment w:val="auto"/>
        <w:rPr>
          <w:rFonts w:hint="eastAsia" w:eastAsia="仿宋_GB2312"/>
          <w:lang w:eastAsia="zh-CN"/>
        </w:rPr>
      </w:pPr>
      <w:r>
        <w:rPr>
          <w:rFonts w:hint="eastAsia"/>
          <w:lang w:val="en-US" w:eastAsia="zh-CN"/>
        </w:rPr>
        <w:t>1.成本指标-</w:t>
      </w:r>
      <w:r>
        <w:rPr>
          <w:rFonts w:hint="eastAsia"/>
        </w:rPr>
        <w:t>“工程</w:t>
      </w:r>
      <w:r>
        <w:rPr>
          <w:rFonts w:hint="eastAsia"/>
          <w:lang w:val="en-US" w:eastAsia="zh-CN"/>
        </w:rPr>
        <w:t>费用</w:t>
      </w:r>
      <w:r>
        <w:rPr>
          <w:rFonts w:hint="eastAsia"/>
        </w:rPr>
        <w:t>”指标，预期指标值为</w:t>
      </w:r>
      <w:r>
        <w:rPr>
          <w:rFonts w:hint="eastAsia"/>
          <w:lang w:eastAsia="zh-CN"/>
        </w:rPr>
        <w:t>小于等于</w:t>
      </w:r>
      <w:r>
        <w:rPr>
          <w:rFonts w:hint="eastAsia"/>
          <w:lang w:val="en-US" w:eastAsia="zh-CN"/>
        </w:rPr>
        <w:t>52.93万</w:t>
      </w:r>
      <w:r>
        <w:rPr>
          <w:rFonts w:hint="eastAsia"/>
        </w:rPr>
        <w:t>元, 全年实际值为</w:t>
      </w:r>
      <w:r>
        <w:rPr>
          <w:rFonts w:hint="eastAsia"/>
          <w:lang w:val="en-US" w:eastAsia="zh-CN"/>
        </w:rPr>
        <w:t>54.06</w:t>
      </w:r>
      <w:r>
        <w:rPr>
          <w:rFonts w:hint="eastAsia"/>
        </w:rPr>
        <w:t>万元</w:t>
      </w:r>
      <w:r>
        <w:rPr>
          <w:rFonts w:hint="eastAsia"/>
          <w:lang w:eastAsia="zh-CN"/>
        </w:rPr>
        <w:t>。</w:t>
      </w:r>
    </w:p>
    <w:p w14:paraId="4035F87F">
      <w:pPr>
        <w:pStyle w:val="34"/>
        <w:keepNext w:val="0"/>
        <w:keepLines w:val="0"/>
        <w:pageBreakBefore w:val="0"/>
        <w:widowControl w:val="0"/>
        <w:kinsoku/>
        <w:wordWrap/>
        <w:overflowPunct/>
        <w:topLinePunct w:val="0"/>
        <w:autoSpaceDE/>
        <w:autoSpaceDN/>
        <w:bidi w:val="0"/>
        <w:adjustRightInd/>
        <w:snapToGrid w:val="0"/>
        <w:textAlignment w:val="auto"/>
        <w:rPr>
          <w:rFonts w:hint="eastAsia"/>
        </w:rPr>
      </w:pPr>
      <w:r>
        <w:rPr>
          <w:rFonts w:hint="eastAsia"/>
        </w:rPr>
        <w:t>偏差原因：项目已完工，根据财务决算审定总投资为55.06万元，剩余资金财政收回。</w:t>
      </w:r>
    </w:p>
    <w:p w14:paraId="18B3C359">
      <w:pPr>
        <w:pStyle w:val="34"/>
        <w:keepNext w:val="0"/>
        <w:keepLines w:val="0"/>
        <w:pageBreakBefore w:val="0"/>
        <w:widowControl w:val="0"/>
        <w:kinsoku/>
        <w:wordWrap/>
        <w:overflowPunct/>
        <w:topLinePunct w:val="0"/>
        <w:autoSpaceDE/>
        <w:autoSpaceDN/>
        <w:bidi w:val="0"/>
        <w:adjustRightInd/>
        <w:snapToGrid w:val="0"/>
        <w:textAlignment w:val="auto"/>
        <w:rPr>
          <w:rFonts w:hint="eastAsia"/>
          <w:lang w:eastAsia="zh-CN"/>
        </w:rPr>
      </w:pPr>
      <w:r>
        <w:rPr>
          <w:rFonts w:hint="eastAsia"/>
        </w:rPr>
        <w:t>改进措施：加强项目前期管理，合理编制工程费用</w:t>
      </w:r>
      <w:r>
        <w:rPr>
          <w:rFonts w:hint="eastAsia"/>
          <w:lang w:eastAsia="zh-CN"/>
        </w:rPr>
        <w:t>。</w:t>
      </w:r>
    </w:p>
    <w:p w14:paraId="6AD1B158">
      <w:pPr>
        <w:pStyle w:val="34"/>
        <w:keepNext w:val="0"/>
        <w:keepLines w:val="0"/>
        <w:pageBreakBefore w:val="0"/>
        <w:widowControl w:val="0"/>
        <w:numPr>
          <w:ilvl w:val="0"/>
          <w:numId w:val="0"/>
        </w:numPr>
        <w:kinsoku/>
        <w:wordWrap/>
        <w:overflowPunct/>
        <w:topLinePunct w:val="0"/>
        <w:autoSpaceDE/>
        <w:autoSpaceDN/>
        <w:bidi w:val="0"/>
        <w:adjustRightInd/>
        <w:snapToGrid w:val="0"/>
        <w:ind w:firstLine="560" w:firstLineChars="200"/>
        <w:textAlignment w:val="auto"/>
        <w:rPr>
          <w:rFonts w:hint="eastAsia"/>
          <w:lang w:eastAsia="zh-CN"/>
        </w:rPr>
      </w:pPr>
      <w:r>
        <w:rPr>
          <w:rFonts w:hint="eastAsia"/>
          <w:lang w:val="en-US" w:eastAsia="zh-CN"/>
        </w:rPr>
        <w:t>2.成本指标-</w:t>
      </w:r>
      <w:r>
        <w:rPr>
          <w:rFonts w:hint="eastAsia"/>
        </w:rPr>
        <w:t>“</w:t>
      </w:r>
      <w:r>
        <w:rPr>
          <w:rFonts w:hint="eastAsia"/>
          <w:lang w:val="en-US" w:eastAsia="zh-CN"/>
        </w:rPr>
        <w:t>工程建设其他费用</w:t>
      </w:r>
      <w:r>
        <w:rPr>
          <w:rFonts w:hint="eastAsia"/>
        </w:rPr>
        <w:t>”指标，预期指标值为</w:t>
      </w:r>
      <w:r>
        <w:rPr>
          <w:rFonts w:hint="eastAsia"/>
          <w:lang w:eastAsia="zh-CN"/>
        </w:rPr>
        <w:t>小于等于</w:t>
      </w:r>
      <w:r>
        <w:rPr>
          <w:rFonts w:hint="eastAsia"/>
          <w:lang w:val="en-US" w:eastAsia="zh-CN"/>
        </w:rPr>
        <w:t>2.668</w:t>
      </w:r>
      <w:r>
        <w:rPr>
          <w:rFonts w:hint="eastAsia"/>
        </w:rPr>
        <w:t>万元, 全年实际值为</w:t>
      </w:r>
      <w:r>
        <w:rPr>
          <w:rFonts w:hint="eastAsia"/>
          <w:lang w:val="en-US" w:eastAsia="zh-CN"/>
        </w:rPr>
        <w:t>1</w:t>
      </w:r>
      <w:r>
        <w:rPr>
          <w:rFonts w:hint="eastAsia"/>
        </w:rPr>
        <w:t>万元</w:t>
      </w:r>
      <w:r>
        <w:rPr>
          <w:rFonts w:hint="eastAsia"/>
          <w:lang w:eastAsia="zh-CN"/>
        </w:rPr>
        <w:t>。</w:t>
      </w:r>
    </w:p>
    <w:p w14:paraId="02587064">
      <w:pPr>
        <w:pStyle w:val="34"/>
        <w:keepNext w:val="0"/>
        <w:keepLines w:val="0"/>
        <w:pageBreakBefore w:val="0"/>
        <w:widowControl w:val="0"/>
        <w:kinsoku/>
        <w:wordWrap/>
        <w:overflowPunct/>
        <w:topLinePunct w:val="0"/>
        <w:autoSpaceDE/>
        <w:autoSpaceDN/>
        <w:bidi w:val="0"/>
        <w:adjustRightInd/>
        <w:snapToGrid w:val="0"/>
        <w:textAlignment w:val="auto"/>
        <w:rPr>
          <w:rFonts w:hint="eastAsia"/>
        </w:rPr>
      </w:pPr>
      <w:r>
        <w:rPr>
          <w:rFonts w:hint="eastAsia"/>
        </w:rPr>
        <w:t>偏差原因：项目已完工，根据财务决算审定总投资为55.06万元，剩余资金财政收回。</w:t>
      </w:r>
    </w:p>
    <w:p w14:paraId="08C3BB90">
      <w:pPr>
        <w:pStyle w:val="34"/>
        <w:keepNext w:val="0"/>
        <w:keepLines w:val="0"/>
        <w:pageBreakBefore w:val="0"/>
        <w:widowControl w:val="0"/>
        <w:numPr>
          <w:ilvl w:val="0"/>
          <w:numId w:val="0"/>
        </w:numPr>
        <w:kinsoku/>
        <w:wordWrap/>
        <w:overflowPunct/>
        <w:topLinePunct w:val="0"/>
        <w:autoSpaceDE/>
        <w:autoSpaceDN/>
        <w:bidi w:val="0"/>
        <w:adjustRightInd/>
        <w:snapToGrid w:val="0"/>
        <w:ind w:firstLine="560" w:firstLineChars="200"/>
        <w:textAlignment w:val="auto"/>
        <w:rPr>
          <w:rFonts w:hint="eastAsia" w:eastAsia="仿宋_GB2312"/>
          <w:lang w:val="en-US" w:eastAsia="zh-CN"/>
        </w:rPr>
      </w:pPr>
      <w:r>
        <w:rPr>
          <w:rFonts w:hint="eastAsia"/>
        </w:rPr>
        <w:t>改进措施：加强项目前期管理，合理编制工程费用</w:t>
      </w:r>
      <w:r>
        <w:rPr>
          <w:rFonts w:hint="eastAsia"/>
          <w:lang w:eastAsia="zh-CN"/>
        </w:rPr>
        <w:t>。</w:t>
      </w:r>
    </w:p>
    <w:p w14:paraId="59B22642">
      <w:pPr>
        <w:pStyle w:val="30"/>
        <w:spacing w:before="120"/>
        <w:ind w:left="0" w:leftChars="0" w:right="3" w:firstLine="562" w:firstLineChars="200"/>
      </w:pPr>
      <w:r>
        <w:rPr>
          <w:rFonts w:hint="eastAsia"/>
        </w:rPr>
        <w:t>五、绩效自评结果拟应用和公开情况</w:t>
      </w:r>
    </w:p>
    <w:p w14:paraId="6360CBC9">
      <w:pPr>
        <w:pStyle w:val="53"/>
        <w:spacing w:line="560" w:lineRule="exact"/>
        <w:ind w:left="3" w:right="3" w:firstLine="560"/>
        <w:rPr>
          <w:rFonts w:hint="eastAsia" w:ascii="仿宋_GB2312"/>
        </w:rPr>
      </w:pPr>
      <w:r>
        <w:rPr>
          <w:rFonts w:hint="eastAsia" w:ascii="仿宋_GB2312"/>
        </w:rPr>
        <w:t>项目本次评价通过文件研读、实地调研、数据采集、问卷调查方式下，全面了解</w:t>
      </w:r>
      <w:r>
        <w:rPr>
          <w:rFonts w:hint="eastAsia" w:ascii="仿宋_GB2312"/>
          <w:lang w:val="en-US" w:eastAsia="zh-CN"/>
        </w:rPr>
        <w:t>2024年土地碎片化治理项目（阿热勒乡）</w:t>
      </w:r>
      <w:r>
        <w:rPr>
          <w:rFonts w:hint="eastAsia" w:ascii="仿宋_GB2312"/>
        </w:rPr>
        <w:t>资金的使用效率和效果，从而得出以下综合评价结论：在绩效目标方面，本项目共设置一级指标3个，二级指标</w:t>
      </w:r>
      <w:r>
        <w:rPr>
          <w:rFonts w:hint="eastAsia" w:ascii="仿宋_GB2312"/>
          <w:lang w:val="en-US" w:eastAsia="zh-CN"/>
        </w:rPr>
        <w:t>6</w:t>
      </w:r>
      <w:r>
        <w:rPr>
          <w:rFonts w:hint="eastAsia" w:ascii="仿宋_GB2312"/>
        </w:rPr>
        <w:t>个，三级指标</w:t>
      </w:r>
      <w:r>
        <w:rPr>
          <w:rFonts w:hint="eastAsia" w:ascii="仿宋_GB2312"/>
          <w:lang w:val="en-US" w:eastAsia="zh-CN"/>
        </w:rPr>
        <w:t>11</w:t>
      </w:r>
      <w:r>
        <w:rPr>
          <w:rFonts w:hint="eastAsia" w:ascii="仿宋_GB2312"/>
        </w:rPr>
        <w:t>个，其中已完成三级指标</w:t>
      </w:r>
      <w:r>
        <w:rPr>
          <w:rFonts w:hint="eastAsia" w:ascii="仿宋_GB2312"/>
          <w:lang w:val="en-US" w:eastAsia="zh-CN"/>
        </w:rPr>
        <w:t>9</w:t>
      </w:r>
      <w:r>
        <w:rPr>
          <w:rFonts w:hint="eastAsia" w:ascii="仿宋_GB2312"/>
        </w:rPr>
        <w:t>个，指标完成率为</w:t>
      </w:r>
      <w:r>
        <w:rPr>
          <w:rFonts w:hint="eastAsia" w:ascii="仿宋_GB2312"/>
          <w:lang w:val="en-US" w:eastAsia="zh-CN"/>
        </w:rPr>
        <w:t>81.82</w:t>
      </w:r>
      <w:r>
        <w:rPr>
          <w:rFonts w:hint="eastAsia" w:ascii="仿宋_GB2312"/>
        </w:rPr>
        <w:t>%；在资金使用方面，严格按照《于田县扶贫资金财务管理制度》、《</w:t>
      </w:r>
      <w:r>
        <w:rPr>
          <w:rFonts w:hint="eastAsia" w:ascii="仿宋_GB2312"/>
          <w:lang w:val="en-US" w:eastAsia="zh-CN"/>
        </w:rPr>
        <w:t>于田县阿热勒乡人民政府</w:t>
      </w:r>
      <w:r>
        <w:rPr>
          <w:rFonts w:hint="eastAsia" w:ascii="仿宋_GB2312"/>
        </w:rPr>
        <w:t>财务管理制度》执行，保障了资金使用规范、安全，无挪用、截留资金的情况发生。在项目管理方面，制定了《</w:t>
      </w:r>
      <w:r>
        <w:rPr>
          <w:rFonts w:hint="eastAsia" w:ascii="仿宋_GB2312"/>
          <w:lang w:val="en-US" w:eastAsia="zh-CN"/>
        </w:rPr>
        <w:t>于田县阿热勒乡提升粮食产能</w:t>
      </w:r>
      <w:r>
        <w:rPr>
          <w:rFonts w:hint="eastAsia" w:ascii="仿宋_GB2312"/>
        </w:rPr>
        <w:t>实施方案》，建立了相关制度，提高了工作人员的监管水平，保质保量的完成了项目的实施工作。项目实施后，取得了一定社会效益；同时，通过开展自评价来总结经验和教训，为我单位今后类似项目的开展，提供可行性参考建议。</w:t>
      </w:r>
    </w:p>
    <w:p w14:paraId="3400F72A">
      <w:pPr>
        <w:pStyle w:val="53"/>
        <w:spacing w:line="560" w:lineRule="exact"/>
        <w:ind w:left="3" w:right="3" w:firstLine="560"/>
        <w:rPr>
          <w:rFonts w:hint="eastAsia" w:ascii="仿宋_GB2312"/>
        </w:rPr>
      </w:pPr>
      <w:r>
        <w:rPr>
          <w:rFonts w:hint="eastAsia" w:ascii="仿宋_GB2312"/>
        </w:rPr>
        <w:t>项目最终得分为</w:t>
      </w:r>
      <w:r>
        <w:rPr>
          <w:rFonts w:hint="eastAsia" w:ascii="仿宋_GB2312"/>
          <w:lang w:val="en-US" w:eastAsia="zh-CN"/>
        </w:rPr>
        <w:t>96.09</w:t>
      </w:r>
      <w:r>
        <w:rPr>
          <w:rFonts w:hint="eastAsia" w:ascii="仿宋_GB2312"/>
        </w:rPr>
        <w:t>分，评价等级为</w:t>
      </w:r>
      <w:r>
        <w:rPr>
          <w:rFonts w:hint="eastAsia" w:ascii="仿宋_GB2312"/>
          <w:lang w:val="en-US" w:eastAsia="zh-CN"/>
        </w:rPr>
        <w:t>优</w:t>
      </w:r>
      <w:r>
        <w:rPr>
          <w:rFonts w:hint="eastAsia" w:ascii="仿宋_GB2312"/>
        </w:rPr>
        <w:t>。</w:t>
      </w:r>
    </w:p>
    <w:p w14:paraId="1723D8F3">
      <w:pPr>
        <w:pStyle w:val="53"/>
        <w:spacing w:line="560" w:lineRule="exact"/>
        <w:ind w:left="3" w:right="3" w:firstLine="554"/>
        <w:rPr>
          <w:rStyle w:val="20"/>
          <w:rFonts w:ascii="楷体_GB2312" w:hAnsi="楷体"/>
          <w:spacing w:val="-4"/>
          <w:szCs w:val="32"/>
        </w:rPr>
      </w:pPr>
      <w:r>
        <w:rPr>
          <w:rStyle w:val="20"/>
          <w:rFonts w:hint="eastAsia" w:ascii="楷体_GB2312" w:hAnsi="楷体"/>
          <w:spacing w:val="-4"/>
          <w:szCs w:val="32"/>
        </w:rPr>
        <w:t>（一）绩效自评结果拟应用情况</w:t>
      </w:r>
    </w:p>
    <w:p w14:paraId="0FF6CC91">
      <w:pPr>
        <w:pStyle w:val="53"/>
        <w:spacing w:line="560" w:lineRule="exact"/>
        <w:ind w:left="3" w:right="3" w:firstLine="560"/>
        <w:rPr>
          <w:rFonts w:ascii="仿宋_GB2312"/>
        </w:rPr>
      </w:pPr>
      <w:r>
        <w:rPr>
          <w:rFonts w:hint="eastAsia" w:ascii="仿宋_GB2312"/>
        </w:rPr>
        <w:t>本项目在实施过程中，严格按照关于印发《中央财政衔接推进乡村振兴补助资金管理办法》的通知（财农〔2021〕19号）及实施方案进行实施。本项目绩效自评结果将作为决策和分配财政资金的重要参考依据。对绩效自评发现的问题认真整改，总结经验、改进管理，不断提高项目实施水平。</w:t>
      </w:r>
    </w:p>
    <w:p w14:paraId="6277485D">
      <w:pPr>
        <w:spacing w:line="560" w:lineRule="exact"/>
        <w:ind w:firstLine="546" w:firstLineChars="200"/>
        <w:rPr>
          <w:rStyle w:val="20"/>
          <w:rFonts w:ascii="楷体_GB2312" w:hAnsi="楷体" w:cs="Times New Roman"/>
          <w:spacing w:val="-4"/>
          <w:sz w:val="28"/>
          <w:szCs w:val="32"/>
        </w:rPr>
      </w:pPr>
      <w:r>
        <w:rPr>
          <w:rStyle w:val="20"/>
          <w:rFonts w:hint="eastAsia" w:ascii="楷体_GB2312" w:hAnsi="楷体" w:cs="Times New Roman"/>
          <w:spacing w:val="-4"/>
          <w:sz w:val="28"/>
          <w:szCs w:val="32"/>
        </w:rPr>
        <w:t>（二）指标佐证材料说明</w:t>
      </w:r>
    </w:p>
    <w:p w14:paraId="59618F14">
      <w:pPr>
        <w:pStyle w:val="53"/>
        <w:spacing w:line="560" w:lineRule="exact"/>
        <w:ind w:left="3" w:right="3" w:firstLine="560"/>
        <w:rPr>
          <w:rFonts w:hint="eastAsia" w:ascii="仿宋_GB2312" w:hAnsi="Times New Roman" w:eastAsia="仿宋_GB2312" w:cs="Times New Roman"/>
          <w:color w:val="000000" w:themeColor="text1"/>
          <w:kern w:val="2"/>
          <w:sz w:val="28"/>
          <w:szCs w:val="32"/>
          <w:highlight w:val="none"/>
          <w:lang w:val="en-US" w:eastAsia="zh-CN" w:bidi="ar-SA"/>
          <w14:textFill>
            <w14:solidFill>
              <w14:schemeClr w14:val="tx1"/>
            </w14:solidFill>
          </w14:textFill>
        </w:rPr>
      </w:pPr>
      <w:r>
        <w:rPr>
          <w:rFonts w:hint="eastAsia" w:ascii="仿宋_GB2312"/>
        </w:rPr>
        <w:t>项目状况：</w:t>
      </w:r>
      <w:r>
        <w:rPr>
          <w:rFonts w:hint="eastAsia" w:ascii="仿宋_GB2312"/>
          <w:lang w:val="en-US" w:eastAsia="zh-CN"/>
        </w:rPr>
        <w:t>根据</w:t>
      </w:r>
      <w:r>
        <w:rPr>
          <w:rFonts w:hint="eastAsia" w:ascii="仿宋_GB2312"/>
          <w:szCs w:val="32"/>
          <w:lang w:val="en-US" w:eastAsia="zh-CN"/>
        </w:rPr>
        <w:t>于田县发展和改革委员会</w:t>
      </w:r>
      <w:r>
        <w:rPr>
          <w:rFonts w:hint="eastAsia" w:ascii="仿宋_GB2312"/>
          <w:szCs w:val="32"/>
        </w:rPr>
        <w:t>下发的《</w:t>
      </w:r>
      <w:r>
        <w:rPr>
          <w:rFonts w:hint="eastAsia" w:ascii="仿宋_GB2312"/>
          <w:szCs w:val="32"/>
          <w:lang w:val="en-US" w:eastAsia="zh-CN"/>
        </w:rPr>
        <w:t>关于对</w:t>
      </w:r>
      <w:r>
        <w:rPr>
          <w:rFonts w:hint="eastAsia" w:ascii="仿宋" w:hAnsi="仿宋" w:eastAsia="仿宋" w:cs="仿宋"/>
          <w:bCs/>
          <w:color w:val="000000" w:themeColor="text1"/>
          <w:kern w:val="0"/>
          <w:lang w:val="en-US" w:eastAsia="zh-CN"/>
          <w14:textFill>
            <w14:solidFill>
              <w14:schemeClr w14:val="tx1"/>
            </w14:solidFill>
          </w14:textFill>
        </w:rPr>
        <w:t>2024年土地碎片化治理项目（阿热勒乡）</w:t>
      </w:r>
      <w:r>
        <w:rPr>
          <w:rFonts w:hint="eastAsia" w:ascii="仿宋_GB2312"/>
          <w:szCs w:val="32"/>
        </w:rPr>
        <w:t>实施方案》</w:t>
      </w:r>
      <w:r>
        <w:rPr>
          <w:rFonts w:hint="eastAsia" w:ascii="仿宋_GB2312"/>
          <w:szCs w:val="32"/>
          <w:lang w:eastAsia="zh-CN"/>
        </w:rPr>
        <w:t>（</w:t>
      </w:r>
      <w:r>
        <w:rPr>
          <w:rFonts w:hint="eastAsia" w:ascii="仿宋_GB2312"/>
          <w:szCs w:val="32"/>
        </w:rPr>
        <w:t>于</w:t>
      </w:r>
      <w:r>
        <w:rPr>
          <w:rFonts w:hint="eastAsia" w:ascii="仿宋_GB2312"/>
          <w:szCs w:val="32"/>
          <w:lang w:val="en-US" w:eastAsia="zh-CN"/>
        </w:rPr>
        <w:t>发改项目</w:t>
      </w:r>
      <w:r>
        <w:rPr>
          <w:rFonts w:hint="eastAsia" w:ascii="仿宋_GB2312"/>
          <w:szCs w:val="32"/>
        </w:rPr>
        <w:t>(202</w:t>
      </w:r>
      <w:r>
        <w:rPr>
          <w:rFonts w:hint="eastAsia" w:ascii="仿宋_GB2312"/>
          <w:szCs w:val="32"/>
          <w:lang w:val="en-US" w:eastAsia="zh-CN"/>
        </w:rPr>
        <w:t>4</w:t>
      </w:r>
      <w:r>
        <w:rPr>
          <w:rFonts w:hint="eastAsia" w:ascii="仿宋_GB2312"/>
          <w:szCs w:val="32"/>
        </w:rPr>
        <w:t>)</w:t>
      </w:r>
      <w:r>
        <w:rPr>
          <w:rFonts w:hint="eastAsia" w:ascii="仿宋_GB2312"/>
          <w:szCs w:val="32"/>
          <w:lang w:val="en-US" w:eastAsia="zh-CN"/>
        </w:rPr>
        <w:t>180</w:t>
      </w:r>
      <w:r>
        <w:rPr>
          <w:rFonts w:hint="eastAsia" w:ascii="仿宋_GB2312"/>
          <w:szCs w:val="32"/>
        </w:rPr>
        <w:t>号</w:t>
      </w:r>
      <w:r>
        <w:rPr>
          <w:rFonts w:hint="eastAsia" w:ascii="仿宋_GB2312"/>
          <w:szCs w:val="32"/>
          <w:lang w:eastAsia="zh-CN"/>
        </w:rPr>
        <w:t>）</w:t>
      </w:r>
      <w:r>
        <w:rPr>
          <w:rFonts w:hint="eastAsia" w:ascii="仿宋_GB2312"/>
          <w:szCs w:val="32"/>
          <w:lang w:val="en-US" w:eastAsia="zh-CN"/>
        </w:rPr>
        <w:t>文</w:t>
      </w:r>
      <w:r>
        <w:rPr>
          <w:rFonts w:hint="eastAsia" w:ascii="仿宋_GB2312"/>
          <w:szCs w:val="32"/>
        </w:rPr>
        <w:t>批复立</w:t>
      </w:r>
      <w:r>
        <w:rPr>
          <w:rFonts w:hint="eastAsia" w:ascii="仿宋_GB2312" w:hAnsi="Times New Roman" w:eastAsia="仿宋_GB2312" w:cs="Times New Roman"/>
          <w:color w:val="000000" w:themeColor="text1"/>
          <w:kern w:val="2"/>
          <w:sz w:val="28"/>
          <w:szCs w:val="32"/>
          <w:highlight w:val="none"/>
          <w:lang w:val="en-US" w:eastAsia="zh-CN" w:bidi="ar-SA"/>
          <w14:textFill>
            <w14:solidFill>
              <w14:schemeClr w14:val="tx1"/>
            </w14:solidFill>
          </w14:textFill>
        </w:rPr>
        <w:t>项实施</w:t>
      </w:r>
      <w:r>
        <w:rPr>
          <w:rFonts w:hint="eastAsia" w:ascii="仿宋_GB2312" w:cs="Times New Roman"/>
          <w:color w:val="000000" w:themeColor="text1"/>
          <w:kern w:val="2"/>
          <w:sz w:val="28"/>
          <w:szCs w:val="32"/>
          <w:highlight w:val="none"/>
          <w:lang w:val="en-US" w:eastAsia="zh-CN" w:bidi="ar-SA"/>
          <w14:textFill>
            <w14:solidFill>
              <w14:schemeClr w14:val="tx1"/>
            </w14:solidFill>
          </w14:textFill>
        </w:rPr>
        <w:t>。</w:t>
      </w:r>
    </w:p>
    <w:p w14:paraId="24097CBF">
      <w:pPr>
        <w:pStyle w:val="53"/>
        <w:spacing w:line="560" w:lineRule="exact"/>
        <w:ind w:left="3" w:right="3" w:firstLine="560"/>
        <w:rPr>
          <w:rFonts w:hint="eastAsia" w:ascii="仿宋_GB2312"/>
          <w:szCs w:val="32"/>
          <w:lang w:val="en-US" w:eastAsia="zh-CN"/>
        </w:rPr>
      </w:pPr>
      <w:r>
        <w:rPr>
          <w:rFonts w:hint="eastAsia" w:ascii="仿宋_GB2312"/>
        </w:rPr>
        <w:t>资金状况：预算资金来源为</w:t>
      </w:r>
      <w:r>
        <w:rPr>
          <w:rFonts w:hint="eastAsia" w:ascii="仿宋_GB2312"/>
          <w:lang w:val="en-US" w:eastAsia="zh-CN"/>
        </w:rPr>
        <w:t>乡村振兴衔接资金</w:t>
      </w:r>
      <w:r>
        <w:rPr>
          <w:rFonts w:hint="eastAsia" w:ascii="仿宋_GB2312"/>
        </w:rPr>
        <w:t>，文件依据</w:t>
      </w:r>
      <w:r>
        <w:rPr>
          <w:rFonts w:hint="eastAsia" w:ascii="仿宋_GB2312"/>
          <w:szCs w:val="32"/>
        </w:rPr>
        <w:t>《</w:t>
      </w:r>
      <w:r>
        <w:rPr>
          <w:rFonts w:hint="eastAsia" w:ascii="仿宋_GB2312"/>
          <w:szCs w:val="32"/>
          <w:lang w:val="en-US" w:eastAsia="zh-CN"/>
        </w:rPr>
        <w:t>关于对</w:t>
      </w:r>
      <w:r>
        <w:rPr>
          <w:rFonts w:hint="eastAsia" w:ascii="仿宋" w:hAnsi="仿宋" w:eastAsia="仿宋" w:cs="仿宋"/>
          <w:bCs/>
          <w:color w:val="000000" w:themeColor="text1"/>
          <w:kern w:val="0"/>
          <w:lang w:val="en-US" w:eastAsia="zh-CN"/>
          <w14:textFill>
            <w14:solidFill>
              <w14:schemeClr w14:val="tx1"/>
            </w14:solidFill>
          </w14:textFill>
        </w:rPr>
        <w:t>2024年土地碎片化治理项目（阿热勒乡）</w:t>
      </w:r>
      <w:r>
        <w:rPr>
          <w:rFonts w:hint="eastAsia" w:ascii="仿宋_GB2312"/>
          <w:szCs w:val="32"/>
        </w:rPr>
        <w:t>实施方案》</w:t>
      </w:r>
      <w:r>
        <w:rPr>
          <w:rFonts w:hint="eastAsia" w:ascii="仿宋_GB2312"/>
          <w:szCs w:val="32"/>
          <w:lang w:eastAsia="zh-CN"/>
        </w:rPr>
        <w:t>（</w:t>
      </w:r>
      <w:r>
        <w:rPr>
          <w:rFonts w:hint="eastAsia" w:ascii="仿宋_GB2312"/>
          <w:szCs w:val="32"/>
        </w:rPr>
        <w:t>于</w:t>
      </w:r>
      <w:r>
        <w:rPr>
          <w:rFonts w:hint="eastAsia" w:ascii="仿宋_GB2312"/>
          <w:szCs w:val="32"/>
          <w:lang w:val="en-US" w:eastAsia="zh-CN"/>
        </w:rPr>
        <w:t>发改项目</w:t>
      </w:r>
      <w:r>
        <w:rPr>
          <w:rFonts w:hint="eastAsia" w:ascii="仿宋_GB2312"/>
          <w:szCs w:val="32"/>
        </w:rPr>
        <w:t>(202</w:t>
      </w:r>
      <w:r>
        <w:rPr>
          <w:rFonts w:hint="eastAsia" w:ascii="仿宋_GB2312"/>
          <w:szCs w:val="32"/>
          <w:lang w:val="en-US" w:eastAsia="zh-CN"/>
        </w:rPr>
        <w:t>4</w:t>
      </w:r>
      <w:r>
        <w:rPr>
          <w:rFonts w:hint="eastAsia" w:ascii="仿宋_GB2312"/>
          <w:szCs w:val="32"/>
        </w:rPr>
        <w:t>)</w:t>
      </w:r>
      <w:r>
        <w:rPr>
          <w:rFonts w:hint="eastAsia" w:ascii="仿宋_GB2312"/>
          <w:szCs w:val="32"/>
          <w:lang w:val="en-US" w:eastAsia="zh-CN"/>
        </w:rPr>
        <w:t>180</w:t>
      </w:r>
      <w:r>
        <w:rPr>
          <w:rFonts w:hint="eastAsia" w:ascii="仿宋_GB2312"/>
          <w:szCs w:val="32"/>
        </w:rPr>
        <w:t>号</w:t>
      </w:r>
      <w:r>
        <w:rPr>
          <w:rFonts w:hint="eastAsia" w:ascii="仿宋_GB2312"/>
          <w:szCs w:val="32"/>
          <w:lang w:eastAsia="zh-CN"/>
        </w:rPr>
        <w:t>）</w:t>
      </w:r>
      <w:r>
        <w:rPr>
          <w:rFonts w:hint="eastAsia" w:ascii="仿宋_GB2312"/>
          <w:szCs w:val="32"/>
          <w:lang w:val="en-US" w:eastAsia="zh-CN"/>
        </w:rPr>
        <w:t>文。</w:t>
      </w:r>
    </w:p>
    <w:p w14:paraId="6BF1C41D">
      <w:pPr>
        <w:pStyle w:val="53"/>
        <w:spacing w:line="560" w:lineRule="exact"/>
        <w:ind w:left="3" w:right="3" w:firstLine="560"/>
        <w:rPr>
          <w:rFonts w:hint="eastAsia" w:ascii="仿宋_GB2312"/>
          <w:szCs w:val="32"/>
        </w:rPr>
      </w:pPr>
      <w:r>
        <w:rPr>
          <w:rFonts w:hint="eastAsia" w:ascii="仿宋_GB2312"/>
          <w:szCs w:val="32"/>
        </w:rPr>
        <w:t>过程状况：该项目于20</w:t>
      </w:r>
      <w:r>
        <w:rPr>
          <w:rFonts w:hint="eastAsia" w:ascii="仿宋_GB2312"/>
          <w:szCs w:val="32"/>
          <w:lang w:val="en-US" w:eastAsia="zh-CN"/>
        </w:rPr>
        <w:t>24</w:t>
      </w:r>
      <w:r>
        <w:rPr>
          <w:rFonts w:hint="eastAsia" w:ascii="仿宋_GB2312"/>
          <w:szCs w:val="32"/>
        </w:rPr>
        <w:t>年</w:t>
      </w:r>
      <w:r>
        <w:rPr>
          <w:rFonts w:hint="eastAsia" w:ascii="仿宋_GB2312"/>
          <w:szCs w:val="32"/>
          <w:lang w:val="en-US" w:eastAsia="zh-CN"/>
        </w:rPr>
        <w:t>7</w:t>
      </w:r>
      <w:r>
        <w:rPr>
          <w:rFonts w:hint="eastAsia" w:ascii="仿宋_GB2312"/>
          <w:szCs w:val="32"/>
        </w:rPr>
        <w:t>月制订</w:t>
      </w:r>
      <w:r>
        <w:rPr>
          <w:rFonts w:hint="eastAsia" w:ascii="仿宋_GB2312"/>
          <w:szCs w:val="32"/>
          <w:lang w:val="en-US" w:eastAsia="zh-CN"/>
        </w:rPr>
        <w:t>实施方案</w:t>
      </w:r>
      <w:r>
        <w:rPr>
          <w:rFonts w:hint="eastAsia" w:ascii="仿宋_GB2312"/>
          <w:szCs w:val="32"/>
        </w:rPr>
        <w:t>并得到批复，</w:t>
      </w:r>
      <w:r>
        <w:rPr>
          <w:rFonts w:hint="eastAsia" w:ascii="仿宋_GB2312"/>
          <w:szCs w:val="32"/>
          <w:lang w:val="en-US" w:eastAsia="zh-CN"/>
        </w:rPr>
        <w:t>2024</w:t>
      </w:r>
      <w:r>
        <w:rPr>
          <w:rFonts w:hint="eastAsia" w:ascii="仿宋_GB2312"/>
          <w:szCs w:val="32"/>
        </w:rPr>
        <w:t>年</w:t>
      </w:r>
      <w:r>
        <w:rPr>
          <w:rFonts w:hint="eastAsia" w:ascii="仿宋_GB2312"/>
          <w:szCs w:val="32"/>
          <w:lang w:val="en-US" w:eastAsia="zh-CN"/>
        </w:rPr>
        <w:t>7月开工</w:t>
      </w:r>
      <w:r>
        <w:rPr>
          <w:rFonts w:hint="eastAsia" w:ascii="仿宋_GB2312"/>
          <w:szCs w:val="32"/>
        </w:rPr>
        <w:t>，</w:t>
      </w:r>
      <w:r>
        <w:rPr>
          <w:rFonts w:hint="eastAsia" w:ascii="仿宋_GB2312"/>
          <w:szCs w:val="32"/>
          <w:lang w:val="en-US" w:eastAsia="zh-CN"/>
        </w:rPr>
        <w:t>2024</w:t>
      </w:r>
      <w:r>
        <w:rPr>
          <w:rFonts w:hint="eastAsia" w:ascii="仿宋_GB2312"/>
          <w:szCs w:val="32"/>
        </w:rPr>
        <w:t>年</w:t>
      </w:r>
      <w:r>
        <w:rPr>
          <w:rFonts w:hint="eastAsia" w:ascii="仿宋_GB2312"/>
          <w:szCs w:val="32"/>
          <w:lang w:val="en-US" w:eastAsia="zh-CN"/>
        </w:rPr>
        <w:t>9月</w:t>
      </w:r>
      <w:r>
        <w:rPr>
          <w:rFonts w:hint="eastAsia" w:ascii="仿宋_GB2312"/>
          <w:szCs w:val="32"/>
        </w:rPr>
        <w:t>完工。</w:t>
      </w:r>
    </w:p>
    <w:p w14:paraId="5C0FFDC1">
      <w:pPr>
        <w:pStyle w:val="53"/>
        <w:spacing w:line="560" w:lineRule="exact"/>
        <w:ind w:left="3" w:right="3" w:firstLine="560"/>
        <w:rPr>
          <w:rFonts w:hint="eastAsia" w:ascii="仿宋_GB2312"/>
          <w:szCs w:val="32"/>
        </w:rPr>
      </w:pPr>
      <w:r>
        <w:rPr>
          <w:rFonts w:hint="eastAsia" w:ascii="仿宋_GB2312"/>
          <w:szCs w:val="32"/>
        </w:rPr>
        <w:t>结果状况：</w:t>
      </w:r>
      <w:r>
        <w:rPr>
          <w:rFonts w:hint="eastAsia" w:ascii="仿宋_GB2312"/>
          <w:szCs w:val="32"/>
          <w:lang w:val="en-US" w:eastAsia="zh-CN"/>
        </w:rPr>
        <w:t>该项目完工后由建设单位</w:t>
      </w:r>
      <w:r>
        <w:rPr>
          <w:rFonts w:hint="eastAsia" w:ascii="仿宋_GB2312"/>
          <w:szCs w:val="32"/>
        </w:rPr>
        <w:t>于田县发展和改革委员会</w:t>
      </w:r>
      <w:r>
        <w:rPr>
          <w:rFonts w:hint="eastAsia" w:ascii="仿宋_GB2312"/>
          <w:szCs w:val="32"/>
          <w:lang w:val="en-US" w:eastAsia="zh-CN"/>
        </w:rPr>
        <w:t>，于田县农业农村局、于田县</w:t>
      </w:r>
      <w:r>
        <w:rPr>
          <w:rFonts w:hint="eastAsia" w:ascii="仿宋_GB2312"/>
          <w:szCs w:val="32"/>
        </w:rPr>
        <w:t>财政局，</w:t>
      </w:r>
      <w:r>
        <w:rPr>
          <w:rFonts w:hint="eastAsia" w:ascii="仿宋_GB2312"/>
          <w:szCs w:val="32"/>
          <w:lang w:val="en-US" w:eastAsia="zh-CN"/>
        </w:rPr>
        <w:t>于田县</w:t>
      </w:r>
      <w:r>
        <w:rPr>
          <w:rFonts w:hint="eastAsia" w:ascii="仿宋_GB2312"/>
          <w:szCs w:val="32"/>
        </w:rPr>
        <w:t>档案局和</w:t>
      </w:r>
      <w:r>
        <w:rPr>
          <w:rFonts w:hint="eastAsia" w:ascii="仿宋_GB2312"/>
          <w:szCs w:val="32"/>
          <w:lang w:val="en-US" w:eastAsia="zh-CN"/>
        </w:rPr>
        <w:t>项目所在村村委会</w:t>
      </w:r>
      <w:r>
        <w:rPr>
          <w:rFonts w:hint="eastAsia" w:ascii="仿宋_GB2312"/>
          <w:szCs w:val="32"/>
        </w:rPr>
        <w:t>联合竣工验收</w:t>
      </w:r>
      <w:r>
        <w:rPr>
          <w:rFonts w:hint="eastAsia" w:ascii="仿宋_GB2312"/>
          <w:szCs w:val="32"/>
          <w:lang w:eastAsia="zh-CN"/>
        </w:rPr>
        <w:t>，</w:t>
      </w:r>
      <w:r>
        <w:rPr>
          <w:rFonts w:hint="eastAsia" w:ascii="仿宋_GB2312"/>
          <w:szCs w:val="32"/>
        </w:rPr>
        <w:t>结果状况：合格。</w:t>
      </w:r>
    </w:p>
    <w:p w14:paraId="4480E8B7">
      <w:pPr>
        <w:pStyle w:val="53"/>
        <w:spacing w:line="560" w:lineRule="exact"/>
        <w:ind w:left="3" w:right="3" w:firstLine="560"/>
        <w:rPr>
          <w:rFonts w:hint="eastAsia" w:ascii="仿宋_GB2312"/>
          <w:b/>
          <w:bCs/>
          <w:szCs w:val="32"/>
        </w:rPr>
      </w:pPr>
      <w:r>
        <w:rPr>
          <w:rFonts w:hint="eastAsia" w:ascii="仿宋_GB2312"/>
          <w:b/>
          <w:bCs/>
          <w:szCs w:val="32"/>
        </w:rPr>
        <w:t>（三）主要经验及做法</w:t>
      </w:r>
    </w:p>
    <w:p w14:paraId="7BDB5349">
      <w:pPr>
        <w:pStyle w:val="53"/>
        <w:spacing w:line="560" w:lineRule="exact"/>
        <w:ind w:left="3" w:right="3" w:firstLine="560"/>
        <w:rPr>
          <w:rFonts w:hint="eastAsia" w:ascii="仿宋_GB2312"/>
          <w:szCs w:val="32"/>
        </w:rPr>
      </w:pPr>
      <w:r>
        <w:rPr>
          <w:rFonts w:hint="eastAsia" w:ascii="仿宋_GB2312"/>
          <w:szCs w:val="32"/>
          <w:lang w:val="en-US" w:eastAsia="zh-CN"/>
        </w:rPr>
        <w:t>2024年土地碎片化治理项目（阿热勒乡）</w:t>
      </w:r>
      <w:r>
        <w:rPr>
          <w:rFonts w:hint="eastAsia" w:ascii="仿宋_GB2312"/>
          <w:szCs w:val="32"/>
        </w:rPr>
        <w:t>资金安排、使用过程中严格执行乡村振兴项目资金管理制度，确保乡村振兴项目正常运行为构建长效稳定奠定物质基础。</w:t>
      </w:r>
    </w:p>
    <w:p w14:paraId="5F656C8E">
      <w:pPr>
        <w:pStyle w:val="53"/>
        <w:spacing w:line="560" w:lineRule="exact"/>
        <w:ind w:left="3" w:right="3" w:firstLine="560"/>
        <w:rPr>
          <w:rFonts w:hint="eastAsia" w:ascii="仿宋_GB2312"/>
          <w:b/>
          <w:bCs/>
          <w:szCs w:val="32"/>
        </w:rPr>
      </w:pPr>
      <w:r>
        <w:rPr>
          <w:rFonts w:hint="eastAsia" w:ascii="仿宋_GB2312"/>
          <w:b/>
          <w:bCs/>
          <w:szCs w:val="32"/>
        </w:rPr>
        <w:t>（四）存在的问题</w:t>
      </w:r>
    </w:p>
    <w:p w14:paraId="330B8366">
      <w:pPr>
        <w:pStyle w:val="53"/>
        <w:spacing w:line="560" w:lineRule="exact"/>
        <w:ind w:left="3" w:right="3" w:firstLine="560"/>
        <w:rPr>
          <w:rFonts w:hint="eastAsia" w:ascii="仿宋_GB2312"/>
          <w:szCs w:val="32"/>
        </w:rPr>
      </w:pPr>
      <w:r>
        <w:rPr>
          <w:rFonts w:hint="eastAsia" w:ascii="仿宋_GB2312"/>
          <w:szCs w:val="32"/>
          <w:lang w:val="en-US" w:eastAsia="zh-CN"/>
        </w:rPr>
        <w:t>2024年土地碎片化治理项目（阿热勒乡）</w:t>
      </w:r>
      <w:r>
        <w:rPr>
          <w:rFonts w:hint="eastAsia" w:ascii="仿宋_GB2312"/>
          <w:szCs w:val="32"/>
        </w:rPr>
        <w:t>资金安排、使用过程中存在一些问题，主要是资金申报，审批，发放过程中存在对资金拨付缓慢问题。</w:t>
      </w:r>
    </w:p>
    <w:p w14:paraId="1FA22359">
      <w:pPr>
        <w:pStyle w:val="53"/>
        <w:spacing w:line="560" w:lineRule="exact"/>
        <w:ind w:left="3" w:right="3" w:firstLine="560"/>
        <w:rPr>
          <w:rFonts w:hint="eastAsia" w:ascii="仿宋_GB2312"/>
          <w:b/>
          <w:bCs/>
          <w:szCs w:val="32"/>
        </w:rPr>
      </w:pPr>
      <w:r>
        <w:rPr>
          <w:rFonts w:hint="eastAsia" w:ascii="仿宋_GB2312"/>
          <w:b/>
          <w:bCs/>
          <w:szCs w:val="32"/>
        </w:rPr>
        <w:t>（五）建议</w:t>
      </w:r>
    </w:p>
    <w:p w14:paraId="7B801076">
      <w:pPr>
        <w:pStyle w:val="53"/>
        <w:spacing w:line="560" w:lineRule="exact"/>
        <w:ind w:left="3" w:right="3" w:firstLine="560"/>
        <w:rPr>
          <w:rFonts w:hint="eastAsia" w:ascii="仿宋_GB2312"/>
          <w:szCs w:val="32"/>
        </w:rPr>
      </w:pPr>
      <w:r>
        <w:rPr>
          <w:rFonts w:hint="eastAsia" w:ascii="仿宋_GB2312"/>
          <w:szCs w:val="32"/>
        </w:rPr>
        <w:t>后续要加强项目资金监督力度，严格执行乡村振兴项目资金管理制度，确保乡村振兴项目正常运行。建立健全资产管理体制和运行机制，持续发挥资产扶持效益，确保资产运行安全，管理高效；为构建长效稳定的乡村振兴环境奠定物质基础。</w:t>
      </w:r>
    </w:p>
    <w:p w14:paraId="632E8E38">
      <w:pPr>
        <w:pStyle w:val="53"/>
        <w:spacing w:line="560" w:lineRule="exact"/>
        <w:ind w:left="3" w:right="3" w:firstLine="560"/>
        <w:rPr>
          <w:rFonts w:hint="eastAsia" w:ascii="仿宋_GB2312"/>
          <w:b/>
          <w:bCs/>
          <w:szCs w:val="32"/>
        </w:rPr>
      </w:pPr>
      <w:r>
        <w:rPr>
          <w:rFonts w:hint="eastAsia" w:ascii="仿宋_GB2312"/>
          <w:b/>
          <w:bCs/>
          <w:szCs w:val="32"/>
        </w:rPr>
        <w:t>（六）项目绩效公告公示情况</w:t>
      </w:r>
    </w:p>
    <w:p w14:paraId="6160CFC0">
      <w:pPr>
        <w:pStyle w:val="53"/>
        <w:spacing w:line="560" w:lineRule="exact"/>
        <w:ind w:left="3" w:right="3" w:firstLine="560"/>
        <w:rPr>
          <w:rFonts w:hint="eastAsia" w:ascii="仿宋_GB2312"/>
          <w:szCs w:val="32"/>
        </w:rPr>
      </w:pPr>
      <w:r>
        <w:rPr>
          <w:rFonts w:hint="eastAsia" w:ascii="仿宋_GB2312"/>
          <w:szCs w:val="32"/>
        </w:rPr>
        <w:t>项目按照项目公告公示规定要求，完成项目前期公开、项目建设期公开，项目竣工后公开，通过张榜公示向社会公开，接受社会监督。同时，通过门户网站，对项目绩效情况进行公示。</w:t>
      </w:r>
    </w:p>
    <w:sectPr>
      <w:headerReference r:id="rId3" w:type="default"/>
      <w:footerReference r:id="rId4" w:type="default"/>
      <w:pgSz w:w="11906" w:h="16838"/>
      <w:pgMar w:top="1985" w:right="1134" w:bottom="1134" w:left="1701" w:header="737" w:footer="737" w:gutter="0"/>
      <w:pgNumType w:start="0"/>
      <w:cols w:space="425"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大标宋简体">
    <w:altName w:val="Arial Unicode MS"/>
    <w:panose1 w:val="02010601030101010101"/>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43567469"/>
      <w:docPartObj>
        <w:docPartGallery w:val="autotext"/>
      </w:docPartObj>
    </w:sdtPr>
    <w:sdtContent>
      <w:p w14:paraId="68C00555">
        <w:pPr>
          <w:pStyle w:val="14"/>
          <w:jc w:val="center"/>
        </w:pPr>
        <w:r>
          <w:fldChar w:fldCharType="begin"/>
        </w:r>
        <w:r>
          <w:instrText xml:space="preserve">PAGE   \* MERGEFORMAT</w:instrText>
        </w:r>
        <w:r>
          <w:fldChar w:fldCharType="separate"/>
        </w:r>
        <w:r>
          <w:rPr>
            <w:lang w:val="zh-CN"/>
          </w:rPr>
          <w:t>1</w:t>
        </w:r>
        <w:r>
          <w:fldChar w:fldCharType="end"/>
        </w:r>
      </w:p>
    </w:sdtContent>
  </w:sdt>
  <w:p w14:paraId="384BE77B">
    <w:pPr>
      <w:pStyle w:val="1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A385BE">
    <w:pPr>
      <w:pStyle w:val="1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SnapToGridInCell/>
    <w:doNotWrapTextWithPunct/>
    <w:doNotUseEastAsianBreakRules/>
    <w:growAutofit/>
    <w:useFELayout/>
    <w:doNotUseIndentAsNumberingTabStop/>
    <w:compatSetting w:name="compatibilityMode" w:uri="http://schemas.microsoft.com/office/word" w:val="14"/>
  </w:compat>
  <w:docVars>
    <w:docVar w:name="commondata" w:val="eyJoZGlkIjoiY2RlOGExMTJjOWFmYjNiZTJjMWUwNDM2NWFmZTM5NmEifQ=="/>
  </w:docVars>
  <w:rsids>
    <w:rsidRoot w:val="00B312FC"/>
    <w:rsid w:val="00005A8B"/>
    <w:rsid w:val="000260F1"/>
    <w:rsid w:val="00026982"/>
    <w:rsid w:val="00044E24"/>
    <w:rsid w:val="00054312"/>
    <w:rsid w:val="00071ED9"/>
    <w:rsid w:val="00080041"/>
    <w:rsid w:val="00083077"/>
    <w:rsid w:val="00091C2E"/>
    <w:rsid w:val="000970E2"/>
    <w:rsid w:val="000A3F8B"/>
    <w:rsid w:val="000B68C8"/>
    <w:rsid w:val="000E0477"/>
    <w:rsid w:val="000F003D"/>
    <w:rsid w:val="000F5BA4"/>
    <w:rsid w:val="001302C1"/>
    <w:rsid w:val="001529B8"/>
    <w:rsid w:val="001C12C9"/>
    <w:rsid w:val="001C5A74"/>
    <w:rsid w:val="001D0046"/>
    <w:rsid w:val="001D7871"/>
    <w:rsid w:val="001F0A88"/>
    <w:rsid w:val="002073D6"/>
    <w:rsid w:val="00216DCD"/>
    <w:rsid w:val="002356F3"/>
    <w:rsid w:val="00237DAC"/>
    <w:rsid w:val="00243713"/>
    <w:rsid w:val="0025219B"/>
    <w:rsid w:val="002746C2"/>
    <w:rsid w:val="0028360D"/>
    <w:rsid w:val="002A49E9"/>
    <w:rsid w:val="002B362C"/>
    <w:rsid w:val="002C1B5A"/>
    <w:rsid w:val="002C23DB"/>
    <w:rsid w:val="002C6622"/>
    <w:rsid w:val="00303872"/>
    <w:rsid w:val="00343C8B"/>
    <w:rsid w:val="0035619D"/>
    <w:rsid w:val="0036579B"/>
    <w:rsid w:val="0037545E"/>
    <w:rsid w:val="003B103E"/>
    <w:rsid w:val="003B2066"/>
    <w:rsid w:val="003B45C2"/>
    <w:rsid w:val="003D6089"/>
    <w:rsid w:val="003F7CD3"/>
    <w:rsid w:val="00402821"/>
    <w:rsid w:val="00407329"/>
    <w:rsid w:val="0042774A"/>
    <w:rsid w:val="00433105"/>
    <w:rsid w:val="0043529B"/>
    <w:rsid w:val="00444004"/>
    <w:rsid w:val="004447F6"/>
    <w:rsid w:val="00452A7B"/>
    <w:rsid w:val="004765F9"/>
    <w:rsid w:val="004D19E3"/>
    <w:rsid w:val="004E156F"/>
    <w:rsid w:val="004F278C"/>
    <w:rsid w:val="004F71F5"/>
    <w:rsid w:val="00502531"/>
    <w:rsid w:val="005033D8"/>
    <w:rsid w:val="00545496"/>
    <w:rsid w:val="005469CF"/>
    <w:rsid w:val="00561ADC"/>
    <w:rsid w:val="005B4348"/>
    <w:rsid w:val="005B7749"/>
    <w:rsid w:val="005D7C18"/>
    <w:rsid w:val="005F7D5D"/>
    <w:rsid w:val="00600873"/>
    <w:rsid w:val="00601C6E"/>
    <w:rsid w:val="00607547"/>
    <w:rsid w:val="00642C18"/>
    <w:rsid w:val="00696A43"/>
    <w:rsid w:val="006C2EB3"/>
    <w:rsid w:val="006F23BE"/>
    <w:rsid w:val="00704F2C"/>
    <w:rsid w:val="00713A95"/>
    <w:rsid w:val="007658DB"/>
    <w:rsid w:val="007F690F"/>
    <w:rsid w:val="0080022F"/>
    <w:rsid w:val="0081784A"/>
    <w:rsid w:val="008703E2"/>
    <w:rsid w:val="00897839"/>
    <w:rsid w:val="008A3305"/>
    <w:rsid w:val="008A49C0"/>
    <w:rsid w:val="008B044F"/>
    <w:rsid w:val="008B4230"/>
    <w:rsid w:val="008B6B8E"/>
    <w:rsid w:val="008C3F3B"/>
    <w:rsid w:val="0091422D"/>
    <w:rsid w:val="0093300C"/>
    <w:rsid w:val="00941946"/>
    <w:rsid w:val="0094736A"/>
    <w:rsid w:val="00956D07"/>
    <w:rsid w:val="009C105D"/>
    <w:rsid w:val="009C2529"/>
    <w:rsid w:val="009D11ED"/>
    <w:rsid w:val="00A1755C"/>
    <w:rsid w:val="00A20A41"/>
    <w:rsid w:val="00A233B8"/>
    <w:rsid w:val="00A2767E"/>
    <w:rsid w:val="00A2793F"/>
    <w:rsid w:val="00A416AC"/>
    <w:rsid w:val="00A43B47"/>
    <w:rsid w:val="00A71644"/>
    <w:rsid w:val="00A75331"/>
    <w:rsid w:val="00AA0053"/>
    <w:rsid w:val="00AB4406"/>
    <w:rsid w:val="00B312FC"/>
    <w:rsid w:val="00B322F0"/>
    <w:rsid w:val="00B455F6"/>
    <w:rsid w:val="00B516E9"/>
    <w:rsid w:val="00B606E1"/>
    <w:rsid w:val="00B77438"/>
    <w:rsid w:val="00B94447"/>
    <w:rsid w:val="00BB1ADD"/>
    <w:rsid w:val="00BC59F8"/>
    <w:rsid w:val="00BD5077"/>
    <w:rsid w:val="00BF0294"/>
    <w:rsid w:val="00C36832"/>
    <w:rsid w:val="00C36FD3"/>
    <w:rsid w:val="00C47EDA"/>
    <w:rsid w:val="00C5126D"/>
    <w:rsid w:val="00C5141C"/>
    <w:rsid w:val="00C5653E"/>
    <w:rsid w:val="00CA0AB1"/>
    <w:rsid w:val="00CD3679"/>
    <w:rsid w:val="00CF170A"/>
    <w:rsid w:val="00CF20B9"/>
    <w:rsid w:val="00D0177C"/>
    <w:rsid w:val="00D026EF"/>
    <w:rsid w:val="00D157F5"/>
    <w:rsid w:val="00D67F10"/>
    <w:rsid w:val="00D775A1"/>
    <w:rsid w:val="00DB1673"/>
    <w:rsid w:val="00DC00CB"/>
    <w:rsid w:val="00DE5C9F"/>
    <w:rsid w:val="00E20066"/>
    <w:rsid w:val="00E215D5"/>
    <w:rsid w:val="00E231E6"/>
    <w:rsid w:val="00E35D4C"/>
    <w:rsid w:val="00E36AF4"/>
    <w:rsid w:val="00E417AF"/>
    <w:rsid w:val="00E5760D"/>
    <w:rsid w:val="00E62F01"/>
    <w:rsid w:val="00E65E86"/>
    <w:rsid w:val="00E66C44"/>
    <w:rsid w:val="00E72FF5"/>
    <w:rsid w:val="00E952C7"/>
    <w:rsid w:val="00EB734B"/>
    <w:rsid w:val="00EE2F0B"/>
    <w:rsid w:val="00F4497B"/>
    <w:rsid w:val="00F52D23"/>
    <w:rsid w:val="00F66291"/>
    <w:rsid w:val="00F66C47"/>
    <w:rsid w:val="00F702E1"/>
    <w:rsid w:val="00F74F64"/>
    <w:rsid w:val="00F75FFF"/>
    <w:rsid w:val="00F83581"/>
    <w:rsid w:val="00FB7553"/>
    <w:rsid w:val="00FC26DC"/>
    <w:rsid w:val="00FD470D"/>
    <w:rsid w:val="00FD4E1C"/>
    <w:rsid w:val="00FD65BA"/>
    <w:rsid w:val="00FE1B50"/>
    <w:rsid w:val="00FF1109"/>
    <w:rsid w:val="023D5371"/>
    <w:rsid w:val="1C5F19D6"/>
    <w:rsid w:val="1E545693"/>
    <w:rsid w:val="33F004F8"/>
    <w:rsid w:val="38326354"/>
    <w:rsid w:val="3AB1338A"/>
    <w:rsid w:val="3BC46D08"/>
    <w:rsid w:val="3E982E81"/>
    <w:rsid w:val="41505AA9"/>
    <w:rsid w:val="47C67388"/>
    <w:rsid w:val="48790E7B"/>
    <w:rsid w:val="497F0713"/>
    <w:rsid w:val="51487A9F"/>
    <w:rsid w:val="5D5B4D73"/>
    <w:rsid w:val="6160241D"/>
    <w:rsid w:val="618434B7"/>
    <w:rsid w:val="61F37712"/>
    <w:rsid w:val="6F4A25DE"/>
    <w:rsid w:val="77405FA2"/>
    <w:rsid w:val="7D9853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default" w:eastAsia="楷体_GB2312" w:asciiTheme="minorHAnsi" w:hAnsiTheme="minorHAnsi" w:cstheme="minorBidi"/>
      <w:kern w:val="2"/>
      <w:sz w:val="32"/>
      <w:szCs w:val="22"/>
      <w:lang w:val="en-US" w:eastAsia="zh-CN" w:bidi="ar-SA"/>
    </w:rPr>
  </w:style>
  <w:style w:type="paragraph" w:styleId="2">
    <w:name w:val="heading 1"/>
    <w:basedOn w:val="1"/>
    <w:next w:val="1"/>
    <w:link w:val="22"/>
    <w:qFormat/>
    <w:uiPriority w:val="9"/>
    <w:pPr>
      <w:keepNext/>
      <w:keepLines/>
      <w:spacing w:before="340" w:after="330" w:line="576" w:lineRule="auto"/>
      <w:outlineLvl w:val="0"/>
    </w:pPr>
    <w:rPr>
      <w:rFonts w:cs="宋体"/>
      <w:b/>
      <w:bCs/>
      <w:kern w:val="44"/>
      <w:sz w:val="44"/>
      <w:szCs w:val="44"/>
    </w:rPr>
  </w:style>
  <w:style w:type="paragraph" w:styleId="3">
    <w:name w:val="heading 2"/>
    <w:basedOn w:val="1"/>
    <w:next w:val="1"/>
    <w:link w:val="23"/>
    <w:qFormat/>
    <w:uiPriority w:val="9"/>
    <w:pPr>
      <w:keepNext/>
      <w:keepLines/>
      <w:spacing w:before="260" w:after="260" w:line="415" w:lineRule="auto"/>
      <w:outlineLvl w:val="1"/>
    </w:pPr>
    <w:rPr>
      <w:rFonts w:asciiTheme="majorHAnsi" w:hAnsiTheme="majorHAnsi" w:eastAsiaTheme="majorEastAsia" w:cstheme="majorBidi"/>
      <w:b/>
      <w:bCs/>
      <w:szCs w:val="32"/>
    </w:rPr>
  </w:style>
  <w:style w:type="paragraph" w:styleId="4">
    <w:name w:val="heading 3"/>
    <w:basedOn w:val="1"/>
    <w:next w:val="1"/>
    <w:link w:val="24"/>
    <w:qFormat/>
    <w:uiPriority w:val="9"/>
    <w:pPr>
      <w:keepNext/>
      <w:keepLines/>
      <w:spacing w:before="260" w:after="260" w:line="415" w:lineRule="auto"/>
      <w:outlineLvl w:val="2"/>
    </w:pPr>
    <w:rPr>
      <w:rFonts w:cs="宋体"/>
      <w:b/>
      <w:bCs/>
      <w:szCs w:val="32"/>
    </w:rPr>
  </w:style>
  <w:style w:type="paragraph" w:styleId="5">
    <w:name w:val="heading 4"/>
    <w:basedOn w:val="1"/>
    <w:next w:val="1"/>
    <w:link w:val="25"/>
    <w:qFormat/>
    <w:uiPriority w:val="9"/>
    <w:pPr>
      <w:keepNext/>
      <w:keepLines/>
      <w:spacing w:before="280" w:after="290" w:line="374" w:lineRule="auto"/>
      <w:outlineLvl w:val="3"/>
    </w:pPr>
    <w:rPr>
      <w:rFonts w:asciiTheme="majorHAnsi" w:hAnsiTheme="majorHAnsi" w:eastAsiaTheme="majorEastAsia" w:cstheme="majorBidi"/>
      <w:b/>
      <w:bCs/>
      <w:sz w:val="28"/>
      <w:szCs w:val="28"/>
    </w:rPr>
  </w:style>
  <w:style w:type="paragraph" w:styleId="6">
    <w:name w:val="heading 5"/>
    <w:basedOn w:val="1"/>
    <w:next w:val="1"/>
    <w:link w:val="26"/>
    <w:qFormat/>
    <w:uiPriority w:val="9"/>
    <w:pPr>
      <w:keepNext/>
      <w:keepLines/>
      <w:spacing w:before="280" w:after="290" w:line="374" w:lineRule="auto"/>
      <w:outlineLvl w:val="4"/>
    </w:pPr>
    <w:rPr>
      <w:rFonts w:cs="宋体"/>
      <w:b/>
      <w:bCs/>
      <w:sz w:val="28"/>
      <w:szCs w:val="28"/>
    </w:rPr>
  </w:style>
  <w:style w:type="paragraph" w:styleId="7">
    <w:name w:val="heading 6"/>
    <w:basedOn w:val="1"/>
    <w:next w:val="1"/>
    <w:link w:val="37"/>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63"/>
    <w:qFormat/>
    <w:uiPriority w:val="9"/>
    <w:pPr>
      <w:keepNext/>
      <w:keepLines/>
      <w:spacing w:before="240" w:after="64" w:line="320" w:lineRule="auto"/>
      <w:outlineLvl w:val="6"/>
    </w:pPr>
    <w:rPr>
      <w:b/>
      <w:bCs/>
      <w:sz w:val="24"/>
      <w:szCs w:val="24"/>
    </w:rPr>
  </w:style>
  <w:style w:type="paragraph" w:styleId="9">
    <w:name w:val="heading 8"/>
    <w:basedOn w:val="1"/>
    <w:next w:val="1"/>
    <w:link w:val="64"/>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paragraph" w:styleId="10">
    <w:name w:val="heading 9"/>
    <w:basedOn w:val="1"/>
    <w:next w:val="1"/>
    <w:link w:val="65"/>
    <w:qFormat/>
    <w:uiPriority w:val="9"/>
    <w:pPr>
      <w:keepNext/>
      <w:keepLines/>
      <w:spacing w:before="240" w:after="64" w:line="320" w:lineRule="auto"/>
      <w:outlineLvl w:val="8"/>
    </w:pPr>
    <w:rPr>
      <w:rFonts w:asciiTheme="majorHAnsi" w:hAnsiTheme="majorHAnsi" w:eastAsiaTheme="majorEastAsia" w:cstheme="majorBidi"/>
      <w:szCs w:val="21"/>
    </w:rPr>
  </w:style>
  <w:style w:type="character" w:default="1" w:styleId="19">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68"/>
    <w:semiHidden/>
    <w:unhideWhenUsed/>
    <w:qFormat/>
    <w:uiPriority w:val="99"/>
    <w:pPr>
      <w:jc w:val="left"/>
    </w:pPr>
  </w:style>
  <w:style w:type="paragraph" w:styleId="12">
    <w:name w:val="Body Text"/>
    <w:basedOn w:val="1"/>
    <w:next w:val="1"/>
    <w:qFormat/>
    <w:uiPriority w:val="0"/>
    <w:pPr>
      <w:spacing w:after="120"/>
    </w:pPr>
  </w:style>
  <w:style w:type="paragraph" w:styleId="13">
    <w:name w:val="Balloon Text"/>
    <w:basedOn w:val="1"/>
    <w:link w:val="70"/>
    <w:semiHidden/>
    <w:unhideWhenUsed/>
    <w:qFormat/>
    <w:uiPriority w:val="99"/>
    <w:rPr>
      <w:sz w:val="18"/>
      <w:szCs w:val="18"/>
    </w:rPr>
  </w:style>
  <w:style w:type="paragraph" w:styleId="14">
    <w:name w:val="footer"/>
    <w:basedOn w:val="1"/>
    <w:link w:val="67"/>
    <w:unhideWhenUsed/>
    <w:qFormat/>
    <w:uiPriority w:val="99"/>
    <w:pPr>
      <w:tabs>
        <w:tab w:val="center" w:pos="4153"/>
        <w:tab w:val="right" w:pos="8306"/>
      </w:tabs>
      <w:snapToGrid w:val="0"/>
      <w:jc w:val="left"/>
    </w:pPr>
    <w:rPr>
      <w:sz w:val="18"/>
      <w:szCs w:val="18"/>
    </w:rPr>
  </w:style>
  <w:style w:type="paragraph" w:styleId="15">
    <w:name w:val="header"/>
    <w:basedOn w:val="1"/>
    <w:link w:val="66"/>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7">
    <w:name w:val="annotation subject"/>
    <w:basedOn w:val="11"/>
    <w:next w:val="11"/>
    <w:link w:val="69"/>
    <w:semiHidden/>
    <w:unhideWhenUsed/>
    <w:qFormat/>
    <w:uiPriority w:val="99"/>
    <w:rPr>
      <w:b/>
      <w:bCs/>
    </w:rPr>
  </w:style>
  <w:style w:type="character" w:styleId="20">
    <w:name w:val="Strong"/>
    <w:basedOn w:val="19"/>
    <w:qFormat/>
    <w:uiPriority w:val="0"/>
    <w:rPr>
      <w:b/>
      <w:bCs/>
    </w:rPr>
  </w:style>
  <w:style w:type="character" w:styleId="21">
    <w:name w:val="annotation reference"/>
    <w:basedOn w:val="19"/>
    <w:semiHidden/>
    <w:unhideWhenUsed/>
    <w:qFormat/>
    <w:uiPriority w:val="99"/>
    <w:rPr>
      <w:sz w:val="21"/>
      <w:szCs w:val="21"/>
    </w:rPr>
  </w:style>
  <w:style w:type="character" w:customStyle="1" w:styleId="22">
    <w:name w:val="标题 1 Char"/>
    <w:basedOn w:val="19"/>
    <w:link w:val="2"/>
    <w:qFormat/>
    <w:locked/>
    <w:uiPriority w:val="9"/>
    <w:rPr>
      <w:b/>
      <w:bCs/>
      <w:kern w:val="44"/>
      <w:sz w:val="44"/>
      <w:szCs w:val="44"/>
    </w:rPr>
  </w:style>
  <w:style w:type="character" w:customStyle="1" w:styleId="23">
    <w:name w:val="标题 2 Char"/>
    <w:basedOn w:val="19"/>
    <w:link w:val="3"/>
    <w:semiHidden/>
    <w:qFormat/>
    <w:locked/>
    <w:uiPriority w:val="9"/>
    <w:rPr>
      <w:rFonts w:hint="eastAsia" w:asciiTheme="majorHAnsi" w:hAnsiTheme="majorHAnsi" w:eastAsiaTheme="majorEastAsia" w:cstheme="majorBidi"/>
      <w:b/>
      <w:bCs/>
      <w:sz w:val="32"/>
      <w:szCs w:val="32"/>
    </w:rPr>
  </w:style>
  <w:style w:type="character" w:customStyle="1" w:styleId="24">
    <w:name w:val="标题 3 Char"/>
    <w:basedOn w:val="19"/>
    <w:link w:val="4"/>
    <w:semiHidden/>
    <w:qFormat/>
    <w:locked/>
    <w:uiPriority w:val="9"/>
    <w:rPr>
      <w:b/>
      <w:bCs/>
      <w:sz w:val="32"/>
      <w:szCs w:val="32"/>
    </w:rPr>
  </w:style>
  <w:style w:type="character" w:customStyle="1" w:styleId="25">
    <w:name w:val="标题 4 Char"/>
    <w:basedOn w:val="19"/>
    <w:link w:val="5"/>
    <w:semiHidden/>
    <w:qFormat/>
    <w:locked/>
    <w:uiPriority w:val="9"/>
    <w:rPr>
      <w:rFonts w:hint="eastAsia" w:asciiTheme="majorHAnsi" w:hAnsiTheme="majorHAnsi" w:eastAsiaTheme="majorEastAsia" w:cstheme="majorBidi"/>
      <w:b/>
      <w:bCs/>
      <w:sz w:val="28"/>
      <w:szCs w:val="28"/>
    </w:rPr>
  </w:style>
  <w:style w:type="character" w:customStyle="1" w:styleId="26">
    <w:name w:val="标题 5 Char"/>
    <w:basedOn w:val="19"/>
    <w:link w:val="6"/>
    <w:semiHidden/>
    <w:qFormat/>
    <w:locked/>
    <w:uiPriority w:val="9"/>
    <w:rPr>
      <w:b/>
      <w:bCs/>
      <w:sz w:val="28"/>
      <w:szCs w:val="28"/>
    </w:rPr>
  </w:style>
  <w:style w:type="character" w:customStyle="1" w:styleId="27">
    <w:name w:val="FZ标题1 字符"/>
    <w:basedOn w:val="19"/>
    <w:link w:val="28"/>
    <w:qFormat/>
    <w:locked/>
    <w:uiPriority w:val="0"/>
    <w:rPr>
      <w:rFonts w:hint="eastAsia" w:ascii="宋体" w:hAnsi="宋体" w:eastAsia="宋体"/>
      <w:b/>
      <w:color w:val="000000"/>
      <w:sz w:val="32"/>
    </w:rPr>
  </w:style>
  <w:style w:type="paragraph" w:customStyle="1" w:styleId="28">
    <w:name w:val="FZ标题1"/>
    <w:basedOn w:val="2"/>
    <w:link w:val="27"/>
    <w:qFormat/>
    <w:uiPriority w:val="0"/>
    <w:pPr>
      <w:keepNext w:val="0"/>
      <w:keepLines w:val="0"/>
      <w:snapToGrid w:val="0"/>
      <w:spacing w:before="0" w:after="0" w:line="360" w:lineRule="auto"/>
      <w:ind w:left="1" w:leftChars="1" w:right="1" w:rightChars="1" w:firstLine="1" w:firstLineChars="1"/>
      <w:jc w:val="center"/>
    </w:pPr>
    <w:rPr>
      <w:rFonts w:ascii="宋体" w:hAnsi="宋体" w:eastAsia="宋体" w:cstheme="minorBidi"/>
      <w:bCs w:val="0"/>
      <w:color w:val="000000"/>
      <w:kern w:val="2"/>
      <w:sz w:val="32"/>
      <w:szCs w:val="22"/>
    </w:rPr>
  </w:style>
  <w:style w:type="character" w:customStyle="1" w:styleId="29">
    <w:name w:val="FZ标题2 字符"/>
    <w:basedOn w:val="19"/>
    <w:link w:val="30"/>
    <w:qFormat/>
    <w:locked/>
    <w:uiPriority w:val="0"/>
    <w:rPr>
      <w:rFonts w:eastAsia="黑体"/>
      <w:b/>
      <w:bCs/>
      <w:color w:val="000000"/>
      <w:kern w:val="2"/>
      <w:sz w:val="28"/>
      <w:szCs w:val="44"/>
    </w:rPr>
  </w:style>
  <w:style w:type="paragraph" w:customStyle="1" w:styleId="30">
    <w:name w:val="FZ标题2"/>
    <w:basedOn w:val="3"/>
    <w:link w:val="29"/>
    <w:qFormat/>
    <w:uiPriority w:val="0"/>
    <w:pPr>
      <w:keepNext w:val="0"/>
      <w:keepLines w:val="0"/>
      <w:snapToGrid w:val="0"/>
      <w:spacing w:before="0" w:beforeLines="50" w:after="0" w:line="360" w:lineRule="auto"/>
      <w:ind w:left="1" w:leftChars="1" w:right="1" w:rightChars="1" w:firstLine="1" w:firstLineChars="1"/>
      <w:jc w:val="left"/>
    </w:pPr>
    <w:rPr>
      <w:rFonts w:ascii="宋体" w:hAnsi="宋体" w:eastAsia="黑体" w:cstheme="minorBidi"/>
      <w:color w:val="000000"/>
      <w:sz w:val="28"/>
      <w:szCs w:val="44"/>
    </w:rPr>
  </w:style>
  <w:style w:type="character" w:customStyle="1" w:styleId="31">
    <w:name w:val="FZ标题3 字符"/>
    <w:basedOn w:val="19"/>
    <w:link w:val="32"/>
    <w:qFormat/>
    <w:locked/>
    <w:uiPriority w:val="0"/>
    <w:rPr>
      <w:rFonts w:eastAsia="仿宋_GB2312" w:cstheme="majorBidi"/>
      <w:b/>
      <w:bCs/>
      <w:color w:val="000000"/>
      <w:kern w:val="2"/>
      <w:sz w:val="28"/>
      <w:szCs w:val="32"/>
    </w:rPr>
  </w:style>
  <w:style w:type="paragraph" w:customStyle="1" w:styleId="32">
    <w:name w:val="FZ标题3"/>
    <w:basedOn w:val="4"/>
    <w:link w:val="31"/>
    <w:qFormat/>
    <w:uiPriority w:val="0"/>
    <w:pPr>
      <w:keepNext w:val="0"/>
      <w:keepLines w:val="0"/>
      <w:snapToGrid w:val="0"/>
      <w:spacing w:before="120" w:beforeLines="50" w:after="0" w:line="360" w:lineRule="auto"/>
      <w:ind w:right="3" w:rightChars="1" w:firstLine="281" w:firstLineChars="100"/>
    </w:pPr>
    <w:rPr>
      <w:rFonts w:ascii="宋体" w:hAnsi="宋体" w:eastAsia="仿宋_GB2312" w:cstheme="majorBidi"/>
      <w:color w:val="000000"/>
      <w:sz w:val="28"/>
    </w:rPr>
  </w:style>
  <w:style w:type="character" w:customStyle="1" w:styleId="33">
    <w:name w:val="FZ标题4 字符"/>
    <w:basedOn w:val="19"/>
    <w:link w:val="34"/>
    <w:qFormat/>
    <w:locked/>
    <w:uiPriority w:val="0"/>
    <w:rPr>
      <w:rFonts w:ascii="仿宋_GB2312" w:eastAsia="仿宋_GB2312"/>
      <w:bCs/>
      <w:color w:val="000000"/>
      <w:kern w:val="2"/>
      <w:sz w:val="28"/>
      <w:szCs w:val="32"/>
    </w:rPr>
  </w:style>
  <w:style w:type="paragraph" w:customStyle="1" w:styleId="34">
    <w:name w:val="FZ标题4"/>
    <w:basedOn w:val="5"/>
    <w:link w:val="33"/>
    <w:qFormat/>
    <w:uiPriority w:val="0"/>
    <w:pPr>
      <w:keepNext w:val="0"/>
      <w:keepLines w:val="0"/>
      <w:snapToGrid w:val="0"/>
      <w:spacing w:before="120" w:beforeLines="50" w:after="0" w:line="560" w:lineRule="exact"/>
      <w:ind w:firstLine="560" w:firstLineChars="200"/>
      <w:jc w:val="left"/>
    </w:pPr>
    <w:rPr>
      <w:rFonts w:ascii="仿宋_GB2312" w:hAnsi="宋体" w:eastAsia="仿宋_GB2312" w:cstheme="minorBidi"/>
      <w:b w:val="0"/>
      <w:color w:val="000000"/>
      <w:szCs w:val="32"/>
    </w:rPr>
  </w:style>
  <w:style w:type="character" w:customStyle="1" w:styleId="35">
    <w:name w:val="FZ标题5 字符"/>
    <w:basedOn w:val="19"/>
    <w:link w:val="36"/>
    <w:qFormat/>
    <w:locked/>
    <w:uiPriority w:val="0"/>
    <w:rPr>
      <w:rFonts w:hint="eastAsia" w:ascii="宋体" w:hAnsi="宋体" w:eastAsia="宋体" w:cstheme="majorBidi"/>
      <w:bCs/>
      <w:color w:val="000000"/>
      <w:szCs w:val="28"/>
    </w:rPr>
  </w:style>
  <w:style w:type="paragraph" w:customStyle="1" w:styleId="36">
    <w:name w:val="FZ标题5"/>
    <w:basedOn w:val="6"/>
    <w:link w:val="35"/>
    <w:qFormat/>
    <w:uiPriority w:val="0"/>
    <w:pPr>
      <w:keepNext w:val="0"/>
      <w:keepLines w:val="0"/>
      <w:snapToGrid w:val="0"/>
      <w:spacing w:before="0" w:beforeLines="50" w:after="0" w:line="360" w:lineRule="auto"/>
      <w:ind w:left="1" w:leftChars="1" w:right="1" w:rightChars="1" w:firstLine="200" w:firstLineChars="200"/>
      <w:jc w:val="left"/>
    </w:pPr>
    <w:rPr>
      <w:rFonts w:ascii="宋体" w:hAnsi="宋体" w:eastAsia="宋体" w:cstheme="majorBidi"/>
      <w:b w:val="0"/>
      <w:color w:val="000000"/>
      <w:sz w:val="21"/>
    </w:rPr>
  </w:style>
  <w:style w:type="character" w:customStyle="1" w:styleId="37">
    <w:name w:val="标题 6 Char"/>
    <w:basedOn w:val="19"/>
    <w:link w:val="7"/>
    <w:semiHidden/>
    <w:qFormat/>
    <w:uiPriority w:val="9"/>
    <w:rPr>
      <w:rFonts w:asciiTheme="majorHAnsi" w:hAnsiTheme="majorHAnsi" w:eastAsiaTheme="majorEastAsia" w:cstheme="majorBidi"/>
      <w:b/>
      <w:bCs/>
      <w:kern w:val="2"/>
      <w:sz w:val="24"/>
      <w:szCs w:val="24"/>
    </w:rPr>
  </w:style>
  <w:style w:type="character" w:customStyle="1" w:styleId="38">
    <w:name w:val="FZ标题6 字符"/>
    <w:basedOn w:val="19"/>
    <w:link w:val="39"/>
    <w:qFormat/>
    <w:locked/>
    <w:uiPriority w:val="0"/>
    <w:rPr>
      <w:rFonts w:hint="eastAsia" w:ascii="宋体" w:hAnsi="宋体" w:eastAsia="宋体"/>
      <w:bCs/>
      <w:color w:val="000000"/>
      <w:szCs w:val="28"/>
    </w:rPr>
  </w:style>
  <w:style w:type="paragraph" w:customStyle="1" w:styleId="39">
    <w:name w:val="FZ标题6"/>
    <w:basedOn w:val="7"/>
    <w:link w:val="38"/>
    <w:qFormat/>
    <w:uiPriority w:val="0"/>
    <w:pPr>
      <w:keepNext w:val="0"/>
      <w:keepLines w:val="0"/>
      <w:snapToGrid w:val="0"/>
      <w:spacing w:before="0" w:beforeLines="50" w:after="0" w:line="360" w:lineRule="auto"/>
      <w:ind w:left="1" w:leftChars="1" w:right="1" w:rightChars="1" w:firstLine="200" w:firstLineChars="200"/>
      <w:jc w:val="left"/>
    </w:pPr>
    <w:rPr>
      <w:rFonts w:ascii="宋体" w:hAnsi="宋体" w:eastAsia="宋体" w:cstheme="minorBidi"/>
      <w:b w:val="0"/>
      <w:color w:val="000000"/>
      <w:sz w:val="21"/>
      <w:szCs w:val="28"/>
    </w:rPr>
  </w:style>
  <w:style w:type="character" w:customStyle="1" w:styleId="40">
    <w:name w:val="FZ表格标题行首列 字符"/>
    <w:basedOn w:val="19"/>
    <w:link w:val="41"/>
    <w:qFormat/>
    <w:locked/>
    <w:uiPriority w:val="0"/>
    <w:rPr>
      <w:rFonts w:hint="eastAsia" w:ascii="宋体" w:hAnsi="宋体" w:eastAsia="宋体"/>
      <w:color w:val="000000"/>
      <w:sz w:val="18"/>
    </w:rPr>
  </w:style>
  <w:style w:type="paragraph" w:customStyle="1" w:styleId="41">
    <w:name w:val="FZ表格标题行首列"/>
    <w:basedOn w:val="1"/>
    <w:link w:val="40"/>
    <w:qFormat/>
    <w:uiPriority w:val="0"/>
    <w:pPr>
      <w:snapToGrid w:val="0"/>
      <w:spacing w:before="10" w:after="10"/>
      <w:ind w:left="1" w:leftChars="1" w:right="1" w:rightChars="1" w:firstLine="74" w:firstLineChars="50"/>
      <w:jc w:val="left"/>
    </w:pPr>
    <w:rPr>
      <w:rFonts w:ascii="宋体" w:hAnsi="宋体" w:eastAsia="宋体"/>
      <w:color w:val="000000"/>
      <w:sz w:val="18"/>
    </w:rPr>
  </w:style>
  <w:style w:type="character" w:customStyle="1" w:styleId="42">
    <w:name w:val="FZ表格标题行 字符"/>
    <w:basedOn w:val="19"/>
    <w:link w:val="43"/>
    <w:qFormat/>
    <w:locked/>
    <w:uiPriority w:val="0"/>
    <w:rPr>
      <w:rFonts w:hint="eastAsia" w:ascii="宋体" w:hAnsi="宋体" w:eastAsia="宋体"/>
      <w:color w:val="000000"/>
      <w:sz w:val="18"/>
    </w:rPr>
  </w:style>
  <w:style w:type="paragraph" w:customStyle="1" w:styleId="43">
    <w:name w:val="FZ表格标题行"/>
    <w:basedOn w:val="1"/>
    <w:link w:val="42"/>
    <w:qFormat/>
    <w:uiPriority w:val="0"/>
    <w:pPr>
      <w:snapToGrid w:val="0"/>
      <w:spacing w:before="10" w:after="10"/>
      <w:ind w:left="1" w:leftChars="1" w:right="1" w:rightChars="1" w:firstLine="74" w:firstLineChars="74"/>
      <w:jc w:val="center"/>
    </w:pPr>
    <w:rPr>
      <w:rFonts w:ascii="宋体" w:hAnsi="宋体" w:eastAsia="宋体"/>
      <w:color w:val="000000"/>
      <w:sz w:val="18"/>
    </w:rPr>
  </w:style>
  <w:style w:type="character" w:customStyle="1" w:styleId="44">
    <w:name w:val="FZ表格正文行首列 字符"/>
    <w:basedOn w:val="19"/>
    <w:link w:val="45"/>
    <w:qFormat/>
    <w:locked/>
    <w:uiPriority w:val="0"/>
    <w:rPr>
      <w:rFonts w:hint="eastAsia" w:ascii="宋体" w:hAnsi="宋体" w:eastAsia="宋体"/>
      <w:color w:val="000000"/>
      <w:sz w:val="18"/>
    </w:rPr>
  </w:style>
  <w:style w:type="paragraph" w:customStyle="1" w:styleId="45">
    <w:name w:val="FZ表格正文行首列"/>
    <w:basedOn w:val="1"/>
    <w:link w:val="44"/>
    <w:qFormat/>
    <w:uiPriority w:val="0"/>
    <w:pPr>
      <w:snapToGrid w:val="0"/>
      <w:spacing w:before="10" w:after="10"/>
      <w:ind w:left="1" w:leftChars="1" w:right="1" w:rightChars="1" w:firstLine="50" w:firstLineChars="50"/>
      <w:jc w:val="left"/>
    </w:pPr>
    <w:rPr>
      <w:rFonts w:ascii="宋体" w:hAnsi="宋体" w:eastAsia="宋体"/>
      <w:color w:val="000000"/>
      <w:sz w:val="18"/>
    </w:rPr>
  </w:style>
  <w:style w:type="character" w:customStyle="1" w:styleId="46">
    <w:name w:val="FZ表格正文行 字符"/>
    <w:basedOn w:val="19"/>
    <w:link w:val="47"/>
    <w:qFormat/>
    <w:locked/>
    <w:uiPriority w:val="0"/>
    <w:rPr>
      <w:rFonts w:hint="eastAsia" w:ascii="宋体" w:hAnsi="宋体" w:eastAsia="宋体"/>
      <w:color w:val="000000"/>
      <w:sz w:val="18"/>
    </w:rPr>
  </w:style>
  <w:style w:type="paragraph" w:customStyle="1" w:styleId="47">
    <w:name w:val="FZ表格正文行"/>
    <w:basedOn w:val="1"/>
    <w:link w:val="46"/>
    <w:qFormat/>
    <w:uiPriority w:val="0"/>
    <w:pPr>
      <w:snapToGrid w:val="0"/>
      <w:spacing w:before="10" w:after="10"/>
      <w:ind w:left="1" w:leftChars="1" w:right="1" w:rightChars="50" w:firstLine="74" w:firstLineChars="50"/>
      <w:jc w:val="right"/>
    </w:pPr>
    <w:rPr>
      <w:rFonts w:ascii="Times New Roman" w:hAnsi="Times New Roman" w:eastAsia="宋体"/>
      <w:color w:val="000000"/>
      <w:sz w:val="18"/>
    </w:rPr>
  </w:style>
  <w:style w:type="character" w:customStyle="1" w:styleId="48">
    <w:name w:val="FZ表格合计行首列 字符"/>
    <w:basedOn w:val="19"/>
    <w:link w:val="49"/>
    <w:qFormat/>
    <w:locked/>
    <w:uiPriority w:val="0"/>
    <w:rPr>
      <w:rFonts w:hint="eastAsia" w:ascii="宋体" w:hAnsi="宋体" w:eastAsia="宋体"/>
      <w:color w:val="000000"/>
      <w:sz w:val="18"/>
    </w:rPr>
  </w:style>
  <w:style w:type="paragraph" w:customStyle="1" w:styleId="49">
    <w:name w:val="FZ表格合计行首列"/>
    <w:basedOn w:val="1"/>
    <w:link w:val="48"/>
    <w:qFormat/>
    <w:uiPriority w:val="0"/>
    <w:pPr>
      <w:snapToGrid w:val="0"/>
      <w:spacing w:before="10" w:after="10"/>
      <w:ind w:left="1" w:leftChars="1" w:right="1" w:rightChars="1" w:firstLine="74" w:firstLineChars="74"/>
      <w:jc w:val="center"/>
    </w:pPr>
    <w:rPr>
      <w:rFonts w:ascii="宋体" w:hAnsi="宋体" w:eastAsia="宋体"/>
      <w:color w:val="000000"/>
      <w:sz w:val="18"/>
    </w:rPr>
  </w:style>
  <w:style w:type="character" w:customStyle="1" w:styleId="50">
    <w:name w:val="FZ表格合计行 字符"/>
    <w:basedOn w:val="19"/>
    <w:link w:val="51"/>
    <w:qFormat/>
    <w:locked/>
    <w:uiPriority w:val="0"/>
    <w:rPr>
      <w:rFonts w:hint="eastAsia" w:ascii="宋体" w:hAnsi="宋体" w:eastAsia="宋体"/>
      <w:color w:val="000000"/>
      <w:sz w:val="18"/>
    </w:rPr>
  </w:style>
  <w:style w:type="paragraph" w:customStyle="1" w:styleId="51">
    <w:name w:val="FZ表格合计行"/>
    <w:basedOn w:val="1"/>
    <w:link w:val="50"/>
    <w:qFormat/>
    <w:uiPriority w:val="0"/>
    <w:pPr>
      <w:snapToGrid w:val="0"/>
      <w:spacing w:before="10" w:after="10"/>
      <w:ind w:left="1" w:leftChars="1" w:right="1" w:rightChars="1" w:firstLine="74"/>
      <w:jc w:val="right"/>
    </w:pPr>
    <w:rPr>
      <w:rFonts w:ascii="Times New Roman" w:hAnsi="Times New Roman" w:eastAsia="宋体"/>
      <w:color w:val="000000"/>
      <w:sz w:val="18"/>
    </w:rPr>
  </w:style>
  <w:style w:type="character" w:customStyle="1" w:styleId="52">
    <w:name w:val="FZ正文 字符"/>
    <w:basedOn w:val="19"/>
    <w:link w:val="53"/>
    <w:qFormat/>
    <w:locked/>
    <w:uiPriority w:val="0"/>
    <w:rPr>
      <w:rFonts w:ascii="Times New Roman" w:hAnsi="Times New Roman" w:eastAsia="仿宋_GB2312" w:cs="Times New Roman"/>
      <w:color w:val="000000"/>
      <w:kern w:val="2"/>
      <w:sz w:val="28"/>
      <w:szCs w:val="22"/>
    </w:rPr>
  </w:style>
  <w:style w:type="paragraph" w:customStyle="1" w:styleId="53">
    <w:name w:val="FZ正文"/>
    <w:basedOn w:val="1"/>
    <w:link w:val="52"/>
    <w:qFormat/>
    <w:uiPriority w:val="0"/>
    <w:pPr>
      <w:snapToGrid w:val="0"/>
      <w:spacing w:line="360" w:lineRule="auto"/>
      <w:ind w:left="1" w:leftChars="1" w:right="1" w:rightChars="1" w:firstLine="200" w:firstLineChars="200"/>
    </w:pPr>
    <w:rPr>
      <w:rFonts w:ascii="Times New Roman" w:hAnsi="Times New Roman" w:eastAsia="仿宋_GB2312" w:cs="Times New Roman"/>
      <w:color w:val="000000"/>
      <w:sz w:val="28"/>
    </w:rPr>
  </w:style>
  <w:style w:type="character" w:customStyle="1" w:styleId="54">
    <w:name w:val="FZ副标题 字符"/>
    <w:basedOn w:val="19"/>
    <w:link w:val="55"/>
    <w:qFormat/>
    <w:locked/>
    <w:uiPriority w:val="0"/>
    <w:rPr>
      <w:rFonts w:hint="eastAsia" w:ascii="宋体" w:hAnsi="宋体" w:eastAsia="宋体"/>
      <w:color w:val="000000"/>
    </w:rPr>
  </w:style>
  <w:style w:type="paragraph" w:customStyle="1" w:styleId="55">
    <w:name w:val="FZ副标题"/>
    <w:basedOn w:val="1"/>
    <w:link w:val="54"/>
    <w:qFormat/>
    <w:uiPriority w:val="0"/>
    <w:pPr>
      <w:snapToGrid w:val="0"/>
      <w:spacing w:beforeLines="50"/>
      <w:ind w:left="1" w:leftChars="1" w:right="1" w:rightChars="1" w:firstLine="1" w:firstLineChars="1"/>
      <w:jc w:val="center"/>
    </w:pPr>
    <w:rPr>
      <w:rFonts w:ascii="宋体" w:hAnsi="宋体" w:eastAsia="宋体"/>
      <w:color w:val="000000"/>
    </w:rPr>
  </w:style>
  <w:style w:type="character" w:customStyle="1" w:styleId="56">
    <w:name w:val="FZ落款 字符"/>
    <w:basedOn w:val="19"/>
    <w:link w:val="57"/>
    <w:qFormat/>
    <w:locked/>
    <w:uiPriority w:val="0"/>
    <w:rPr>
      <w:rFonts w:hint="eastAsia" w:ascii="宋体" w:hAnsi="宋体" w:eastAsia="宋体"/>
      <w:color w:val="000000"/>
    </w:rPr>
  </w:style>
  <w:style w:type="paragraph" w:customStyle="1" w:styleId="57">
    <w:name w:val="FZ落款"/>
    <w:basedOn w:val="1"/>
    <w:link w:val="56"/>
    <w:qFormat/>
    <w:uiPriority w:val="0"/>
    <w:pPr>
      <w:snapToGrid w:val="0"/>
      <w:spacing w:beforeLines="50" w:line="360" w:lineRule="auto"/>
      <w:ind w:left="1" w:leftChars="1" w:right="1" w:rightChars="1" w:firstLine="1500" w:firstLineChars="1500"/>
      <w:jc w:val="center"/>
    </w:pPr>
    <w:rPr>
      <w:rFonts w:ascii="宋体" w:hAnsi="宋体" w:eastAsia="宋体"/>
      <w:color w:val="000000"/>
    </w:rPr>
  </w:style>
  <w:style w:type="character" w:customStyle="1" w:styleId="58">
    <w:name w:val="FZ注释 字符"/>
    <w:basedOn w:val="19"/>
    <w:link w:val="59"/>
    <w:qFormat/>
    <w:locked/>
    <w:uiPriority w:val="0"/>
    <w:rPr>
      <w:rFonts w:hint="eastAsia" w:ascii="宋体" w:hAnsi="宋体" w:eastAsia="宋体"/>
      <w:color w:val="000000"/>
      <w:sz w:val="18"/>
    </w:rPr>
  </w:style>
  <w:style w:type="paragraph" w:customStyle="1" w:styleId="59">
    <w:name w:val="FZ注释"/>
    <w:basedOn w:val="1"/>
    <w:link w:val="58"/>
    <w:qFormat/>
    <w:uiPriority w:val="0"/>
    <w:pPr>
      <w:snapToGrid w:val="0"/>
      <w:spacing w:before="10" w:after="10"/>
      <w:ind w:left="1" w:leftChars="1" w:right="1" w:rightChars="1" w:firstLine="74" w:firstLineChars="74"/>
      <w:jc w:val="left"/>
    </w:pPr>
    <w:rPr>
      <w:rFonts w:ascii="宋体" w:hAnsi="宋体" w:eastAsia="宋体"/>
      <w:color w:val="000000"/>
      <w:sz w:val="18"/>
    </w:rPr>
  </w:style>
  <w:style w:type="character" w:customStyle="1" w:styleId="60">
    <w:name w:val="FZ小标题 字符"/>
    <w:basedOn w:val="19"/>
    <w:link w:val="61"/>
    <w:qFormat/>
    <w:locked/>
    <w:uiPriority w:val="0"/>
    <w:rPr>
      <w:rFonts w:hint="eastAsia" w:ascii="宋体" w:hAnsi="宋体" w:eastAsia="宋体"/>
      <w:color w:val="000000"/>
      <w:sz w:val="18"/>
    </w:rPr>
  </w:style>
  <w:style w:type="paragraph" w:customStyle="1" w:styleId="61">
    <w:name w:val="FZ小标题"/>
    <w:basedOn w:val="1"/>
    <w:link w:val="60"/>
    <w:qFormat/>
    <w:uiPriority w:val="0"/>
    <w:pPr>
      <w:snapToGrid w:val="0"/>
      <w:spacing w:before="10" w:after="10"/>
      <w:ind w:left="1" w:leftChars="1" w:right="1" w:rightChars="1" w:firstLine="74" w:firstLineChars="74"/>
      <w:jc w:val="left"/>
    </w:pPr>
    <w:rPr>
      <w:rFonts w:ascii="宋体" w:hAnsi="宋体" w:eastAsia="宋体"/>
      <w:color w:val="000000"/>
      <w:sz w:val="18"/>
    </w:rPr>
  </w:style>
  <w:style w:type="paragraph" w:customStyle="1" w:styleId="62">
    <w:name w:val="tbtd"/>
    <w:basedOn w:val="1"/>
    <w:qFormat/>
    <w:uiPriority w:val="0"/>
    <w:pPr>
      <w:widowControl/>
      <w:pBdr>
        <w:top w:val="single" w:color="000000" w:sz="4" w:space="0"/>
        <w:left w:val="single" w:color="000000" w:sz="4" w:space="0"/>
        <w:bottom w:val="single" w:color="000000" w:sz="4" w:space="0"/>
        <w:right w:val="single" w:color="000000" w:sz="4" w:space="0"/>
      </w:pBdr>
      <w:shd w:val="clear" w:color="auto" w:fill="FFFFFF"/>
      <w:spacing w:before="100" w:beforeAutospacing="1" w:after="100" w:afterAutospacing="1"/>
      <w:textAlignment w:val="center"/>
    </w:pPr>
    <w:rPr>
      <w:rFonts w:ascii="Times New Roman" w:hAnsi="Times New Roman" w:eastAsia="宋体" w:cs="Times New Roman"/>
      <w:color w:val="000000"/>
      <w:kern w:val="0"/>
      <w:sz w:val="18"/>
      <w:szCs w:val="18"/>
    </w:rPr>
  </w:style>
  <w:style w:type="character" w:customStyle="1" w:styleId="63">
    <w:name w:val="标题 7 Char"/>
    <w:basedOn w:val="19"/>
    <w:link w:val="8"/>
    <w:semiHidden/>
    <w:qFormat/>
    <w:uiPriority w:val="9"/>
    <w:rPr>
      <w:rFonts w:asciiTheme="minorHAnsi" w:hAnsiTheme="minorHAnsi" w:eastAsiaTheme="minorEastAsia"/>
      <w:b/>
      <w:bCs/>
      <w:kern w:val="2"/>
      <w:sz w:val="24"/>
      <w:szCs w:val="24"/>
    </w:rPr>
  </w:style>
  <w:style w:type="character" w:customStyle="1" w:styleId="64">
    <w:name w:val="标题 8 Char"/>
    <w:basedOn w:val="19"/>
    <w:link w:val="9"/>
    <w:semiHidden/>
    <w:qFormat/>
    <w:uiPriority w:val="9"/>
    <w:rPr>
      <w:rFonts w:asciiTheme="majorHAnsi" w:hAnsiTheme="majorHAnsi" w:eastAsiaTheme="majorEastAsia" w:cstheme="majorBidi"/>
      <w:kern w:val="2"/>
      <w:sz w:val="24"/>
      <w:szCs w:val="24"/>
    </w:rPr>
  </w:style>
  <w:style w:type="character" w:customStyle="1" w:styleId="65">
    <w:name w:val="标题 9 Char"/>
    <w:basedOn w:val="19"/>
    <w:link w:val="10"/>
    <w:semiHidden/>
    <w:qFormat/>
    <w:uiPriority w:val="9"/>
    <w:rPr>
      <w:rFonts w:asciiTheme="majorHAnsi" w:hAnsiTheme="majorHAnsi" w:eastAsiaTheme="majorEastAsia" w:cstheme="majorBidi"/>
      <w:kern w:val="2"/>
      <w:sz w:val="21"/>
      <w:szCs w:val="21"/>
    </w:rPr>
  </w:style>
  <w:style w:type="character" w:customStyle="1" w:styleId="66">
    <w:name w:val="页眉 Char"/>
    <w:basedOn w:val="19"/>
    <w:link w:val="15"/>
    <w:qFormat/>
    <w:uiPriority w:val="99"/>
    <w:rPr>
      <w:rFonts w:asciiTheme="minorHAnsi" w:hAnsiTheme="minorHAnsi" w:eastAsiaTheme="minorEastAsia"/>
      <w:kern w:val="2"/>
      <w:sz w:val="18"/>
      <w:szCs w:val="18"/>
    </w:rPr>
  </w:style>
  <w:style w:type="character" w:customStyle="1" w:styleId="67">
    <w:name w:val="页脚 Char"/>
    <w:basedOn w:val="19"/>
    <w:link w:val="14"/>
    <w:qFormat/>
    <w:uiPriority w:val="99"/>
    <w:rPr>
      <w:rFonts w:asciiTheme="minorHAnsi" w:hAnsiTheme="minorHAnsi" w:eastAsiaTheme="minorEastAsia"/>
      <w:kern w:val="2"/>
      <w:sz w:val="18"/>
      <w:szCs w:val="18"/>
    </w:rPr>
  </w:style>
  <w:style w:type="character" w:customStyle="1" w:styleId="68">
    <w:name w:val="批注文字 Char"/>
    <w:basedOn w:val="19"/>
    <w:link w:val="11"/>
    <w:semiHidden/>
    <w:qFormat/>
    <w:uiPriority w:val="99"/>
    <w:rPr>
      <w:rFonts w:asciiTheme="minorHAnsi" w:hAnsiTheme="minorHAnsi" w:eastAsiaTheme="minorEastAsia"/>
      <w:kern w:val="2"/>
      <w:sz w:val="21"/>
      <w:szCs w:val="22"/>
    </w:rPr>
  </w:style>
  <w:style w:type="character" w:customStyle="1" w:styleId="69">
    <w:name w:val="批注主题 Char"/>
    <w:basedOn w:val="68"/>
    <w:link w:val="17"/>
    <w:semiHidden/>
    <w:qFormat/>
    <w:uiPriority w:val="99"/>
    <w:rPr>
      <w:rFonts w:asciiTheme="minorHAnsi" w:hAnsiTheme="minorHAnsi" w:eastAsiaTheme="minorEastAsia"/>
      <w:b/>
      <w:bCs/>
      <w:kern w:val="2"/>
      <w:sz w:val="21"/>
      <w:szCs w:val="22"/>
    </w:rPr>
  </w:style>
  <w:style w:type="character" w:customStyle="1" w:styleId="70">
    <w:name w:val="批注框文本 Char"/>
    <w:basedOn w:val="19"/>
    <w:link w:val="13"/>
    <w:semiHidden/>
    <w:qFormat/>
    <w:uiPriority w:val="99"/>
    <w:rPr>
      <w:rFonts w:asciiTheme="minorHAnsi" w:hAnsiTheme="minorHAnsi" w:eastAsiaTheme="minorEastAsia"/>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CEC000-EECB-4647-9479-F9BF12E6FD60}">
  <ds:schemaRefs/>
</ds:datastoreItem>
</file>

<file path=docProps/app.xml><?xml version="1.0" encoding="utf-8"?>
<Properties xmlns="http://schemas.openxmlformats.org/officeDocument/2006/extended-properties" xmlns:vt="http://schemas.openxmlformats.org/officeDocument/2006/docPropsVTypes">
  <Template>Normal.dotm</Template>
  <Pages>12</Pages>
  <Words>5548</Words>
  <Characters>6023</Characters>
  <Lines>9</Lines>
  <Paragraphs>15</Paragraphs>
  <TotalTime>7</TotalTime>
  <ScaleCrop>false</ScaleCrop>
  <LinksUpToDate>false</LinksUpToDate>
  <CharactersWithSpaces>6467</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2022-11-19T08:47:00Z</dcterms:created>
  <dc:creator>Xueyang</dc:creator>
  <cp:lastModifiedBy>七安</cp:lastModifiedBy>
  <dcterms:modified xsi:type="dcterms:W3CDTF">2025-06-03T10:12:13Z</dcterms:modified>
  <dc:title>C:\Users\Xueyang\Desktop\170号自评报告\57.艾力西湖镇巴扎（10）村花卉生产基地配套建设项目绩效自评报告.xlsx</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D148EF2E010E4BE48C9978F9C392EAFB_13</vt:lpwstr>
  </property>
  <property fmtid="{D5CDD505-2E9C-101B-9397-08002B2CF9AE}" pid="4" name="KSOTemplateDocerSaveRecord">
    <vt:lpwstr>eyJoZGlkIjoiY2RlOGExMTJjOWFmYjNiZTJjMWUwNDM2NWFmZTM5NmEiLCJ1c2VySWQiOiIxMTAwNDE5NzU4In0=</vt:lpwstr>
  </property>
</Properties>
</file>