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1580EC2">
      <w:pPr>
        <w:spacing w:before="120" w:after="120" w:line="480" w:lineRule="auto"/>
        <w:ind w:firstLine="883" w:firstLineChars="200"/>
        <w:jc w:val="center"/>
        <w:outlineLvl w:val="0"/>
        <w:rPr>
          <w:rFonts w:ascii="仿宋_GB2312" w:hAnsi="Arial"/>
          <w:b/>
          <w:color w:val="auto"/>
          <w:sz w:val="44"/>
          <w:szCs w:val="44"/>
          <w:highlight w:val="none"/>
        </w:rPr>
      </w:pPr>
      <w:bookmarkStart w:id="6" w:name="_GoBack"/>
      <w:bookmarkEnd w:id="6"/>
    </w:p>
    <w:p w14:paraId="6E28CDD3">
      <w:pPr>
        <w:jc w:val="center"/>
        <w:rPr>
          <w:rFonts w:ascii="方正大标宋简体" w:hAnsi="华文中宋" w:eastAsia="方正大标宋简体" w:cs="宋体"/>
          <w:color w:val="auto"/>
          <w:kern w:val="0"/>
          <w:sz w:val="52"/>
          <w:szCs w:val="52"/>
          <w:highlight w:val="none"/>
        </w:rPr>
      </w:pPr>
      <w:r>
        <w:rPr>
          <w:rFonts w:hint="eastAsia" w:ascii="方正大标宋简体" w:hAnsi="华文中宋" w:eastAsia="方正大标宋简体" w:cs="宋体"/>
          <w:color w:val="auto"/>
          <w:kern w:val="0"/>
          <w:sz w:val="52"/>
          <w:szCs w:val="52"/>
          <w:highlight w:val="none"/>
        </w:rPr>
        <w:t>和田地区于田县乡村振兴衔接资金项目支出绩效自评报告</w:t>
      </w:r>
    </w:p>
    <w:p w14:paraId="6B555741">
      <w:pPr>
        <w:spacing w:line="700" w:lineRule="exact"/>
        <w:ind w:firstLine="1040" w:firstLineChars="200"/>
        <w:jc w:val="center"/>
        <w:rPr>
          <w:rFonts w:ascii="方正大标宋简体" w:hAnsi="华文中宋" w:eastAsia="方正大标宋简体" w:cs="宋体"/>
          <w:color w:val="auto"/>
          <w:kern w:val="0"/>
          <w:sz w:val="52"/>
          <w:szCs w:val="52"/>
          <w:highlight w:val="none"/>
        </w:rPr>
      </w:pPr>
    </w:p>
    <w:p w14:paraId="534A900A">
      <w:pPr>
        <w:spacing w:line="540" w:lineRule="exact"/>
        <w:ind w:firstLine="720" w:firstLineChars="200"/>
        <w:jc w:val="center"/>
        <w:rPr>
          <w:rFonts w:hAnsi="宋体" w:cs="宋体"/>
          <w:color w:val="auto"/>
          <w:kern w:val="0"/>
          <w:sz w:val="36"/>
          <w:szCs w:val="36"/>
          <w:highlight w:val="none"/>
        </w:rPr>
      </w:pPr>
      <w:r>
        <w:rPr>
          <w:rFonts w:hint="eastAsia" w:hAnsi="宋体" w:cs="宋体"/>
          <w:color w:val="auto"/>
          <w:kern w:val="0"/>
          <w:sz w:val="36"/>
          <w:szCs w:val="36"/>
          <w:highlight w:val="none"/>
        </w:rPr>
        <w:t>（202</w:t>
      </w:r>
      <w:r>
        <w:rPr>
          <w:rFonts w:hint="eastAsia" w:hAnsi="宋体" w:cs="宋体"/>
          <w:color w:val="auto"/>
          <w:kern w:val="0"/>
          <w:sz w:val="36"/>
          <w:szCs w:val="36"/>
          <w:highlight w:val="none"/>
          <w:lang w:val="en-US" w:eastAsia="zh-CN"/>
        </w:rPr>
        <w:t>4</w:t>
      </w:r>
      <w:r>
        <w:rPr>
          <w:rFonts w:hint="eastAsia" w:hAnsi="宋体" w:cs="宋体"/>
          <w:color w:val="auto"/>
          <w:kern w:val="0"/>
          <w:sz w:val="36"/>
          <w:szCs w:val="36"/>
          <w:highlight w:val="none"/>
        </w:rPr>
        <w:t>年度）</w:t>
      </w:r>
    </w:p>
    <w:p w14:paraId="22739FCC">
      <w:pPr>
        <w:spacing w:line="540" w:lineRule="exact"/>
        <w:ind w:firstLine="600" w:firstLineChars="200"/>
        <w:jc w:val="center"/>
        <w:rPr>
          <w:rFonts w:hAnsi="宋体" w:cs="宋体"/>
          <w:color w:val="auto"/>
          <w:kern w:val="0"/>
          <w:sz w:val="30"/>
          <w:szCs w:val="30"/>
          <w:highlight w:val="none"/>
        </w:rPr>
      </w:pPr>
    </w:p>
    <w:p w14:paraId="1C683E50">
      <w:pPr>
        <w:spacing w:line="540" w:lineRule="exact"/>
        <w:ind w:firstLine="600" w:firstLineChars="200"/>
        <w:jc w:val="center"/>
        <w:rPr>
          <w:rFonts w:hAnsi="宋体" w:cs="宋体"/>
          <w:color w:val="auto"/>
          <w:kern w:val="0"/>
          <w:sz w:val="30"/>
          <w:szCs w:val="30"/>
          <w:highlight w:val="none"/>
        </w:rPr>
      </w:pPr>
    </w:p>
    <w:p w14:paraId="6E868C2B">
      <w:pPr>
        <w:spacing w:line="540" w:lineRule="exact"/>
        <w:ind w:firstLine="600" w:firstLineChars="200"/>
        <w:jc w:val="center"/>
        <w:rPr>
          <w:rFonts w:hAnsi="宋体" w:cs="宋体"/>
          <w:color w:val="auto"/>
          <w:kern w:val="0"/>
          <w:sz w:val="30"/>
          <w:szCs w:val="30"/>
          <w:highlight w:val="none"/>
        </w:rPr>
      </w:pPr>
    </w:p>
    <w:p w14:paraId="3CD1E3FF">
      <w:pPr>
        <w:spacing w:line="540" w:lineRule="exact"/>
        <w:ind w:firstLine="600" w:firstLineChars="200"/>
        <w:jc w:val="center"/>
        <w:rPr>
          <w:rFonts w:hAnsi="宋体" w:cs="宋体"/>
          <w:color w:val="auto"/>
          <w:kern w:val="0"/>
          <w:sz w:val="30"/>
          <w:szCs w:val="30"/>
          <w:highlight w:val="none"/>
        </w:rPr>
      </w:pPr>
    </w:p>
    <w:p w14:paraId="2F30460F">
      <w:pPr>
        <w:spacing w:line="540" w:lineRule="exact"/>
        <w:ind w:firstLine="600" w:firstLineChars="200"/>
        <w:rPr>
          <w:rFonts w:hAnsi="宋体" w:cs="宋体"/>
          <w:color w:val="auto"/>
          <w:kern w:val="0"/>
          <w:sz w:val="30"/>
          <w:szCs w:val="30"/>
          <w:highlight w:val="none"/>
        </w:rPr>
      </w:pPr>
    </w:p>
    <w:p w14:paraId="247A03F9">
      <w:pPr>
        <w:spacing w:line="540" w:lineRule="exact"/>
        <w:ind w:firstLine="600" w:firstLineChars="200"/>
        <w:rPr>
          <w:rFonts w:hAnsi="宋体" w:cs="宋体"/>
          <w:color w:val="auto"/>
          <w:kern w:val="0"/>
          <w:sz w:val="30"/>
          <w:szCs w:val="30"/>
          <w:highlight w:val="none"/>
        </w:rPr>
      </w:pPr>
    </w:p>
    <w:p w14:paraId="5297B444">
      <w:pPr>
        <w:spacing w:line="360" w:lineRule="auto"/>
        <w:ind w:left="640" w:leftChars="200" w:firstLine="640" w:firstLineChars="200"/>
        <w:rPr>
          <w:rFonts w:ascii="仿宋" w:hAnsi="仿宋" w:eastAsia="仿宋" w:cs="仿宋"/>
          <w:color w:val="auto"/>
          <w:szCs w:val="32"/>
          <w:highlight w:val="none"/>
        </w:rPr>
      </w:pPr>
    </w:p>
    <w:p w14:paraId="73C00629">
      <w:pPr>
        <w:spacing w:line="360" w:lineRule="auto"/>
        <w:ind w:left="640" w:leftChars="200" w:firstLine="640" w:firstLineChars="200"/>
        <w:rPr>
          <w:rFonts w:ascii="仿宋" w:hAnsi="仿宋" w:eastAsia="仿宋" w:cs="仿宋"/>
          <w:color w:val="auto"/>
          <w:szCs w:val="32"/>
          <w:highlight w:val="none"/>
        </w:rPr>
      </w:pPr>
    </w:p>
    <w:p w14:paraId="258204B5">
      <w:pPr>
        <w:spacing w:line="560" w:lineRule="exact"/>
        <w:ind w:left="640" w:leftChars="200" w:firstLine="640" w:firstLineChars="200"/>
        <w:rPr>
          <w:rFonts w:ascii="仿宋" w:hAnsi="仿宋" w:eastAsia="仿宋" w:cs="仿宋"/>
          <w:color w:val="auto"/>
          <w:szCs w:val="32"/>
          <w:highlight w:val="none"/>
        </w:rPr>
      </w:pPr>
    </w:p>
    <w:p w14:paraId="42BD802C">
      <w:pPr>
        <w:spacing w:line="560" w:lineRule="exact"/>
        <w:ind w:left="3200" w:leftChars="200" w:hanging="2560" w:hangingChars="800"/>
        <w:rPr>
          <w:rFonts w:ascii="仿宋" w:hAnsi="仿宋" w:eastAsia="仿宋" w:cs="仿宋"/>
          <w:color w:val="auto"/>
          <w:szCs w:val="32"/>
          <w:highlight w:val="none"/>
        </w:rPr>
      </w:pPr>
      <w:r>
        <w:rPr>
          <w:rFonts w:hint="eastAsia" w:ascii="仿宋" w:hAnsi="仿宋" w:eastAsia="仿宋" w:cs="仿宋"/>
          <w:color w:val="auto"/>
          <w:szCs w:val="32"/>
          <w:highlight w:val="none"/>
        </w:rPr>
        <w:t>项  目  名  称</w:t>
      </w:r>
      <w:r>
        <w:rPr>
          <w:rFonts w:hint="eastAsia" w:ascii="仿宋" w:hAnsi="仿宋" w:eastAsia="仿宋" w:cs="仿宋"/>
          <w:color w:val="auto"/>
          <w:szCs w:val="32"/>
          <w:highlight w:val="none"/>
          <w:lang w:eastAsia="zh-CN"/>
        </w:rPr>
        <w:t>：于田县木尕拉镇阿克依来克村壮大村集体经济建设项目</w:t>
      </w:r>
    </w:p>
    <w:p w14:paraId="308260E5">
      <w:pPr>
        <w:spacing w:line="560" w:lineRule="exact"/>
        <w:ind w:firstLine="640" w:firstLineChars="200"/>
        <w:rPr>
          <w:rFonts w:ascii="仿宋" w:hAnsi="仿宋" w:eastAsia="仿宋" w:cs="仿宋"/>
          <w:color w:val="auto"/>
          <w:szCs w:val="32"/>
          <w:highlight w:val="none"/>
        </w:rPr>
      </w:pPr>
      <w:r>
        <w:rPr>
          <w:rFonts w:hint="eastAsia" w:ascii="仿宋" w:hAnsi="仿宋" w:eastAsia="仿宋" w:cs="仿宋"/>
          <w:color w:val="auto"/>
          <w:szCs w:val="32"/>
          <w:highlight w:val="none"/>
        </w:rPr>
        <w:t>实施单位(公章):于田县木尕拉镇人民政府</w:t>
      </w:r>
    </w:p>
    <w:p w14:paraId="015E34B7">
      <w:pPr>
        <w:spacing w:line="560" w:lineRule="exact"/>
        <w:ind w:firstLine="640" w:firstLineChars="200"/>
        <w:rPr>
          <w:rFonts w:ascii="仿宋" w:hAnsi="仿宋" w:eastAsia="仿宋" w:cs="仿宋"/>
          <w:b/>
          <w:bCs/>
          <w:color w:val="auto"/>
          <w:szCs w:val="32"/>
          <w:highlight w:val="none"/>
        </w:rPr>
      </w:pPr>
      <w:r>
        <w:rPr>
          <w:rFonts w:hint="eastAsia" w:ascii="仿宋" w:hAnsi="仿宋" w:eastAsia="仿宋" w:cs="仿宋"/>
          <w:color w:val="auto"/>
          <w:szCs w:val="32"/>
          <w:highlight w:val="none"/>
        </w:rPr>
        <w:t>主管部门(公章):于田县民族宗教事务局</w:t>
      </w:r>
    </w:p>
    <w:p w14:paraId="4EE728E3">
      <w:pPr>
        <w:spacing w:line="560" w:lineRule="exact"/>
        <w:ind w:firstLine="640" w:firstLineChars="200"/>
        <w:rPr>
          <w:rFonts w:ascii="仿宋" w:hAnsi="仿宋" w:eastAsia="仿宋" w:cs="仿宋"/>
          <w:color w:val="auto"/>
          <w:szCs w:val="32"/>
          <w:highlight w:val="none"/>
        </w:rPr>
      </w:pPr>
      <w:r>
        <w:rPr>
          <w:rFonts w:hint="eastAsia" w:ascii="仿宋" w:hAnsi="仿宋" w:eastAsia="仿宋" w:cs="仿宋"/>
          <w:color w:val="auto"/>
          <w:szCs w:val="32"/>
          <w:highlight w:val="none"/>
        </w:rPr>
        <w:t>项目负责人(签章):高云</w:t>
      </w:r>
    </w:p>
    <w:p w14:paraId="6DCF5496">
      <w:pPr>
        <w:spacing w:line="560" w:lineRule="exact"/>
        <w:ind w:firstLine="640" w:firstLineChars="200"/>
        <w:rPr>
          <w:color w:val="auto"/>
          <w:highlight w:val="none"/>
        </w:rPr>
      </w:pPr>
      <w:r>
        <w:rPr>
          <w:rFonts w:hint="eastAsia" w:ascii="仿宋" w:hAnsi="仿宋" w:eastAsia="仿宋" w:cs="仿宋"/>
          <w:color w:val="auto"/>
          <w:szCs w:val="32"/>
          <w:highlight w:val="none"/>
        </w:rPr>
        <w:t>填  报  时  间:</w:t>
      </w:r>
      <w:r>
        <w:rPr>
          <w:rFonts w:ascii="仿宋" w:hAnsi="仿宋" w:eastAsia="仿宋" w:cs="仿宋"/>
          <w:color w:val="auto"/>
          <w:szCs w:val="32"/>
          <w:highlight w:val="none"/>
        </w:rPr>
        <w:t>20</w:t>
      </w:r>
      <w:r>
        <w:rPr>
          <w:rFonts w:hint="eastAsia" w:ascii="仿宋" w:hAnsi="仿宋" w:eastAsia="仿宋" w:cs="仿宋"/>
          <w:color w:val="auto"/>
          <w:szCs w:val="32"/>
          <w:highlight w:val="none"/>
        </w:rPr>
        <w:t>2</w:t>
      </w:r>
      <w:r>
        <w:rPr>
          <w:rFonts w:hint="eastAsia" w:ascii="仿宋" w:hAnsi="仿宋" w:eastAsia="仿宋" w:cs="仿宋"/>
          <w:color w:val="auto"/>
          <w:szCs w:val="32"/>
          <w:highlight w:val="none"/>
          <w:lang w:val="en-US" w:eastAsia="zh-CN"/>
        </w:rPr>
        <w:t>5</w:t>
      </w:r>
      <w:r>
        <w:rPr>
          <w:rFonts w:ascii="仿宋" w:hAnsi="仿宋" w:eastAsia="仿宋" w:cs="仿宋"/>
          <w:color w:val="auto"/>
          <w:szCs w:val="32"/>
          <w:highlight w:val="none"/>
        </w:rPr>
        <w:t>年</w:t>
      </w:r>
      <w:r>
        <w:rPr>
          <w:rFonts w:hint="eastAsia" w:ascii="仿宋" w:hAnsi="仿宋" w:eastAsia="仿宋" w:cs="仿宋"/>
          <w:color w:val="auto"/>
          <w:szCs w:val="32"/>
          <w:highlight w:val="none"/>
          <w:lang w:val="en-US" w:eastAsia="zh-CN"/>
        </w:rPr>
        <w:t>2</w:t>
      </w:r>
      <w:r>
        <w:rPr>
          <w:rFonts w:ascii="仿宋" w:hAnsi="仿宋" w:eastAsia="仿宋" w:cs="仿宋"/>
          <w:color w:val="auto"/>
          <w:szCs w:val="32"/>
          <w:highlight w:val="none"/>
        </w:rPr>
        <w:t>月</w:t>
      </w:r>
      <w:r>
        <w:rPr>
          <w:rFonts w:hint="eastAsia" w:ascii="仿宋" w:hAnsi="仿宋" w:eastAsia="仿宋" w:cs="仿宋"/>
          <w:color w:val="auto"/>
          <w:szCs w:val="32"/>
          <w:highlight w:val="none"/>
          <w:lang w:val="en-US" w:eastAsia="zh-CN"/>
        </w:rPr>
        <w:t>20</w:t>
      </w:r>
      <w:r>
        <w:rPr>
          <w:rFonts w:ascii="仿宋" w:hAnsi="仿宋" w:eastAsia="仿宋" w:cs="仿宋"/>
          <w:color w:val="auto"/>
          <w:szCs w:val="32"/>
          <w:highlight w:val="none"/>
        </w:rPr>
        <w:t>日</w:t>
      </w:r>
    </w:p>
    <w:p w14:paraId="04E48E41">
      <w:pPr>
        <w:spacing w:line="560" w:lineRule="exact"/>
        <w:ind w:firstLine="640" w:firstLineChars="200"/>
        <w:rPr>
          <w:rFonts w:ascii="仿宋_GB2312" w:hAnsi="仿宋_GB2312" w:cs="仿宋_GB2312"/>
          <w:kern w:val="0"/>
          <w:szCs w:val="32"/>
          <w:highlight w:val="none"/>
          <w:lang w:bidi="en-US"/>
        </w:rPr>
      </w:pPr>
    </w:p>
    <w:p w14:paraId="48F4555C">
      <w:pPr>
        <w:spacing w:line="560" w:lineRule="exact"/>
        <w:ind w:firstLine="640" w:firstLineChars="200"/>
        <w:rPr>
          <w:rFonts w:ascii="仿宋_GB2312" w:hAnsi="仿宋_GB2312" w:cs="仿宋_GB2312"/>
          <w:kern w:val="0"/>
          <w:szCs w:val="32"/>
          <w:highlight w:val="none"/>
          <w:lang w:bidi="en-US"/>
        </w:rPr>
      </w:pPr>
    </w:p>
    <w:p w14:paraId="1DAAD186">
      <w:pPr>
        <w:spacing w:line="360" w:lineRule="auto"/>
        <w:ind w:firstLine="627" w:firstLineChars="200"/>
        <w:rPr>
          <w:rStyle w:val="21"/>
          <w:rFonts w:ascii="黑体" w:hAnsi="黑体" w:eastAsia="黑体" w:cs="Times New Roman"/>
          <w:spacing w:val="-4"/>
          <w:szCs w:val="32"/>
          <w:highlight w:val="none"/>
        </w:rPr>
      </w:pPr>
    </w:p>
    <w:p w14:paraId="51AFC291">
      <w:pPr>
        <w:spacing w:line="360" w:lineRule="auto"/>
        <w:ind w:firstLine="627" w:firstLineChars="200"/>
        <w:rPr>
          <w:rStyle w:val="21"/>
          <w:rFonts w:ascii="黑体" w:hAnsi="黑体" w:eastAsia="黑体" w:cs="Times New Roman"/>
          <w:spacing w:val="-4"/>
          <w:szCs w:val="32"/>
          <w:highlight w:val="none"/>
        </w:rPr>
      </w:pPr>
      <w:r>
        <w:rPr>
          <w:rStyle w:val="21"/>
          <w:rFonts w:hint="eastAsia" w:ascii="黑体" w:hAnsi="黑体" w:eastAsia="黑体" w:cs="Times New Roman"/>
          <w:spacing w:val="-4"/>
          <w:szCs w:val="32"/>
          <w:highlight w:val="none"/>
        </w:rPr>
        <w:t>一、绩效目标分解下达情况</w:t>
      </w:r>
    </w:p>
    <w:p w14:paraId="57430219">
      <w:pPr>
        <w:spacing w:line="360" w:lineRule="auto"/>
        <w:ind w:firstLine="546" w:firstLineChars="200"/>
        <w:rPr>
          <w:highlight w:val="none"/>
        </w:rPr>
      </w:pPr>
      <w:r>
        <w:rPr>
          <w:rFonts w:hint="eastAsia" w:ascii="楷体_GB2312" w:hAnsi="楷体" w:cs="Times New Roman"/>
          <w:b/>
          <w:spacing w:val="-4"/>
          <w:sz w:val="28"/>
          <w:szCs w:val="32"/>
          <w:highlight w:val="none"/>
        </w:rPr>
        <w:t>（一）财政专项乡村振兴衔接资金下达预算及项目情况</w:t>
      </w:r>
    </w:p>
    <w:p w14:paraId="2416BD15">
      <w:pPr>
        <w:pStyle w:val="54"/>
        <w:ind w:left="3" w:right="3" w:firstLine="562"/>
        <w:rPr>
          <w:rFonts w:ascii="仿宋_GB2312"/>
          <w:b/>
          <w:color w:val="auto"/>
          <w:szCs w:val="32"/>
          <w:highlight w:val="none"/>
        </w:rPr>
      </w:pPr>
      <w:r>
        <w:rPr>
          <w:rFonts w:hint="eastAsia" w:ascii="仿宋_GB2312"/>
          <w:b/>
          <w:color w:val="auto"/>
          <w:szCs w:val="32"/>
          <w:highlight w:val="none"/>
        </w:rPr>
        <w:t>1.下达预算情况</w:t>
      </w:r>
    </w:p>
    <w:p w14:paraId="4E580E04">
      <w:pPr>
        <w:pStyle w:val="54"/>
        <w:ind w:left="3" w:right="3" w:firstLine="560"/>
        <w:rPr>
          <w:rFonts w:ascii="仿宋_GB2312"/>
          <w:color w:val="auto"/>
          <w:szCs w:val="32"/>
          <w:highlight w:val="yellow"/>
        </w:rPr>
      </w:pPr>
      <w:r>
        <w:rPr>
          <w:rFonts w:hint="eastAsia" w:ascii="仿宋_GB2312"/>
          <w:color w:val="auto"/>
          <w:szCs w:val="32"/>
          <w:highlight w:val="none"/>
        </w:rPr>
        <w:t>本项目根据</w:t>
      </w:r>
      <w:r>
        <w:rPr>
          <w:rFonts w:hint="eastAsia" w:ascii="仿宋_GB2312"/>
          <w:color w:val="auto"/>
          <w:szCs w:val="32"/>
          <w:highlight w:val="none"/>
          <w:lang w:val="en-US" w:eastAsia="zh-CN"/>
        </w:rPr>
        <w:t>于田县财政局和于田县民族宗教事务局联合</w:t>
      </w:r>
      <w:r>
        <w:rPr>
          <w:rFonts w:hint="eastAsia" w:ascii="仿宋_GB2312"/>
          <w:color w:val="auto"/>
          <w:szCs w:val="32"/>
          <w:highlight w:val="none"/>
        </w:rPr>
        <w:t>下发的《关于</w:t>
      </w:r>
      <w:r>
        <w:rPr>
          <w:rFonts w:hint="eastAsia" w:ascii="仿宋_GB2312"/>
          <w:color w:val="auto"/>
          <w:szCs w:val="32"/>
          <w:highlight w:val="none"/>
          <w:lang w:eastAsia="zh-CN"/>
        </w:rPr>
        <w:t>于田县木尕拉镇阿克依来克村壮大村集体经济建设项目</w:t>
      </w:r>
      <w:r>
        <w:rPr>
          <w:rFonts w:hint="eastAsia" w:ascii="仿宋_GB2312" w:eastAsia="仿宋"/>
          <w:color w:val="auto"/>
          <w:szCs w:val="32"/>
          <w:highlight w:val="none"/>
        </w:rPr>
        <w:t>实施</w:t>
      </w:r>
      <w:r>
        <w:rPr>
          <w:rFonts w:hint="eastAsia" w:ascii="仿宋_GB2312"/>
          <w:color w:val="auto"/>
          <w:szCs w:val="32"/>
          <w:highlight w:val="none"/>
        </w:rPr>
        <w:t>方案的批复》（于</w:t>
      </w:r>
      <w:r>
        <w:rPr>
          <w:rFonts w:hint="eastAsia" w:ascii="仿宋_GB2312"/>
          <w:color w:val="auto"/>
          <w:szCs w:val="32"/>
          <w:highlight w:val="none"/>
          <w:lang w:val="en-US" w:eastAsia="zh-CN"/>
        </w:rPr>
        <w:t>民宗</w:t>
      </w:r>
      <w:r>
        <w:rPr>
          <w:rFonts w:hint="eastAsia" w:ascii="仿宋_GB2312"/>
          <w:color w:val="auto"/>
          <w:szCs w:val="32"/>
          <w:highlight w:val="none"/>
        </w:rPr>
        <w:t>[202</w:t>
      </w:r>
      <w:r>
        <w:rPr>
          <w:rFonts w:hint="eastAsia" w:ascii="仿宋_GB2312"/>
          <w:color w:val="auto"/>
          <w:szCs w:val="32"/>
          <w:highlight w:val="none"/>
          <w:lang w:val="en-US" w:eastAsia="zh-CN"/>
        </w:rPr>
        <w:t>4</w:t>
      </w:r>
      <w:r>
        <w:rPr>
          <w:rFonts w:hint="eastAsia" w:ascii="仿宋_GB2312"/>
          <w:color w:val="auto"/>
          <w:szCs w:val="32"/>
          <w:highlight w:val="none"/>
        </w:rPr>
        <w:t>]</w:t>
      </w:r>
      <w:r>
        <w:rPr>
          <w:rFonts w:hint="eastAsia" w:ascii="仿宋_GB2312"/>
          <w:color w:val="auto"/>
          <w:szCs w:val="32"/>
          <w:highlight w:val="none"/>
          <w:lang w:val="en-US" w:eastAsia="zh-CN"/>
        </w:rPr>
        <w:t>6</w:t>
      </w:r>
      <w:r>
        <w:rPr>
          <w:rFonts w:hint="eastAsia" w:ascii="仿宋_GB2312"/>
          <w:color w:val="auto"/>
          <w:szCs w:val="32"/>
          <w:highlight w:val="none"/>
        </w:rPr>
        <w:t>号）文批复立项实施，</w:t>
      </w:r>
      <w:r>
        <w:rPr>
          <w:rFonts w:hint="eastAsia" w:ascii="仿宋" w:hAnsi="仿宋" w:eastAsia="仿宋" w:cs="仿宋"/>
          <w:color w:val="auto"/>
          <w:szCs w:val="32"/>
          <w:highlight w:val="none"/>
          <w:lang w:eastAsia="zh-CN"/>
        </w:rPr>
        <w:t>于田县木尕拉镇阿克依来克村壮大村集体经济建设项目</w:t>
      </w:r>
      <w:r>
        <w:rPr>
          <w:rFonts w:hint="eastAsia" w:ascii="仿宋_GB2312"/>
          <w:color w:val="auto"/>
          <w:szCs w:val="32"/>
          <w:highlight w:val="none"/>
        </w:rPr>
        <w:t>预算安排总额为</w:t>
      </w:r>
      <w:r>
        <w:rPr>
          <w:rFonts w:hint="eastAsia" w:ascii="仿宋_GB2312"/>
          <w:color w:val="auto"/>
          <w:szCs w:val="32"/>
          <w:highlight w:val="none"/>
          <w:lang w:val="en-US" w:eastAsia="zh-CN"/>
        </w:rPr>
        <w:t>172</w:t>
      </w:r>
      <w:r>
        <w:rPr>
          <w:rFonts w:hint="eastAsia" w:ascii="仿宋_GB2312"/>
          <w:color w:val="auto"/>
          <w:szCs w:val="32"/>
          <w:highlight w:val="none"/>
        </w:rPr>
        <w:t>万元，其中：</w:t>
      </w:r>
      <w:r>
        <w:rPr>
          <w:rFonts w:hint="eastAsia" w:ascii="仿宋_GB2312"/>
          <w:color w:val="auto"/>
          <w:szCs w:val="32"/>
          <w:highlight w:val="none"/>
          <w:lang w:val="en-US" w:eastAsia="zh-CN"/>
        </w:rPr>
        <w:t>少数民族发展</w:t>
      </w:r>
      <w:r>
        <w:rPr>
          <w:rFonts w:hint="eastAsia" w:ascii="仿宋_GB2312"/>
          <w:color w:val="auto"/>
          <w:szCs w:val="32"/>
          <w:highlight w:val="none"/>
        </w:rPr>
        <w:t>资金</w:t>
      </w:r>
      <w:r>
        <w:rPr>
          <w:rFonts w:hint="eastAsia" w:ascii="仿宋_GB2312" w:eastAsia="楷体_GB2312"/>
          <w:color w:val="auto"/>
          <w:szCs w:val="32"/>
          <w:highlight w:val="none"/>
          <w:lang w:val="en-US" w:eastAsia="zh-CN"/>
        </w:rPr>
        <w:t>172</w:t>
      </w:r>
      <w:r>
        <w:rPr>
          <w:rFonts w:hint="eastAsia" w:ascii="仿宋_GB2312"/>
          <w:color w:val="auto"/>
          <w:szCs w:val="32"/>
          <w:highlight w:val="none"/>
        </w:rPr>
        <w:t>万元。预算资金到位率为100.00%。</w:t>
      </w:r>
    </w:p>
    <w:p w14:paraId="093A2197">
      <w:pPr>
        <w:pStyle w:val="54"/>
        <w:ind w:left="3" w:right="3" w:firstLine="562"/>
        <w:rPr>
          <w:rFonts w:hint="eastAsia" w:ascii="仿宋_GB2312"/>
          <w:b/>
          <w:color w:val="auto"/>
          <w:szCs w:val="32"/>
          <w:highlight w:val="none"/>
        </w:rPr>
      </w:pPr>
      <w:r>
        <w:rPr>
          <w:rFonts w:hint="eastAsia" w:ascii="仿宋_GB2312"/>
          <w:b/>
          <w:color w:val="auto"/>
          <w:szCs w:val="32"/>
          <w:highlight w:val="none"/>
        </w:rPr>
        <w:t>2.项目实施背景</w:t>
      </w:r>
    </w:p>
    <w:p w14:paraId="7792C78A">
      <w:pPr>
        <w:spacing w:line="560" w:lineRule="exact"/>
        <w:ind w:firstLine="560" w:firstLineChars="200"/>
        <w:rPr>
          <w:rFonts w:hint="eastAsia" w:ascii="仿宋_GB2312" w:hAnsi="Times New Roman" w:eastAsia="仿宋_GB2312" w:cs="Times New Roman"/>
          <w:sz w:val="28"/>
          <w:szCs w:val="32"/>
          <w:highlight w:val="none"/>
        </w:rPr>
      </w:pPr>
      <w:r>
        <w:rPr>
          <w:rFonts w:hint="eastAsia" w:ascii="仿宋_GB2312" w:hAnsi="Times New Roman" w:eastAsia="仿宋_GB2312" w:cs="Times New Roman"/>
          <w:sz w:val="28"/>
          <w:szCs w:val="32"/>
          <w:highlight w:val="none"/>
        </w:rPr>
        <w:t>深入贯彻习近平 新时代中国特色社会主义思想，深入贯彻党的十九大和十九届二中、三中全会精神，贯彻落实习近平总书记关于新疆工作的重要讲话和重要指示精神，贯彻落实以习近 平同志为核心的党中央治疆方略，紧紧围绕社会稳定和长治久安总目标，加强党对“三农”工作的全面领导，坚持稳中求进工作总基调，牢固树立新发展理念，落实 高质量发展要求，统筹推进“五位一体”总体布局和协调推进“四个全面”战略布 局，坚持把解决好“三农”问题作为重中之重，坚持农业农村优先发展，坚持一产上水平，按照产业兴旺、生态宜居、乡风文明、治理有效、生活富裕的总要求，建立健全城乡融合发展体制机制和政策体系，推动乡村产业振兴、人才振兴、文化振兴、生态振兴、组织振兴，加快推进乡村治理体系和治理能力现代化，加快推进农 业农村现代化，走中国特色社会主义乡村振兴道路，让农业成为有奔头的产业，让农民成为有吸引力的职业，让农村成为安居乐业的美丽家园。随着农村经济的发展，人口向中心乡镇的聚集，于田县原有的商业体系已不符合乡镇发展规划，规模也已经不能适应整个社会发展的需要。市场管理只是停留在坐收管理费、摊位费、工商税收等初级市场管理水平上，无规范的市场，无向业主 和农民提供相关服务的配套设施和理念。本项目建成后，通过商铺的建立、设施的配套、管理水平的提高，将为农民和商户提供农产品供需、价格等方面的信息，保障市场交易的公平和公正</w:t>
      </w:r>
      <w:r>
        <w:rPr>
          <w:rFonts w:hint="eastAsia" w:ascii="仿宋_GB2312" w:hAnsi="Times New Roman" w:eastAsia="仿宋_GB2312" w:cs="Times New Roman"/>
          <w:sz w:val="28"/>
          <w:szCs w:val="32"/>
          <w:highlight w:val="none"/>
          <w:lang w:eastAsia="zh-CN"/>
        </w:rPr>
        <w:t>，</w:t>
      </w:r>
      <w:r>
        <w:rPr>
          <w:rFonts w:hint="eastAsia" w:ascii="仿宋_GB2312" w:hAnsi="Times New Roman" w:eastAsia="仿宋_GB2312" w:cs="Times New Roman"/>
          <w:sz w:val="28"/>
          <w:szCs w:val="32"/>
          <w:highlight w:val="none"/>
          <w:lang w:val="en-US" w:eastAsia="zh-CN"/>
        </w:rPr>
        <w:t>且提升当地农牧民群众增收就业</w:t>
      </w:r>
      <w:r>
        <w:rPr>
          <w:rFonts w:hint="eastAsia" w:ascii="仿宋_GB2312" w:hAnsi="Times New Roman" w:eastAsia="仿宋_GB2312" w:cs="Times New Roman"/>
          <w:sz w:val="28"/>
          <w:szCs w:val="32"/>
          <w:highlight w:val="none"/>
        </w:rPr>
        <w:t>。</w:t>
      </w:r>
    </w:p>
    <w:p w14:paraId="5D2F2F48">
      <w:pPr>
        <w:spacing w:line="560" w:lineRule="exact"/>
        <w:ind w:firstLine="560" w:firstLineChars="200"/>
        <w:rPr>
          <w:rFonts w:hint="eastAsia" w:ascii="仿宋_GB2312" w:hAnsi="Times New Roman" w:eastAsia="仿宋_GB2312" w:cs="Times New Roman"/>
          <w:sz w:val="28"/>
          <w:szCs w:val="32"/>
          <w:highlight w:val="none"/>
        </w:rPr>
      </w:pPr>
      <w:r>
        <w:rPr>
          <w:rFonts w:hint="eastAsia" w:ascii="仿宋_GB2312" w:hAnsi="Times New Roman" w:eastAsia="仿宋_GB2312" w:cs="Times New Roman"/>
          <w:sz w:val="28"/>
          <w:szCs w:val="32"/>
          <w:highlight w:val="none"/>
        </w:rPr>
        <w:t>发展县域经济，推进农村一二三产业融合发展，延长农业产业链条，发展各 具特色的现代乡村富民产业。推动种养加结合和产业链再造，提高农产品加工业和 农业生产性服务业发展水平，壮大休闲农业、乡村旅游、民宿经济等特色产业。加强农产品仓储保鲜和冷链物流设施建设，健全农村产权交易、商贸流通、检验检测 认证等平台和智能标准厂房等设施，引导农村二三产业集聚发展。完善利益联结机制，通过“资源变资产、资金变股金、农民变股东”，让农民更多分享产业增值收益</w:t>
      </w:r>
    </w:p>
    <w:p w14:paraId="40208825">
      <w:pPr>
        <w:spacing w:line="560" w:lineRule="exact"/>
        <w:ind w:firstLine="560" w:firstLineChars="200"/>
        <w:rPr>
          <w:rFonts w:ascii="仿宋_GB2312" w:hAnsi="Times New Roman" w:eastAsia="仿宋_GB2312" w:cs="Times New Roman"/>
          <w:sz w:val="28"/>
          <w:szCs w:val="32"/>
          <w:highlight w:val="none"/>
        </w:rPr>
      </w:pPr>
      <w:r>
        <w:rPr>
          <w:rFonts w:hint="eastAsia" w:ascii="仿宋_GB2312" w:hAnsi="Times New Roman" w:eastAsia="仿宋_GB2312" w:cs="Times New Roman"/>
          <w:sz w:val="28"/>
          <w:szCs w:val="32"/>
          <w:highlight w:val="none"/>
        </w:rPr>
        <w:t>由于上述原因开展</w:t>
      </w:r>
      <w:r>
        <w:rPr>
          <w:rFonts w:hint="eastAsia" w:ascii="仿宋_GB2312" w:hAnsi="Times New Roman" w:eastAsia="仿宋_GB2312" w:cs="Times New Roman"/>
          <w:sz w:val="28"/>
          <w:szCs w:val="32"/>
          <w:highlight w:val="none"/>
          <w:lang w:eastAsia="zh-CN"/>
        </w:rPr>
        <w:t>于田县木尕拉镇阿克依来克村壮大村集体经济建设项目</w:t>
      </w:r>
      <w:r>
        <w:rPr>
          <w:rFonts w:hint="eastAsia" w:ascii="仿宋_GB2312" w:hAnsi="Times New Roman" w:eastAsia="仿宋_GB2312" w:cs="Times New Roman"/>
          <w:sz w:val="28"/>
          <w:szCs w:val="32"/>
          <w:highlight w:val="none"/>
        </w:rPr>
        <w:t>，本项目由于田县</w:t>
      </w:r>
      <w:r>
        <w:rPr>
          <w:rFonts w:hint="eastAsia" w:ascii="仿宋_GB2312" w:hAnsi="Times New Roman" w:eastAsia="仿宋_GB2312" w:cs="Times New Roman"/>
          <w:sz w:val="28"/>
          <w:szCs w:val="32"/>
          <w:highlight w:val="none"/>
          <w:lang w:val="en-US" w:eastAsia="zh-CN"/>
        </w:rPr>
        <w:t>民族宗教事务局和于田县住房和城乡建设局</w:t>
      </w:r>
      <w:r>
        <w:rPr>
          <w:rFonts w:hint="eastAsia" w:ascii="仿宋_GB2312" w:hAnsi="Times New Roman" w:eastAsia="仿宋_GB2312" w:cs="Times New Roman"/>
          <w:sz w:val="28"/>
          <w:szCs w:val="32"/>
          <w:highlight w:val="none"/>
        </w:rPr>
        <w:t>监管，于田县木尕拉镇人民政府负责实施，项目</w:t>
      </w:r>
      <w:r>
        <w:rPr>
          <w:rFonts w:hint="eastAsia" w:ascii="仿宋_GB2312" w:hAnsi="Times New Roman" w:eastAsia="仿宋_GB2312" w:cs="Times New Roman"/>
          <w:sz w:val="28"/>
          <w:szCs w:val="32"/>
          <w:highlight w:val="none"/>
          <w:lang w:val="en-US" w:eastAsia="zh-CN"/>
        </w:rPr>
        <w:t>预计划</w:t>
      </w:r>
      <w:r>
        <w:rPr>
          <w:rFonts w:hint="eastAsia" w:ascii="仿宋_GB2312" w:hAnsi="Times New Roman" w:eastAsia="仿宋_GB2312" w:cs="Times New Roman"/>
          <w:sz w:val="28"/>
          <w:szCs w:val="32"/>
          <w:highlight w:val="none"/>
        </w:rPr>
        <w:t>施工期为202</w:t>
      </w:r>
      <w:r>
        <w:rPr>
          <w:rFonts w:hint="eastAsia" w:ascii="仿宋_GB2312" w:hAnsi="Times New Roman" w:eastAsia="仿宋_GB2312" w:cs="Times New Roman"/>
          <w:sz w:val="28"/>
          <w:szCs w:val="32"/>
          <w:highlight w:val="none"/>
          <w:lang w:val="en-US" w:eastAsia="zh-CN"/>
        </w:rPr>
        <w:t>4</w:t>
      </w:r>
      <w:r>
        <w:rPr>
          <w:rFonts w:hint="eastAsia" w:ascii="仿宋_GB2312" w:hAnsi="Times New Roman" w:eastAsia="仿宋_GB2312" w:cs="Times New Roman"/>
          <w:sz w:val="28"/>
          <w:szCs w:val="32"/>
          <w:highlight w:val="none"/>
        </w:rPr>
        <w:t>年</w:t>
      </w:r>
      <w:r>
        <w:rPr>
          <w:rFonts w:hint="eastAsia" w:ascii="仿宋_GB2312" w:hAnsi="Times New Roman" w:eastAsia="仿宋_GB2312" w:cs="Times New Roman"/>
          <w:sz w:val="28"/>
          <w:szCs w:val="32"/>
          <w:highlight w:val="none"/>
          <w:lang w:val="en-US" w:eastAsia="zh-CN"/>
        </w:rPr>
        <w:t>6</w:t>
      </w:r>
      <w:r>
        <w:rPr>
          <w:rFonts w:hint="eastAsia" w:ascii="仿宋_GB2312" w:hAnsi="Times New Roman" w:eastAsia="仿宋_GB2312" w:cs="Times New Roman"/>
          <w:sz w:val="28"/>
          <w:szCs w:val="32"/>
          <w:highlight w:val="none"/>
        </w:rPr>
        <w:t>月-2023年</w:t>
      </w:r>
      <w:r>
        <w:rPr>
          <w:rFonts w:hint="eastAsia" w:ascii="仿宋_GB2312" w:hAnsi="Times New Roman" w:eastAsia="仿宋_GB2312" w:cs="Times New Roman"/>
          <w:sz w:val="28"/>
          <w:szCs w:val="32"/>
          <w:highlight w:val="none"/>
          <w:lang w:val="en-US" w:eastAsia="zh-CN"/>
        </w:rPr>
        <w:t>8</w:t>
      </w:r>
      <w:r>
        <w:rPr>
          <w:rFonts w:hint="eastAsia" w:ascii="仿宋_GB2312" w:hAnsi="Times New Roman" w:eastAsia="仿宋_GB2312" w:cs="Times New Roman"/>
          <w:sz w:val="28"/>
          <w:szCs w:val="32"/>
          <w:highlight w:val="none"/>
        </w:rPr>
        <w:t>月。</w:t>
      </w:r>
    </w:p>
    <w:p w14:paraId="3CE20730">
      <w:pPr>
        <w:spacing w:line="560" w:lineRule="exact"/>
        <w:ind w:firstLine="560" w:firstLineChars="200"/>
        <w:rPr>
          <w:rFonts w:hint="default" w:ascii="仿宋_GB2312" w:hAnsi="Times New Roman" w:eastAsia="仿宋_GB2312" w:cs="Times New Roman"/>
          <w:sz w:val="28"/>
          <w:szCs w:val="32"/>
          <w:highlight w:val="none"/>
          <w:lang w:val="en-US" w:eastAsia="zh-CN"/>
        </w:rPr>
      </w:pPr>
      <w:r>
        <w:rPr>
          <w:rFonts w:hint="eastAsia" w:ascii="仿宋_GB2312" w:hAnsi="Times New Roman" w:eastAsia="仿宋_GB2312" w:cs="Times New Roman"/>
          <w:sz w:val="28"/>
          <w:szCs w:val="32"/>
          <w:highlight w:val="none"/>
        </w:rPr>
        <w:t>工程实施后，本项目通过</w:t>
      </w:r>
      <w:r>
        <w:rPr>
          <w:rFonts w:hint="eastAsia" w:ascii="仿宋_GB2312" w:hAnsi="Times New Roman" w:eastAsia="仿宋_GB2312" w:cs="Times New Roman"/>
          <w:sz w:val="28"/>
          <w:szCs w:val="32"/>
          <w:highlight w:val="none"/>
          <w:lang w:val="en-US" w:eastAsia="zh-CN"/>
        </w:rPr>
        <w:t>后期</w:t>
      </w:r>
      <w:r>
        <w:rPr>
          <w:rFonts w:hint="eastAsia" w:ascii="仿宋_GB2312" w:hAnsi="Times New Roman" w:eastAsia="仿宋_GB2312" w:cs="Times New Roman"/>
          <w:sz w:val="28"/>
          <w:szCs w:val="32"/>
          <w:highlight w:val="none"/>
        </w:rPr>
        <w:t>商铺的建立、设施的配套、管理水平的提高，将为</w:t>
      </w:r>
      <w:r>
        <w:rPr>
          <w:rFonts w:hint="eastAsia" w:ascii="仿宋_GB2312" w:hAnsi="Times New Roman" w:eastAsia="仿宋_GB2312" w:cs="Times New Roman"/>
          <w:sz w:val="28"/>
          <w:szCs w:val="32"/>
          <w:highlight w:val="none"/>
          <w:lang w:val="en-US" w:eastAsia="zh-CN"/>
        </w:rPr>
        <w:t>农牧民群众</w:t>
      </w:r>
      <w:r>
        <w:rPr>
          <w:rFonts w:hint="eastAsia" w:ascii="仿宋_GB2312" w:hAnsi="Times New Roman" w:eastAsia="仿宋_GB2312" w:cs="Times New Roman"/>
          <w:sz w:val="28"/>
          <w:szCs w:val="32"/>
          <w:highlight w:val="none"/>
        </w:rPr>
        <w:t>和商户提供</w:t>
      </w:r>
      <w:r>
        <w:rPr>
          <w:rFonts w:hint="eastAsia" w:ascii="仿宋_GB2312" w:hAnsi="Times New Roman" w:eastAsia="仿宋_GB2312" w:cs="Times New Roman"/>
          <w:sz w:val="28"/>
          <w:szCs w:val="32"/>
          <w:highlight w:val="none"/>
          <w:lang w:val="en-US" w:eastAsia="zh-CN"/>
        </w:rPr>
        <w:t>各类产商品的</w:t>
      </w:r>
      <w:r>
        <w:rPr>
          <w:rFonts w:hint="eastAsia" w:ascii="仿宋_GB2312" w:hAnsi="Times New Roman" w:eastAsia="仿宋_GB2312" w:cs="Times New Roman"/>
          <w:sz w:val="28"/>
          <w:szCs w:val="32"/>
          <w:highlight w:val="none"/>
        </w:rPr>
        <w:t>供需</w:t>
      </w:r>
      <w:r>
        <w:rPr>
          <w:rFonts w:hint="eastAsia" w:ascii="仿宋_GB2312" w:hAnsi="Times New Roman" w:eastAsia="仿宋_GB2312" w:cs="Times New Roman"/>
          <w:sz w:val="28"/>
          <w:szCs w:val="32"/>
          <w:highlight w:val="none"/>
          <w:lang w:eastAsia="zh-CN"/>
        </w:rPr>
        <w:t>，</w:t>
      </w:r>
      <w:r>
        <w:rPr>
          <w:rFonts w:hint="eastAsia" w:ascii="仿宋_GB2312" w:hAnsi="Times New Roman" w:eastAsia="仿宋_GB2312" w:cs="Times New Roman"/>
          <w:sz w:val="28"/>
          <w:szCs w:val="32"/>
          <w:highlight w:val="none"/>
          <w:lang w:val="en-US" w:eastAsia="zh-CN"/>
        </w:rPr>
        <w:t>不仅可以让当地农牧民群众增收就业，还可以带动地方经济的高质量发展。所以建设该项目具有一定的必要性。</w:t>
      </w:r>
    </w:p>
    <w:p w14:paraId="1C0CD95A">
      <w:pPr>
        <w:spacing w:line="560" w:lineRule="exact"/>
        <w:ind w:firstLine="562" w:firstLineChars="200"/>
        <w:rPr>
          <w:rFonts w:ascii="仿宋_GB2312" w:hAnsi="Times New Roman" w:eastAsia="仿宋_GB2312" w:cs="Times New Roman"/>
          <w:b/>
          <w:bCs/>
          <w:sz w:val="28"/>
          <w:szCs w:val="32"/>
          <w:highlight w:val="none"/>
        </w:rPr>
      </w:pPr>
      <w:r>
        <w:rPr>
          <w:rFonts w:ascii="仿宋_GB2312" w:hAnsi="Times New Roman" w:eastAsia="仿宋_GB2312" w:cs="Times New Roman"/>
          <w:b/>
          <w:bCs/>
          <w:sz w:val="28"/>
          <w:szCs w:val="32"/>
          <w:highlight w:val="none"/>
        </w:rPr>
        <w:t>3</w:t>
      </w:r>
      <w:r>
        <w:rPr>
          <w:rFonts w:hint="eastAsia" w:ascii="仿宋_GB2312" w:hAnsi="Times New Roman" w:eastAsia="仿宋_GB2312" w:cs="Times New Roman"/>
          <w:b/>
          <w:bCs/>
          <w:sz w:val="28"/>
          <w:szCs w:val="32"/>
          <w:highlight w:val="none"/>
        </w:rPr>
        <w:t>、项目实施依据及范围</w:t>
      </w:r>
    </w:p>
    <w:p w14:paraId="656A932F">
      <w:pPr>
        <w:spacing w:line="560" w:lineRule="exact"/>
        <w:ind w:firstLine="560" w:firstLineChars="200"/>
        <w:rPr>
          <w:rFonts w:hint="default" w:ascii="仿宋_GB2312" w:hAnsi="Times New Roman" w:eastAsia="仿宋_GB2312" w:cs="Times New Roman"/>
          <w:sz w:val="28"/>
          <w:szCs w:val="32"/>
          <w:highlight w:val="yellow"/>
          <w:lang w:val="en-US"/>
        </w:rPr>
      </w:pPr>
      <w:r>
        <w:rPr>
          <w:rFonts w:hint="eastAsia" w:ascii="仿宋_GB2312" w:hAnsi="Times New Roman" w:eastAsia="仿宋_GB2312" w:cs="Times New Roman"/>
          <w:sz w:val="28"/>
          <w:szCs w:val="32"/>
          <w:highlight w:val="none"/>
          <w:lang w:eastAsia="zh-CN"/>
        </w:rPr>
        <w:t>于田县木尕拉镇阿克依来克村壮大村集体经济建设项目</w:t>
      </w:r>
      <w:r>
        <w:rPr>
          <w:rFonts w:hint="eastAsia" w:ascii="仿宋_GB2312" w:hAnsi="Times New Roman" w:eastAsia="仿宋_GB2312" w:cs="Times New Roman"/>
          <w:sz w:val="28"/>
          <w:szCs w:val="32"/>
          <w:highlight w:val="none"/>
        </w:rPr>
        <w:t>，根据</w:t>
      </w:r>
      <w:r>
        <w:rPr>
          <w:rFonts w:hint="eastAsia" w:ascii="仿宋_GB2312" w:hAnsi="Times New Roman" w:eastAsia="仿宋_GB2312" w:cs="Times New Roman"/>
          <w:sz w:val="28"/>
          <w:szCs w:val="32"/>
          <w:highlight w:val="none"/>
          <w:lang w:val="en-US" w:eastAsia="zh-CN"/>
        </w:rPr>
        <w:t>于田县民族宗教事务局和于田县财政局联合</w:t>
      </w:r>
      <w:r>
        <w:rPr>
          <w:rFonts w:hint="eastAsia" w:ascii="仿宋_GB2312" w:hAnsi="Times New Roman" w:eastAsia="仿宋_GB2312" w:cs="Times New Roman"/>
          <w:sz w:val="28"/>
          <w:szCs w:val="32"/>
          <w:highlight w:val="none"/>
        </w:rPr>
        <w:t>下发的《关于</w:t>
      </w:r>
      <w:r>
        <w:rPr>
          <w:rFonts w:hint="eastAsia" w:ascii="仿宋_GB2312" w:hAnsi="Times New Roman" w:eastAsia="仿宋_GB2312" w:cs="Times New Roman"/>
          <w:sz w:val="28"/>
          <w:szCs w:val="32"/>
          <w:highlight w:val="none"/>
          <w:lang w:eastAsia="zh-CN"/>
        </w:rPr>
        <w:t>于田县木尕拉镇阿克依来克村壮大村集体经济建设项目</w:t>
      </w:r>
      <w:r>
        <w:rPr>
          <w:rFonts w:hint="eastAsia" w:ascii="仿宋_GB2312" w:hAnsi="Times New Roman" w:eastAsia="仿宋_GB2312" w:cs="Times New Roman"/>
          <w:sz w:val="28"/>
          <w:szCs w:val="32"/>
          <w:highlight w:val="none"/>
        </w:rPr>
        <w:t>实施方案的批复》（于</w:t>
      </w:r>
      <w:r>
        <w:rPr>
          <w:rFonts w:hint="eastAsia" w:ascii="仿宋_GB2312" w:hAnsi="Times New Roman" w:eastAsia="仿宋_GB2312" w:cs="Times New Roman"/>
          <w:sz w:val="28"/>
          <w:szCs w:val="32"/>
          <w:highlight w:val="none"/>
          <w:lang w:val="en-US" w:eastAsia="zh-CN"/>
        </w:rPr>
        <w:t>民宗</w:t>
      </w:r>
      <w:r>
        <w:rPr>
          <w:rFonts w:hint="eastAsia" w:ascii="仿宋_GB2312" w:hAnsi="Times New Roman" w:eastAsia="仿宋_GB2312" w:cs="Times New Roman"/>
          <w:sz w:val="28"/>
          <w:szCs w:val="32"/>
          <w:highlight w:val="none"/>
        </w:rPr>
        <w:t>[202</w:t>
      </w:r>
      <w:r>
        <w:rPr>
          <w:rFonts w:hint="eastAsia" w:ascii="仿宋_GB2312" w:hAnsi="Times New Roman" w:eastAsia="仿宋_GB2312" w:cs="Times New Roman"/>
          <w:sz w:val="28"/>
          <w:szCs w:val="32"/>
          <w:highlight w:val="none"/>
          <w:lang w:val="en-US" w:eastAsia="zh-CN"/>
        </w:rPr>
        <w:t>4</w:t>
      </w:r>
      <w:r>
        <w:rPr>
          <w:rFonts w:hint="eastAsia" w:ascii="仿宋_GB2312" w:hAnsi="Times New Roman" w:eastAsia="仿宋_GB2312" w:cs="Times New Roman"/>
          <w:sz w:val="28"/>
          <w:szCs w:val="32"/>
          <w:highlight w:val="none"/>
        </w:rPr>
        <w:t>]</w:t>
      </w:r>
      <w:r>
        <w:rPr>
          <w:rFonts w:hint="eastAsia" w:ascii="仿宋_GB2312" w:hAnsi="Times New Roman" w:eastAsia="仿宋_GB2312" w:cs="Times New Roman"/>
          <w:sz w:val="28"/>
          <w:szCs w:val="32"/>
          <w:highlight w:val="none"/>
          <w:lang w:val="en-US" w:eastAsia="zh-CN"/>
        </w:rPr>
        <w:t>6</w:t>
      </w:r>
      <w:r>
        <w:rPr>
          <w:rFonts w:hint="eastAsia" w:ascii="仿宋_GB2312" w:hAnsi="Times New Roman" w:eastAsia="仿宋_GB2312" w:cs="Times New Roman"/>
          <w:sz w:val="28"/>
          <w:szCs w:val="32"/>
          <w:highlight w:val="none"/>
        </w:rPr>
        <w:t>号）</w:t>
      </w:r>
      <w:r>
        <w:rPr>
          <w:rFonts w:hint="eastAsia" w:ascii="仿宋_GB2312" w:hAnsi="Times New Roman" w:eastAsia="仿宋_GB2312" w:cs="Times New Roman"/>
          <w:sz w:val="28"/>
          <w:szCs w:val="32"/>
          <w:highlight w:val="none"/>
          <w:lang w:eastAsia="zh-CN"/>
        </w:rPr>
        <w:t>；</w:t>
      </w:r>
      <w:r>
        <w:rPr>
          <w:rFonts w:hint="eastAsia" w:ascii="仿宋_GB2312" w:hAnsi="Times New Roman" w:eastAsia="仿宋_GB2312" w:cs="Times New Roman"/>
          <w:sz w:val="28"/>
          <w:szCs w:val="32"/>
          <w:highlight w:val="none"/>
          <w:lang w:val="en-US" w:eastAsia="zh-CN"/>
        </w:rPr>
        <w:t>项目</w:t>
      </w:r>
      <w:r>
        <w:rPr>
          <w:rFonts w:hint="eastAsia" w:ascii="仿宋_GB2312" w:hAnsi="Times New Roman" w:eastAsia="仿宋_GB2312" w:cs="Times New Roman"/>
          <w:sz w:val="28"/>
          <w:szCs w:val="32"/>
          <w:highlight w:val="none"/>
        </w:rPr>
        <w:t>建设内容：项目新建业务楼一栋</w:t>
      </w:r>
      <w:r>
        <w:rPr>
          <w:rFonts w:hint="eastAsia" w:ascii="仿宋_GB2312" w:hAnsi="Times New Roman" w:eastAsia="仿宋_GB2312" w:cs="Times New Roman"/>
          <w:sz w:val="28"/>
          <w:szCs w:val="32"/>
          <w:highlight w:val="none"/>
          <w:lang w:eastAsia="zh-CN"/>
        </w:rPr>
        <w:t>，</w:t>
      </w:r>
      <w:r>
        <w:rPr>
          <w:rFonts w:hint="eastAsia" w:ascii="仿宋_GB2312" w:hAnsi="Times New Roman" w:eastAsia="仿宋_GB2312" w:cs="Times New Roman"/>
          <w:sz w:val="28"/>
          <w:szCs w:val="32"/>
          <w:highlight w:val="none"/>
        </w:rPr>
        <w:t>总建筑面积788.91 平方米，框架结构，地上三层，首层层高4.5米，2-3层层高3.3米，室内外高差 0.15 米，建筑高度：13.85 米，柱下独立基础。</w:t>
      </w:r>
    </w:p>
    <w:p w14:paraId="782C95C1">
      <w:pPr>
        <w:spacing w:line="560" w:lineRule="exact"/>
        <w:ind w:firstLine="562" w:firstLineChars="200"/>
        <w:rPr>
          <w:rFonts w:ascii="仿宋_GB2312" w:hAnsi="Times New Roman" w:eastAsia="仿宋_GB2312" w:cs="Times New Roman"/>
          <w:b/>
          <w:bCs/>
          <w:sz w:val="28"/>
          <w:szCs w:val="32"/>
          <w:highlight w:val="none"/>
        </w:rPr>
      </w:pPr>
      <w:r>
        <w:rPr>
          <w:rFonts w:ascii="仿宋_GB2312" w:hAnsi="Times New Roman" w:eastAsia="仿宋_GB2312" w:cs="Times New Roman"/>
          <w:b/>
          <w:bCs/>
          <w:sz w:val="28"/>
          <w:szCs w:val="32"/>
          <w:highlight w:val="none"/>
        </w:rPr>
        <w:t>4</w:t>
      </w:r>
      <w:r>
        <w:rPr>
          <w:rFonts w:hint="eastAsia" w:ascii="仿宋_GB2312" w:hAnsi="Times New Roman" w:eastAsia="仿宋_GB2312" w:cs="Times New Roman"/>
          <w:b/>
          <w:bCs/>
          <w:sz w:val="28"/>
          <w:szCs w:val="32"/>
          <w:highlight w:val="none"/>
        </w:rPr>
        <w:t>、项目基本性质及类别</w:t>
      </w:r>
    </w:p>
    <w:p w14:paraId="6C6AEA68">
      <w:pPr>
        <w:spacing w:line="560" w:lineRule="exact"/>
        <w:ind w:firstLine="560" w:firstLineChars="200"/>
        <w:rPr>
          <w:rFonts w:ascii="仿宋_GB2312" w:hAnsi="Times New Roman" w:eastAsia="仿宋_GB2312" w:cs="Times New Roman"/>
          <w:sz w:val="28"/>
          <w:szCs w:val="32"/>
          <w:highlight w:val="none"/>
        </w:rPr>
      </w:pPr>
      <w:r>
        <w:rPr>
          <w:rFonts w:hint="eastAsia" w:ascii="仿宋_GB2312" w:hAnsi="Times New Roman" w:eastAsia="仿宋_GB2312" w:cs="Times New Roman"/>
          <w:sz w:val="28"/>
          <w:szCs w:val="32"/>
          <w:highlight w:val="none"/>
          <w:lang w:eastAsia="zh-CN"/>
        </w:rPr>
        <w:t>于田县木尕拉镇阿克依来克村壮大村集体经济建设项目</w:t>
      </w:r>
      <w:r>
        <w:rPr>
          <w:rFonts w:hint="eastAsia" w:ascii="仿宋_GB2312" w:hAnsi="Times New Roman" w:eastAsia="仿宋_GB2312" w:cs="Times New Roman"/>
          <w:sz w:val="28"/>
          <w:szCs w:val="32"/>
          <w:highlight w:val="none"/>
        </w:rPr>
        <w:t>性质为</w:t>
      </w:r>
      <w:r>
        <w:rPr>
          <w:rFonts w:hint="eastAsia" w:ascii="仿宋_GB2312" w:hAnsi="Times New Roman" w:eastAsia="仿宋_GB2312" w:cs="Times New Roman"/>
          <w:sz w:val="28"/>
          <w:szCs w:val="32"/>
          <w:highlight w:val="none"/>
          <w:lang w:val="en-US" w:eastAsia="zh-CN"/>
        </w:rPr>
        <w:t>其他</w:t>
      </w:r>
      <w:r>
        <w:rPr>
          <w:rFonts w:hint="eastAsia" w:ascii="仿宋_GB2312" w:hAnsi="Times New Roman" w:eastAsia="仿宋_GB2312" w:cs="Times New Roman"/>
          <w:sz w:val="28"/>
          <w:szCs w:val="32"/>
          <w:highlight w:val="none"/>
        </w:rPr>
        <w:t>建设项目，</w:t>
      </w:r>
      <w:r>
        <w:rPr>
          <w:rFonts w:hint="eastAsia" w:ascii="仿宋_GB2312" w:hAnsi="Times New Roman" w:eastAsia="仿宋_GB2312" w:cs="Times New Roman"/>
          <w:sz w:val="28"/>
          <w:szCs w:val="32"/>
          <w:highlight w:val="none"/>
          <w:lang w:eastAsia="zh-CN"/>
        </w:rPr>
        <w:t>属于</w:t>
      </w:r>
      <w:r>
        <w:rPr>
          <w:rFonts w:hint="eastAsia" w:ascii="仿宋_GB2312" w:hAnsi="Times New Roman" w:eastAsia="仿宋_GB2312" w:cs="Times New Roman"/>
          <w:sz w:val="28"/>
          <w:szCs w:val="32"/>
          <w:highlight w:val="none"/>
          <w:lang w:val="en-US" w:eastAsia="zh-CN"/>
        </w:rPr>
        <w:t>少数民族发展</w:t>
      </w:r>
      <w:r>
        <w:rPr>
          <w:rFonts w:hint="eastAsia" w:ascii="仿宋_GB2312" w:hAnsi="Times New Roman" w:eastAsia="仿宋_GB2312" w:cs="Times New Roman"/>
          <w:sz w:val="28"/>
          <w:szCs w:val="32"/>
          <w:highlight w:val="none"/>
          <w:lang w:eastAsia="zh-CN"/>
        </w:rPr>
        <w:t>资金</w:t>
      </w:r>
      <w:r>
        <w:rPr>
          <w:rFonts w:hint="eastAsia" w:ascii="仿宋_GB2312" w:hAnsi="Times New Roman" w:eastAsia="仿宋_GB2312" w:cs="Times New Roman"/>
          <w:sz w:val="28"/>
          <w:szCs w:val="32"/>
          <w:highlight w:val="none"/>
        </w:rPr>
        <w:t>项目。</w:t>
      </w:r>
    </w:p>
    <w:p w14:paraId="0790C615">
      <w:pPr>
        <w:spacing w:line="560" w:lineRule="exact"/>
        <w:ind w:firstLine="546" w:firstLineChars="200"/>
        <w:rPr>
          <w:rStyle w:val="21"/>
          <w:rFonts w:ascii="楷体_GB2312" w:hAnsi="楷体" w:cs="Times New Roman"/>
          <w:spacing w:val="-4"/>
          <w:sz w:val="28"/>
          <w:szCs w:val="32"/>
          <w:highlight w:val="none"/>
        </w:rPr>
      </w:pPr>
      <w:r>
        <w:rPr>
          <w:rStyle w:val="21"/>
          <w:rFonts w:hint="eastAsia" w:ascii="楷体_GB2312" w:hAnsi="楷体" w:cs="Times New Roman"/>
          <w:spacing w:val="-4"/>
          <w:sz w:val="28"/>
          <w:szCs w:val="32"/>
          <w:highlight w:val="none"/>
        </w:rPr>
        <w:t>（二）财政专项乡村振兴衔接资金项目绩效目标设定情况</w:t>
      </w:r>
    </w:p>
    <w:p w14:paraId="719BE530">
      <w:pPr>
        <w:spacing w:line="560" w:lineRule="exact"/>
        <w:ind w:firstLine="562" w:firstLineChars="200"/>
        <w:rPr>
          <w:rFonts w:ascii="仿宋_GB2312" w:hAnsi="Times New Roman" w:eastAsia="仿宋_GB2312" w:cs="Times New Roman"/>
          <w:b/>
          <w:bCs/>
          <w:sz w:val="28"/>
          <w:szCs w:val="32"/>
          <w:highlight w:val="none"/>
        </w:rPr>
      </w:pPr>
      <w:r>
        <w:rPr>
          <w:rFonts w:hint="eastAsia" w:ascii="仿宋_GB2312" w:hAnsi="Times New Roman" w:eastAsia="仿宋_GB2312" w:cs="Times New Roman"/>
          <w:b/>
          <w:bCs/>
          <w:sz w:val="28"/>
          <w:szCs w:val="32"/>
          <w:highlight w:val="none"/>
        </w:rPr>
        <w:t>1.项目绩效总体目标</w:t>
      </w:r>
    </w:p>
    <w:p w14:paraId="3E4487C7">
      <w:pPr>
        <w:pStyle w:val="54"/>
        <w:spacing w:line="560" w:lineRule="exact"/>
        <w:ind w:left="3" w:right="3" w:firstLine="560"/>
        <w:rPr>
          <w:rFonts w:hint="default" w:ascii="仿宋_GB2312" w:eastAsia="仿宋_GB2312"/>
          <w:color w:val="auto"/>
          <w:szCs w:val="32"/>
          <w:highlight w:val="none"/>
          <w:lang w:val="en-US" w:eastAsia="zh-CN"/>
        </w:rPr>
      </w:pPr>
      <w:r>
        <w:rPr>
          <w:rFonts w:hint="eastAsia" w:ascii="仿宋_GB2312"/>
          <w:color w:val="auto"/>
          <w:szCs w:val="32"/>
          <w:highlight w:val="none"/>
          <w:lang w:eastAsia="zh-CN"/>
        </w:rPr>
        <w:t>于田县木尕拉镇阿克依来克村壮大村集体经济建设项目</w:t>
      </w:r>
      <w:r>
        <w:rPr>
          <w:rFonts w:hint="eastAsia" w:ascii="仿宋_GB2312"/>
          <w:color w:val="auto"/>
          <w:szCs w:val="32"/>
          <w:highlight w:val="none"/>
        </w:rPr>
        <w:t>总投资</w:t>
      </w:r>
      <w:r>
        <w:rPr>
          <w:rFonts w:hint="eastAsia" w:ascii="仿宋_GB2312"/>
          <w:color w:val="auto"/>
          <w:szCs w:val="32"/>
          <w:highlight w:val="none"/>
          <w:lang w:val="en-US" w:eastAsia="zh-CN"/>
        </w:rPr>
        <w:t>172</w:t>
      </w:r>
      <w:r>
        <w:rPr>
          <w:rFonts w:hint="eastAsia" w:ascii="仿宋_GB2312"/>
          <w:color w:val="auto"/>
          <w:szCs w:val="32"/>
          <w:highlight w:val="none"/>
        </w:rPr>
        <w:t>万元，全部申请</w:t>
      </w:r>
      <w:bookmarkStart w:id="0" w:name="OLE_LINK1"/>
      <w:r>
        <w:rPr>
          <w:rFonts w:hint="eastAsia" w:ascii="仿宋_GB2312"/>
          <w:color w:val="auto"/>
          <w:szCs w:val="32"/>
          <w:highlight w:val="none"/>
          <w:lang w:val="en-US" w:eastAsia="zh-CN"/>
        </w:rPr>
        <w:t>少数民族发展</w:t>
      </w:r>
      <w:bookmarkEnd w:id="0"/>
      <w:r>
        <w:rPr>
          <w:rFonts w:hint="eastAsia" w:ascii="仿宋_GB2312"/>
          <w:color w:val="auto"/>
          <w:szCs w:val="32"/>
          <w:highlight w:val="none"/>
        </w:rPr>
        <w:t>资金。主要内容为：项目新建业务楼一栋</w:t>
      </w:r>
      <w:r>
        <w:rPr>
          <w:rFonts w:hint="eastAsia" w:ascii="仿宋_GB2312"/>
          <w:color w:val="auto"/>
          <w:szCs w:val="32"/>
          <w:highlight w:val="none"/>
          <w:lang w:eastAsia="zh-CN"/>
        </w:rPr>
        <w:t>，</w:t>
      </w:r>
      <w:r>
        <w:rPr>
          <w:rFonts w:hint="eastAsia" w:ascii="仿宋_GB2312"/>
          <w:color w:val="auto"/>
          <w:szCs w:val="32"/>
          <w:highlight w:val="none"/>
        </w:rPr>
        <w:t>总建筑面积788.91 平方米，框架结构，地上三层，首层层高4.5米，2-3层层高3.3米，室内外高差 0.15 米，建筑高度：13.85 米，柱下独立基础。</w:t>
      </w:r>
    </w:p>
    <w:p w14:paraId="6E3D3B2C">
      <w:pPr>
        <w:pStyle w:val="54"/>
        <w:spacing w:line="560" w:lineRule="exact"/>
        <w:ind w:left="3" w:right="3" w:firstLine="560"/>
        <w:rPr>
          <w:rFonts w:ascii="仿宋_GB2312"/>
          <w:color w:val="auto"/>
          <w:szCs w:val="32"/>
          <w:highlight w:val="none"/>
        </w:rPr>
      </w:pPr>
      <w:r>
        <w:rPr>
          <w:rFonts w:hint="eastAsia" w:ascii="仿宋_GB2312"/>
          <w:color w:val="auto"/>
          <w:szCs w:val="32"/>
          <w:highlight w:val="none"/>
        </w:rPr>
        <w:t>通过</w:t>
      </w:r>
      <w:r>
        <w:rPr>
          <w:rFonts w:hint="eastAsia" w:ascii="仿宋_GB2312"/>
          <w:color w:val="auto"/>
          <w:szCs w:val="32"/>
          <w:highlight w:val="none"/>
          <w:lang w:eastAsia="zh-CN"/>
        </w:rPr>
        <w:t>于田县木尕拉镇阿克依来克村壮大村集体经济建设项目</w:t>
      </w:r>
      <w:r>
        <w:rPr>
          <w:rFonts w:hint="eastAsia" w:ascii="仿宋_GB2312"/>
          <w:color w:val="auto"/>
          <w:szCs w:val="32"/>
          <w:highlight w:val="none"/>
          <w:lang w:val="en-US" w:eastAsia="zh-CN"/>
        </w:rPr>
        <w:t>的</w:t>
      </w:r>
      <w:r>
        <w:rPr>
          <w:rFonts w:hint="eastAsia" w:ascii="仿宋_GB2312"/>
          <w:color w:val="auto"/>
          <w:szCs w:val="32"/>
          <w:highlight w:val="none"/>
        </w:rPr>
        <w:t>实施，有效提升城乡建设融合发展，推动辖区经济发展。使于田县木尕拉镇阿克依来克村的村集体经济收入得到明显提高，有效改善于田县木尕拉镇阿克依来克村人居环境，提高居民就业生产生活质量。</w:t>
      </w:r>
      <w:r>
        <w:rPr>
          <w:rFonts w:hint="eastAsia" w:ascii="仿宋_GB2312" w:cs="Times New Roman"/>
          <w:sz w:val="28"/>
          <w:szCs w:val="32"/>
          <w:highlight w:val="none"/>
          <w:lang w:val="en-US" w:eastAsia="zh-CN"/>
        </w:rPr>
        <w:t>不仅涵盖</w:t>
      </w:r>
      <w:r>
        <w:rPr>
          <w:rFonts w:hint="eastAsia" w:ascii="仿宋_GB2312" w:hAnsi="Times New Roman" w:eastAsia="仿宋_GB2312" w:cs="Times New Roman"/>
          <w:sz w:val="28"/>
          <w:szCs w:val="32"/>
          <w:highlight w:val="none"/>
        </w:rPr>
        <w:t>商铺的建立、设施的配套、</w:t>
      </w:r>
      <w:r>
        <w:rPr>
          <w:rFonts w:hint="eastAsia" w:ascii="仿宋_GB2312" w:cs="Times New Roman"/>
          <w:sz w:val="28"/>
          <w:szCs w:val="32"/>
          <w:highlight w:val="none"/>
          <w:lang w:val="en-US" w:eastAsia="zh-CN"/>
        </w:rPr>
        <w:t>商业化</w:t>
      </w:r>
      <w:r>
        <w:rPr>
          <w:rFonts w:hint="eastAsia" w:ascii="仿宋_GB2312" w:hAnsi="Times New Roman" w:eastAsia="仿宋_GB2312" w:cs="Times New Roman"/>
          <w:sz w:val="28"/>
          <w:szCs w:val="32"/>
          <w:highlight w:val="none"/>
        </w:rPr>
        <w:t>管理水平的提高，</w:t>
      </w:r>
      <w:r>
        <w:rPr>
          <w:rFonts w:hint="eastAsia" w:ascii="仿宋_GB2312" w:cs="Times New Roman"/>
          <w:sz w:val="28"/>
          <w:szCs w:val="32"/>
          <w:highlight w:val="none"/>
          <w:lang w:val="en-US" w:eastAsia="zh-CN"/>
        </w:rPr>
        <w:t>同时可</w:t>
      </w:r>
      <w:r>
        <w:rPr>
          <w:rFonts w:hint="eastAsia" w:ascii="仿宋_GB2312" w:hAnsi="Times New Roman" w:eastAsia="仿宋_GB2312" w:cs="Times New Roman"/>
          <w:sz w:val="28"/>
          <w:szCs w:val="32"/>
          <w:highlight w:val="none"/>
        </w:rPr>
        <w:t>为农民和商户提供农产品供需、价格等方面的信息，保障市场交易的公平和公正</w:t>
      </w:r>
      <w:r>
        <w:rPr>
          <w:rFonts w:hint="eastAsia" w:ascii="仿宋_GB2312" w:hAnsi="Times New Roman" w:eastAsia="仿宋_GB2312" w:cs="Times New Roman"/>
          <w:sz w:val="28"/>
          <w:szCs w:val="32"/>
          <w:highlight w:val="none"/>
          <w:lang w:eastAsia="zh-CN"/>
        </w:rPr>
        <w:t>，</w:t>
      </w:r>
      <w:r>
        <w:rPr>
          <w:rFonts w:hint="eastAsia" w:ascii="仿宋_GB2312" w:hAnsi="Times New Roman" w:eastAsia="仿宋_GB2312" w:cs="Times New Roman"/>
          <w:sz w:val="28"/>
          <w:szCs w:val="32"/>
          <w:highlight w:val="none"/>
          <w:lang w:val="en-US" w:eastAsia="zh-CN"/>
        </w:rPr>
        <w:t>且提升当地农牧民群众增收就业</w:t>
      </w:r>
      <w:r>
        <w:rPr>
          <w:rFonts w:hint="eastAsia" w:ascii="仿宋_GB2312" w:cs="Times New Roman"/>
          <w:sz w:val="28"/>
          <w:szCs w:val="32"/>
          <w:highlight w:val="none"/>
          <w:lang w:val="en-US" w:eastAsia="zh-CN"/>
        </w:rPr>
        <w:t>条件，创造商业经济体连带效益，扩大地域经济发展，增加收入来源等</w:t>
      </w:r>
      <w:r>
        <w:rPr>
          <w:rFonts w:hint="eastAsia" w:ascii="仿宋_GB2312"/>
          <w:color w:val="auto"/>
          <w:szCs w:val="32"/>
          <w:highlight w:val="none"/>
        </w:rPr>
        <w:t>。</w:t>
      </w:r>
    </w:p>
    <w:p w14:paraId="4DF4A9D8">
      <w:pPr>
        <w:pStyle w:val="54"/>
        <w:spacing w:line="560" w:lineRule="exact"/>
        <w:ind w:left="3" w:right="3" w:firstLine="562"/>
        <w:rPr>
          <w:rFonts w:ascii="仿宋_GB2312"/>
          <w:b/>
          <w:bCs/>
          <w:color w:val="auto"/>
          <w:szCs w:val="32"/>
          <w:highlight w:val="none"/>
        </w:rPr>
      </w:pPr>
      <w:r>
        <w:rPr>
          <w:rFonts w:hint="eastAsia" w:ascii="仿宋_GB2312"/>
          <w:b/>
          <w:bCs/>
          <w:color w:val="auto"/>
          <w:szCs w:val="32"/>
          <w:highlight w:val="none"/>
        </w:rPr>
        <w:t>2.具体绩效指标</w:t>
      </w:r>
    </w:p>
    <w:p w14:paraId="71238251">
      <w:pPr>
        <w:pStyle w:val="54"/>
        <w:spacing w:line="560" w:lineRule="exact"/>
        <w:ind w:left="3" w:right="3" w:firstLine="560"/>
        <w:rPr>
          <w:rFonts w:ascii="仿宋_GB2312"/>
          <w:color w:val="auto"/>
          <w:szCs w:val="32"/>
          <w:highlight w:val="none"/>
        </w:rPr>
      </w:pPr>
      <w:r>
        <w:rPr>
          <w:rFonts w:ascii="仿宋_GB2312"/>
          <w:color w:val="auto"/>
          <w:szCs w:val="32"/>
          <w:highlight w:val="none"/>
        </w:rPr>
        <w:t>根据《自治区财政专项扶贫资金绩效管理操作指南》（新财预〔2019〕170号）的规定，结合项目具体情况，</w:t>
      </w:r>
      <w:r>
        <w:rPr>
          <w:rFonts w:hint="eastAsia" w:ascii="仿宋_GB2312"/>
          <w:color w:val="auto"/>
          <w:szCs w:val="32"/>
          <w:highlight w:val="none"/>
        </w:rPr>
        <w:t>本项目共设置一级指标3个，二级指标</w:t>
      </w:r>
      <w:r>
        <w:rPr>
          <w:rFonts w:hint="eastAsia" w:ascii="仿宋_GB2312"/>
          <w:color w:val="auto"/>
          <w:szCs w:val="32"/>
          <w:highlight w:val="none"/>
          <w:lang w:val="en-US" w:eastAsia="zh-CN"/>
        </w:rPr>
        <w:t>6</w:t>
      </w:r>
      <w:r>
        <w:rPr>
          <w:rFonts w:hint="eastAsia" w:ascii="仿宋_GB2312"/>
          <w:color w:val="auto"/>
          <w:szCs w:val="32"/>
          <w:highlight w:val="none"/>
        </w:rPr>
        <w:t>个，三级指标1</w:t>
      </w:r>
      <w:r>
        <w:rPr>
          <w:rFonts w:hint="eastAsia" w:ascii="仿宋_GB2312"/>
          <w:color w:val="auto"/>
          <w:szCs w:val="32"/>
          <w:highlight w:val="none"/>
          <w:lang w:val="en-US" w:eastAsia="zh-CN"/>
        </w:rPr>
        <w:t>2</w:t>
      </w:r>
      <w:r>
        <w:rPr>
          <w:rFonts w:hint="eastAsia" w:ascii="仿宋_GB2312"/>
          <w:color w:val="auto"/>
          <w:szCs w:val="32"/>
          <w:highlight w:val="none"/>
        </w:rPr>
        <w:t>个。</w:t>
      </w:r>
    </w:p>
    <w:p w14:paraId="21433A40">
      <w:pPr>
        <w:pStyle w:val="31"/>
        <w:spacing w:before="120"/>
        <w:ind w:left="0" w:leftChars="0" w:right="3" w:firstLine="562" w:firstLineChars="200"/>
        <w:rPr>
          <w:rFonts w:eastAsia="宋体"/>
          <w:color w:val="auto"/>
          <w:sz w:val="21"/>
          <w:highlight w:val="none"/>
        </w:rPr>
      </w:pPr>
      <w:r>
        <w:rPr>
          <w:rFonts w:hint="eastAsia"/>
          <w:color w:val="auto"/>
          <w:highlight w:val="none"/>
        </w:rPr>
        <w:t>二、绩效自评工作开展情况</w:t>
      </w:r>
    </w:p>
    <w:p w14:paraId="6F972AAE">
      <w:pPr>
        <w:spacing w:line="560" w:lineRule="exact"/>
        <w:ind w:firstLine="546" w:firstLineChars="200"/>
        <w:rPr>
          <w:rStyle w:val="21"/>
          <w:rFonts w:ascii="楷体_GB2312" w:hAnsi="楷体" w:cs="Times New Roman"/>
          <w:spacing w:val="-4"/>
          <w:sz w:val="28"/>
          <w:szCs w:val="32"/>
          <w:highlight w:val="none"/>
        </w:rPr>
      </w:pPr>
      <w:r>
        <w:rPr>
          <w:rStyle w:val="21"/>
          <w:rFonts w:hint="eastAsia" w:ascii="楷体_GB2312" w:hAnsi="楷体" w:cs="Times New Roman"/>
          <w:spacing w:val="-4"/>
          <w:sz w:val="28"/>
          <w:szCs w:val="32"/>
          <w:highlight w:val="none"/>
        </w:rPr>
        <w:t>（一）绩效自评工作开展范围</w:t>
      </w:r>
    </w:p>
    <w:p w14:paraId="4FD94851">
      <w:pPr>
        <w:pStyle w:val="54"/>
        <w:spacing w:line="560" w:lineRule="exact"/>
        <w:ind w:left="3" w:right="3" w:firstLine="560"/>
        <w:rPr>
          <w:color w:val="auto"/>
          <w:highlight w:val="none"/>
        </w:rPr>
      </w:pPr>
      <w:r>
        <w:rPr>
          <w:color w:val="auto"/>
          <w:highlight w:val="none"/>
        </w:rPr>
        <w:t>本次自评范围涵盖项目总体绩效目标、各项绩效指标完成情况以及预算执行情况。</w:t>
      </w:r>
    </w:p>
    <w:p w14:paraId="34154431">
      <w:pPr>
        <w:spacing w:line="560" w:lineRule="exact"/>
        <w:ind w:firstLine="546" w:firstLineChars="200"/>
        <w:rPr>
          <w:rStyle w:val="21"/>
          <w:rFonts w:ascii="楷体_GB2312" w:hAnsi="楷体" w:cs="Times New Roman"/>
          <w:spacing w:val="-4"/>
          <w:sz w:val="28"/>
          <w:szCs w:val="32"/>
          <w:highlight w:val="none"/>
        </w:rPr>
      </w:pPr>
      <w:r>
        <w:rPr>
          <w:rStyle w:val="21"/>
          <w:rFonts w:hint="eastAsia" w:ascii="楷体_GB2312" w:hAnsi="楷体" w:cs="Times New Roman"/>
          <w:spacing w:val="-4"/>
          <w:sz w:val="28"/>
          <w:szCs w:val="32"/>
          <w:highlight w:val="none"/>
        </w:rPr>
        <w:t>（二）绩效自评工作对象</w:t>
      </w:r>
    </w:p>
    <w:p w14:paraId="5A81B1BC">
      <w:pPr>
        <w:pStyle w:val="54"/>
        <w:spacing w:line="560" w:lineRule="exact"/>
        <w:ind w:left="3" w:right="3" w:firstLine="560"/>
        <w:rPr>
          <w:color w:val="auto"/>
          <w:highlight w:val="none"/>
        </w:rPr>
      </w:pPr>
      <w:r>
        <w:rPr>
          <w:color w:val="auto"/>
          <w:highlight w:val="none"/>
        </w:rP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color w:val="auto"/>
          <w:highlight w:val="none"/>
          <w:lang w:eastAsia="zh-CN"/>
        </w:rPr>
        <w:t>于田县木尕拉镇阿克依来克村壮大村集体经济建设项目</w:t>
      </w:r>
      <w:r>
        <w:rPr>
          <w:color w:val="auto"/>
          <w:highlight w:val="none"/>
        </w:rPr>
        <w:t>资金的使用管理、项目产出、综合效益等进行评价。</w:t>
      </w:r>
    </w:p>
    <w:p w14:paraId="4734B96A">
      <w:pPr>
        <w:spacing w:line="560" w:lineRule="exact"/>
        <w:ind w:firstLine="546" w:firstLineChars="200"/>
        <w:rPr>
          <w:rStyle w:val="21"/>
          <w:rFonts w:ascii="楷体_GB2312" w:hAnsi="楷体" w:cs="Times New Roman"/>
          <w:spacing w:val="-4"/>
          <w:sz w:val="28"/>
          <w:szCs w:val="32"/>
          <w:highlight w:val="none"/>
        </w:rPr>
      </w:pPr>
      <w:r>
        <w:rPr>
          <w:rStyle w:val="21"/>
          <w:rFonts w:hint="eastAsia" w:ascii="楷体_GB2312" w:hAnsi="楷体" w:cs="Times New Roman"/>
          <w:spacing w:val="-4"/>
          <w:sz w:val="28"/>
          <w:szCs w:val="32"/>
          <w:highlight w:val="none"/>
        </w:rPr>
        <w:t>（三）绩效自评工作方式</w:t>
      </w:r>
    </w:p>
    <w:p w14:paraId="5B15D9A9">
      <w:pPr>
        <w:pStyle w:val="35"/>
        <w:rPr>
          <w:color w:val="auto"/>
          <w:highlight w:val="none"/>
        </w:rPr>
      </w:pPr>
      <w:r>
        <w:rPr>
          <w:rFonts w:hint="eastAsia"/>
          <w:color w:val="auto"/>
          <w:highlight w:val="none"/>
        </w:rPr>
        <w:t>1.前期准备</w:t>
      </w:r>
    </w:p>
    <w:p w14:paraId="6BD24907">
      <w:pPr>
        <w:pStyle w:val="54"/>
        <w:spacing w:line="560" w:lineRule="exact"/>
        <w:ind w:left="3" w:right="0" w:rightChars="0" w:firstLine="560"/>
        <w:rPr>
          <w:color w:val="auto"/>
          <w:highlight w:val="none"/>
        </w:rPr>
      </w:pPr>
      <w:r>
        <w:rPr>
          <w:color w:val="auto"/>
          <w:highlight w:val="none"/>
        </w:rPr>
        <w:t>202</w:t>
      </w:r>
      <w:r>
        <w:rPr>
          <w:rFonts w:hint="eastAsia"/>
          <w:color w:val="auto"/>
          <w:highlight w:val="none"/>
          <w:lang w:val="en-US" w:eastAsia="zh-CN"/>
        </w:rPr>
        <w:t>4</w:t>
      </w:r>
      <w:r>
        <w:rPr>
          <w:color w:val="auto"/>
          <w:highlight w:val="none"/>
        </w:rPr>
        <w:t>年，认真学习相关要求与规定，成立绩效自评工作组，作为绩效自评工作具体实施机构。成员构成如下：</w:t>
      </w:r>
    </w:p>
    <w:p w14:paraId="759068CE">
      <w:pPr>
        <w:pStyle w:val="54"/>
        <w:spacing w:line="540" w:lineRule="exact"/>
        <w:ind w:left="3" w:right="3" w:firstLine="560"/>
        <w:rPr>
          <w:color w:val="auto"/>
          <w:highlight w:val="none"/>
        </w:rPr>
      </w:pPr>
      <w:r>
        <w:rPr>
          <w:rFonts w:hint="eastAsia"/>
          <w:color w:val="auto"/>
          <w:highlight w:val="none"/>
        </w:rPr>
        <w:t>组     长：</w:t>
      </w:r>
      <w:r>
        <w:rPr>
          <w:rFonts w:hint="eastAsia"/>
          <w:color w:val="auto"/>
          <w:highlight w:val="none"/>
          <w:lang w:val="en-US" w:eastAsia="zh-CN"/>
        </w:rPr>
        <w:t>张    磊</w:t>
      </w:r>
      <w:r>
        <w:rPr>
          <w:rFonts w:hint="eastAsia"/>
          <w:color w:val="auto"/>
          <w:highlight w:val="none"/>
        </w:rPr>
        <w:t xml:space="preserve">                 </w:t>
      </w:r>
      <w:r>
        <w:rPr>
          <w:color w:val="auto"/>
          <w:highlight w:val="none"/>
        </w:rPr>
        <w:t xml:space="preserve">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木尕拉镇党委书记</w:t>
      </w:r>
    </w:p>
    <w:p w14:paraId="334B3890">
      <w:pPr>
        <w:pStyle w:val="54"/>
        <w:spacing w:line="540" w:lineRule="exact"/>
        <w:ind w:left="3" w:right="3" w:firstLine="560"/>
        <w:rPr>
          <w:color w:val="auto"/>
          <w:highlight w:val="none"/>
        </w:rPr>
      </w:pPr>
      <w:r>
        <w:rPr>
          <w:rFonts w:hint="eastAsia"/>
          <w:color w:val="auto"/>
          <w:highlight w:val="none"/>
        </w:rPr>
        <w:t>副组长：麦托合提·麦麦提敏                    木尕拉镇政府镇长</w:t>
      </w:r>
    </w:p>
    <w:p w14:paraId="570FD631">
      <w:pPr>
        <w:pStyle w:val="54"/>
        <w:spacing w:line="540" w:lineRule="exact"/>
        <w:ind w:left="3080" w:leftChars="175" w:right="3" w:hanging="2520" w:hangingChars="900"/>
        <w:rPr>
          <w:rFonts w:hint="default" w:eastAsia="仿宋_GB2312"/>
          <w:color w:val="auto"/>
          <w:highlight w:val="none"/>
          <w:lang w:val="en-US" w:eastAsia="zh-CN"/>
        </w:rPr>
      </w:pPr>
      <w:r>
        <w:rPr>
          <w:rFonts w:hint="eastAsia"/>
          <w:color w:val="auto"/>
          <w:highlight w:val="none"/>
        </w:rPr>
        <w:t>成    员：</w:t>
      </w:r>
      <w:r>
        <w:rPr>
          <w:rFonts w:hint="eastAsia"/>
          <w:color w:val="auto"/>
          <w:highlight w:val="none"/>
          <w:lang w:val="en-US" w:eastAsia="zh-CN"/>
        </w:rPr>
        <w:t>买买提艾莎·如孜</w:t>
      </w:r>
      <w:r>
        <w:rPr>
          <w:rFonts w:hint="eastAsia"/>
          <w:color w:val="auto"/>
          <w:highlight w:val="none"/>
        </w:rPr>
        <w:t xml:space="preserve">          </w:t>
      </w:r>
      <w:r>
        <w:rPr>
          <w:rFonts w:hint="eastAsia"/>
          <w:color w:val="auto"/>
          <w:highlight w:val="none"/>
          <w:lang w:val="en-US" w:eastAsia="zh-CN"/>
        </w:rPr>
        <w:t xml:space="preserve">              木尕拉镇人大主席</w:t>
      </w:r>
    </w:p>
    <w:p w14:paraId="03545E4F">
      <w:pPr>
        <w:pStyle w:val="54"/>
        <w:spacing w:line="540" w:lineRule="exact"/>
        <w:ind w:right="3" w:firstLine="1680" w:firstLineChars="600"/>
        <w:rPr>
          <w:rFonts w:hint="eastAsia" w:eastAsia="仿宋_GB2312"/>
          <w:color w:val="auto"/>
          <w:highlight w:val="none"/>
          <w:lang w:val="en-US" w:eastAsia="zh-CN"/>
        </w:rPr>
      </w:pPr>
      <w:r>
        <w:rPr>
          <w:rFonts w:hint="eastAsia"/>
          <w:color w:val="auto"/>
          <w:highlight w:val="none"/>
        </w:rPr>
        <w:t xml:space="preserve">左 鹏                                   </w:t>
      </w:r>
      <w:r>
        <w:rPr>
          <w:rFonts w:hint="eastAsia"/>
          <w:color w:val="auto"/>
          <w:highlight w:val="none"/>
          <w:lang w:val="en-US" w:eastAsia="zh-CN"/>
        </w:rPr>
        <w:t xml:space="preserve">            木尕拉镇党委</w:t>
      </w:r>
      <w:r>
        <w:rPr>
          <w:rFonts w:hint="eastAsia"/>
          <w:color w:val="auto"/>
          <w:highlight w:val="none"/>
        </w:rPr>
        <w:t>副书记</w:t>
      </w:r>
      <w:r>
        <w:rPr>
          <w:rFonts w:hint="eastAsia"/>
          <w:color w:val="auto"/>
          <w:highlight w:val="none"/>
          <w:lang w:val="en-US" w:eastAsia="zh-CN"/>
        </w:rPr>
        <w:t xml:space="preserve"> </w:t>
      </w:r>
    </w:p>
    <w:p w14:paraId="342E9D33">
      <w:pPr>
        <w:pStyle w:val="54"/>
        <w:spacing w:line="540" w:lineRule="exact"/>
        <w:ind w:left="0" w:leftChars="0" w:right="3" w:firstLine="1680" w:firstLineChars="600"/>
        <w:rPr>
          <w:rFonts w:hint="default" w:eastAsia="仿宋_GB2312"/>
          <w:color w:val="auto"/>
          <w:highlight w:val="none"/>
          <w:lang w:val="en-US" w:eastAsia="zh-CN"/>
        </w:rPr>
      </w:pPr>
      <w:r>
        <w:rPr>
          <w:rFonts w:hint="eastAsia"/>
          <w:color w:val="auto"/>
          <w:highlight w:val="none"/>
          <w:lang w:val="en-US" w:eastAsia="zh-CN"/>
        </w:rPr>
        <w:t>郑昕元</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木尕拉镇</w:t>
      </w:r>
      <w:r>
        <w:rPr>
          <w:rFonts w:hint="eastAsia"/>
          <w:color w:val="auto"/>
          <w:highlight w:val="none"/>
          <w:lang w:val="en-US" w:eastAsia="zh-CN"/>
        </w:rPr>
        <w:t>纪检书记</w:t>
      </w:r>
    </w:p>
    <w:p w14:paraId="2C6A5D8A">
      <w:pPr>
        <w:pStyle w:val="54"/>
        <w:spacing w:line="540" w:lineRule="exact"/>
        <w:ind w:left="0" w:leftChars="0" w:right="3" w:firstLine="1680" w:firstLineChars="600"/>
        <w:rPr>
          <w:rFonts w:hint="default" w:eastAsia="仿宋_GB2312"/>
          <w:color w:val="auto"/>
          <w:highlight w:val="none"/>
          <w:lang w:val="en-US" w:eastAsia="zh-CN"/>
        </w:rPr>
      </w:pPr>
      <w:r>
        <w:rPr>
          <w:rFonts w:hint="eastAsia"/>
          <w:color w:val="auto"/>
          <w:highlight w:val="none"/>
          <w:lang w:val="en-US" w:eastAsia="zh-CN"/>
        </w:rPr>
        <w:t xml:space="preserve">阿力木江·买吐送                        </w:t>
      </w:r>
      <w:r>
        <w:rPr>
          <w:rFonts w:hint="eastAsia"/>
          <w:color w:val="auto"/>
          <w:highlight w:val="none"/>
        </w:rPr>
        <w:t>木尕拉镇</w:t>
      </w:r>
      <w:r>
        <w:rPr>
          <w:rFonts w:hint="eastAsia"/>
          <w:color w:val="auto"/>
          <w:highlight w:val="none"/>
          <w:lang w:val="en-US" w:eastAsia="zh-CN"/>
        </w:rPr>
        <w:t>政府</w:t>
      </w:r>
      <w:r>
        <w:rPr>
          <w:rFonts w:hint="eastAsia"/>
          <w:color w:val="auto"/>
          <w:highlight w:val="none"/>
        </w:rPr>
        <w:t>副镇长</w:t>
      </w:r>
    </w:p>
    <w:p w14:paraId="34B698F2">
      <w:pPr>
        <w:pStyle w:val="54"/>
        <w:spacing w:line="540" w:lineRule="exact"/>
        <w:ind w:left="0" w:leftChars="0" w:right="3" w:firstLine="1680" w:firstLineChars="600"/>
        <w:rPr>
          <w:rFonts w:hint="eastAsia"/>
          <w:color w:val="auto"/>
          <w:highlight w:val="none"/>
        </w:rPr>
      </w:pPr>
      <w:r>
        <w:rPr>
          <w:rFonts w:hint="eastAsia"/>
          <w:color w:val="auto"/>
          <w:highlight w:val="none"/>
        </w:rPr>
        <w:t xml:space="preserve">高 云                                            </w:t>
      </w:r>
      <w:r>
        <w:rPr>
          <w:rFonts w:hint="eastAsia"/>
          <w:color w:val="auto"/>
          <w:highlight w:val="none"/>
          <w:lang w:val="en-US" w:eastAsia="zh-CN"/>
        </w:rPr>
        <w:t xml:space="preserve">   </w:t>
      </w:r>
      <w:r>
        <w:rPr>
          <w:rFonts w:hint="eastAsia"/>
          <w:color w:val="auto"/>
          <w:highlight w:val="none"/>
        </w:rPr>
        <w:t>木尕拉镇</w:t>
      </w:r>
      <w:r>
        <w:rPr>
          <w:rFonts w:hint="eastAsia"/>
          <w:color w:val="auto"/>
          <w:highlight w:val="none"/>
          <w:lang w:val="en-US" w:eastAsia="zh-CN"/>
        </w:rPr>
        <w:t>政府</w:t>
      </w:r>
      <w:r>
        <w:rPr>
          <w:rFonts w:hint="eastAsia"/>
          <w:color w:val="auto"/>
          <w:highlight w:val="none"/>
        </w:rPr>
        <w:t>副镇长</w:t>
      </w:r>
    </w:p>
    <w:p w14:paraId="03632497">
      <w:pPr>
        <w:pStyle w:val="54"/>
        <w:spacing w:line="540" w:lineRule="exact"/>
        <w:ind w:left="0" w:leftChars="0" w:right="3" w:firstLine="1680" w:firstLineChars="600"/>
        <w:rPr>
          <w:color w:val="auto"/>
          <w:highlight w:val="none"/>
        </w:rPr>
      </w:pPr>
      <w:r>
        <w:rPr>
          <w:rFonts w:hint="eastAsia"/>
          <w:color w:val="auto"/>
          <w:highlight w:val="none"/>
          <w:lang w:val="en-US" w:eastAsia="zh-CN"/>
        </w:rPr>
        <w:t xml:space="preserve">帕提古丽·伊敏                            </w:t>
      </w:r>
      <w:r>
        <w:rPr>
          <w:rFonts w:hint="eastAsia"/>
          <w:color w:val="auto"/>
          <w:highlight w:val="none"/>
        </w:rPr>
        <w:t>木尕拉镇</w:t>
      </w:r>
      <w:r>
        <w:rPr>
          <w:rFonts w:hint="eastAsia"/>
          <w:color w:val="auto"/>
          <w:highlight w:val="none"/>
          <w:lang w:val="en-US" w:eastAsia="zh-CN"/>
        </w:rPr>
        <w:t>财政所所长</w:t>
      </w:r>
    </w:p>
    <w:p w14:paraId="63CE1E38">
      <w:pPr>
        <w:pStyle w:val="54"/>
        <w:spacing w:line="560" w:lineRule="exact"/>
        <w:ind w:left="3" w:right="3" w:firstLine="560"/>
        <w:rPr>
          <w:color w:val="auto"/>
          <w:highlight w:val="none"/>
        </w:rPr>
      </w:pPr>
      <w:r>
        <w:rPr>
          <w:rFonts w:hint="eastAsia"/>
          <w:color w:val="auto"/>
          <w:highlight w:val="none"/>
          <w:lang w:val="en-US" w:eastAsia="zh-CN"/>
        </w:rPr>
        <w:t>项目</w:t>
      </w:r>
      <w:r>
        <w:rPr>
          <w:rFonts w:hint="eastAsia"/>
          <w:color w:val="auto"/>
          <w:highlight w:val="none"/>
        </w:rPr>
        <w:t>办负责项目的计划制定、实施，督查、指导相关单位共同做好项目管理工作。切实把该项目作为基础设施建设的重要举措来抓，加强领导，明确分工，落实责任，密切配合，形成合力，推动该项目顺利实施。由木尕拉镇人民政府牵头，负责整个项目的统筹安排和经费使用管理工作，实现分级管理制度。</w:t>
      </w:r>
    </w:p>
    <w:p w14:paraId="729FE2BF">
      <w:pPr>
        <w:pStyle w:val="35"/>
        <w:rPr>
          <w:color w:val="auto"/>
          <w:highlight w:val="none"/>
        </w:rPr>
      </w:pPr>
      <w:r>
        <w:rPr>
          <w:rFonts w:hint="eastAsia"/>
          <w:color w:val="auto"/>
          <w:highlight w:val="none"/>
        </w:rPr>
        <w:t>2.组织实施</w:t>
      </w:r>
    </w:p>
    <w:p w14:paraId="632C18B9">
      <w:pPr>
        <w:pStyle w:val="54"/>
        <w:spacing w:line="560" w:lineRule="exact"/>
        <w:ind w:left="3" w:right="3" w:firstLine="560"/>
        <w:rPr>
          <w:color w:val="auto"/>
          <w:highlight w:val="none"/>
        </w:rPr>
      </w:pPr>
      <w:r>
        <w:rPr>
          <w:color w:val="auto"/>
          <w:highlight w:val="none"/>
        </w:rPr>
        <w:t>成立绩效自评工作组后，经评价组通过实地调研等方式，采用综合分析法对项目的决策、管理、绩效进行的综合评价分析。</w:t>
      </w:r>
    </w:p>
    <w:p w14:paraId="2F5E1552">
      <w:pPr>
        <w:pStyle w:val="35"/>
        <w:rPr>
          <w:color w:val="auto"/>
          <w:highlight w:val="none"/>
        </w:rPr>
      </w:pPr>
      <w:r>
        <w:rPr>
          <w:rFonts w:hint="eastAsia"/>
          <w:color w:val="auto"/>
          <w:highlight w:val="none"/>
        </w:rPr>
        <w:t>3.分析评价。</w:t>
      </w:r>
    </w:p>
    <w:p w14:paraId="4AA9EDDF">
      <w:pPr>
        <w:pStyle w:val="54"/>
        <w:spacing w:line="560" w:lineRule="exact"/>
        <w:ind w:left="3" w:right="3" w:firstLine="560"/>
        <w:rPr>
          <w:color w:val="auto"/>
          <w:highlight w:val="none"/>
        </w:rPr>
      </w:pPr>
      <w:r>
        <w:rPr>
          <w:color w:val="auto"/>
          <w:highlight w:val="none"/>
        </w:rPr>
        <w:t>首先按照指标体系进行定量、定性分析。其次开展量化打分、综合评价工作，形成初步评价结论。最后归纳整体项目情况与存在问题，撰写绩效自评报告。</w:t>
      </w:r>
    </w:p>
    <w:p w14:paraId="67016835">
      <w:pPr>
        <w:pStyle w:val="54"/>
        <w:spacing w:line="560" w:lineRule="exact"/>
        <w:ind w:left="3" w:right="3" w:firstLine="560"/>
        <w:rPr>
          <w:color w:val="auto"/>
          <w:highlight w:val="none"/>
        </w:rPr>
      </w:pPr>
      <w:r>
        <w:rPr>
          <w:color w:val="auto"/>
          <w:highlight w:val="none"/>
        </w:rPr>
        <w:t>（1）绩效自评指标体系</w:t>
      </w:r>
    </w:p>
    <w:p w14:paraId="14755C02">
      <w:pPr>
        <w:pStyle w:val="54"/>
        <w:spacing w:line="560" w:lineRule="exact"/>
        <w:ind w:left="3" w:right="3" w:firstLine="560"/>
        <w:rPr>
          <w:color w:val="auto"/>
          <w:highlight w:val="none"/>
        </w:rPr>
      </w:pPr>
      <w:r>
        <w:rPr>
          <w:color w:val="auto"/>
          <w:highlight w:val="none"/>
        </w:rPr>
        <w:t>按照《自治区财政专项扶贫资金绩效管理操作指南》（新财预〔2019〕170号）文件要求，并根据项目各项指标重要程度确定二级指标的分值，并对核心指标赋予更高的权重。其中：数量指标</w:t>
      </w:r>
      <w:r>
        <w:rPr>
          <w:rFonts w:hint="eastAsia"/>
          <w:color w:val="auto"/>
          <w:highlight w:val="none"/>
          <w:lang w:val="en-US" w:eastAsia="zh-CN"/>
        </w:rPr>
        <w:t>18</w:t>
      </w:r>
      <w:r>
        <w:rPr>
          <w:color w:val="auto"/>
          <w:highlight w:val="none"/>
        </w:rPr>
        <w:t>分、质量指标</w:t>
      </w:r>
      <w:r>
        <w:rPr>
          <w:rFonts w:hint="eastAsia"/>
          <w:color w:val="auto"/>
          <w:highlight w:val="none"/>
          <w:lang w:val="en-US" w:eastAsia="zh-CN"/>
        </w:rPr>
        <w:t>10</w:t>
      </w:r>
      <w:r>
        <w:rPr>
          <w:color w:val="auto"/>
          <w:highlight w:val="none"/>
        </w:rPr>
        <w:t>分，时效指标</w:t>
      </w:r>
      <w:r>
        <w:rPr>
          <w:rFonts w:hint="eastAsia"/>
          <w:color w:val="auto"/>
          <w:highlight w:val="none"/>
          <w:lang w:val="en-US" w:eastAsia="zh-CN"/>
        </w:rPr>
        <w:t>10</w:t>
      </w:r>
      <w:r>
        <w:rPr>
          <w:color w:val="auto"/>
          <w:highlight w:val="none"/>
        </w:rPr>
        <w:t>分、成本指标</w:t>
      </w:r>
      <w:r>
        <w:rPr>
          <w:rFonts w:hint="eastAsia"/>
          <w:color w:val="auto"/>
          <w:highlight w:val="none"/>
          <w:lang w:val="en-US" w:eastAsia="zh-CN"/>
        </w:rPr>
        <w:t>12</w:t>
      </w:r>
      <w:r>
        <w:rPr>
          <w:color w:val="auto"/>
          <w:highlight w:val="none"/>
        </w:rPr>
        <w:t>分、效益指标</w:t>
      </w:r>
      <w:r>
        <w:rPr>
          <w:rFonts w:hint="eastAsia"/>
          <w:color w:val="auto"/>
          <w:highlight w:val="none"/>
          <w:lang w:val="en-US" w:eastAsia="zh-CN"/>
        </w:rPr>
        <w:t>30</w:t>
      </w:r>
      <w:r>
        <w:rPr>
          <w:color w:val="auto"/>
          <w:highlight w:val="none"/>
        </w:rPr>
        <w:t>分、</w:t>
      </w:r>
      <w:r>
        <w:rPr>
          <w:rFonts w:hint="eastAsia"/>
          <w:color w:val="auto"/>
          <w:highlight w:val="none"/>
          <w:lang w:val="en-US" w:eastAsia="zh-CN"/>
        </w:rPr>
        <w:t>服务对象</w:t>
      </w:r>
      <w:r>
        <w:rPr>
          <w:color w:val="auto"/>
          <w:highlight w:val="none"/>
        </w:rPr>
        <w:t>满意度指标1</w:t>
      </w:r>
      <w:r>
        <w:rPr>
          <w:rFonts w:hint="eastAsia"/>
          <w:color w:val="auto"/>
          <w:highlight w:val="none"/>
          <w:lang w:val="en-US" w:eastAsia="zh-CN"/>
        </w:rPr>
        <w:t>0</w:t>
      </w:r>
      <w:r>
        <w:rPr>
          <w:color w:val="auto"/>
          <w:highlight w:val="none"/>
        </w:rPr>
        <w:t>分、预算资金执行率10分，满分100分。</w:t>
      </w:r>
    </w:p>
    <w:p w14:paraId="23C7EDCC">
      <w:pPr>
        <w:pStyle w:val="54"/>
        <w:spacing w:line="560" w:lineRule="exact"/>
        <w:ind w:left="3" w:right="3" w:firstLine="560"/>
        <w:rPr>
          <w:color w:val="auto"/>
          <w:highlight w:val="none"/>
        </w:rPr>
      </w:pPr>
      <w:r>
        <w:rPr>
          <w:color w:val="auto"/>
          <w:highlight w:val="none"/>
        </w:rPr>
        <w:t>（2）绩效自评方法</w:t>
      </w:r>
    </w:p>
    <w:p w14:paraId="4E02DF90">
      <w:pPr>
        <w:pStyle w:val="54"/>
        <w:spacing w:line="560" w:lineRule="exact"/>
        <w:ind w:left="3" w:right="3" w:firstLine="560"/>
        <w:rPr>
          <w:color w:val="auto"/>
          <w:highlight w:val="none"/>
        </w:rPr>
      </w:pPr>
      <w:r>
        <w:rPr>
          <w:color w:val="auto"/>
          <w:highlight w:val="none"/>
        </w:rPr>
        <w:t>本次绩效自评采用比较法和综合分析法对项目资金的使用管理、项目产出、综合效益等进行评价。</w:t>
      </w:r>
    </w:p>
    <w:p w14:paraId="6B996AFD">
      <w:pPr>
        <w:pStyle w:val="54"/>
        <w:spacing w:line="560" w:lineRule="exact"/>
        <w:ind w:left="3" w:right="3" w:firstLine="560"/>
        <w:rPr>
          <w:color w:val="auto"/>
          <w:highlight w:val="none"/>
        </w:rPr>
      </w:pPr>
      <w:r>
        <w:rPr>
          <w:color w:val="auto"/>
          <w:highlight w:val="none"/>
        </w:rPr>
        <w:t>（3）绩效自评标准</w:t>
      </w:r>
    </w:p>
    <w:p w14:paraId="2011CDFF">
      <w:pPr>
        <w:pStyle w:val="54"/>
        <w:spacing w:line="560" w:lineRule="exact"/>
        <w:ind w:left="3" w:right="3" w:firstLine="560"/>
        <w:rPr>
          <w:color w:val="auto"/>
          <w:highlight w:val="none"/>
        </w:rPr>
      </w:pPr>
      <w:r>
        <w:rPr>
          <w:color w:val="auto"/>
          <w:highlight w:val="none"/>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248396A2">
      <w:pPr>
        <w:pStyle w:val="54"/>
        <w:spacing w:line="560" w:lineRule="exact"/>
        <w:ind w:left="3" w:right="3" w:firstLine="560"/>
        <w:rPr>
          <w:color w:val="auto"/>
          <w:highlight w:val="none"/>
        </w:rPr>
      </w:pPr>
      <w:r>
        <w:rPr>
          <w:color w:val="auto"/>
          <w:highlight w:val="none"/>
        </w:rPr>
        <w:t>（4）绩效自评等级</w:t>
      </w:r>
    </w:p>
    <w:p w14:paraId="1629D2BF">
      <w:pPr>
        <w:pStyle w:val="54"/>
        <w:spacing w:line="560" w:lineRule="exact"/>
        <w:ind w:left="3" w:right="3" w:firstLine="560"/>
        <w:rPr>
          <w:color w:val="auto"/>
          <w:highlight w:val="none"/>
        </w:rPr>
      </w:pPr>
      <w:r>
        <w:rPr>
          <w:color w:val="auto"/>
          <w:highlight w:val="none"/>
        </w:rPr>
        <w:t>绩效自评总分值100分，根据评分结果，90（含）-100分为优、80（含）-90分为良、60（含）-80分为中、60分以下为差。</w:t>
      </w:r>
    </w:p>
    <w:p w14:paraId="66BE8F17">
      <w:pPr>
        <w:pStyle w:val="31"/>
        <w:spacing w:before="120"/>
        <w:ind w:leftChars="0" w:right="3" w:firstLine="562" w:firstLineChars="200"/>
        <w:rPr>
          <w:color w:val="auto"/>
          <w:highlight w:val="none"/>
        </w:rPr>
      </w:pPr>
      <w:r>
        <w:rPr>
          <w:rFonts w:hint="eastAsia"/>
          <w:color w:val="auto"/>
          <w:highlight w:val="none"/>
        </w:rPr>
        <w:t>三、绩效目标自评完成情况分析</w:t>
      </w:r>
    </w:p>
    <w:p w14:paraId="7C609900">
      <w:pPr>
        <w:spacing w:line="560" w:lineRule="exact"/>
        <w:ind w:firstLine="546" w:firstLineChars="200"/>
        <w:rPr>
          <w:rStyle w:val="21"/>
          <w:rFonts w:ascii="楷体_GB2312" w:hAnsi="楷体" w:cs="Times New Roman"/>
          <w:spacing w:val="-4"/>
          <w:sz w:val="28"/>
          <w:szCs w:val="32"/>
          <w:highlight w:val="none"/>
        </w:rPr>
      </w:pPr>
      <w:r>
        <w:rPr>
          <w:rStyle w:val="21"/>
          <w:rFonts w:hint="eastAsia" w:ascii="楷体_GB2312" w:hAnsi="楷体" w:cs="Times New Roman"/>
          <w:spacing w:val="-4"/>
          <w:sz w:val="28"/>
          <w:szCs w:val="32"/>
          <w:highlight w:val="none"/>
        </w:rPr>
        <w:t>（一）资金投入情况分析</w:t>
      </w:r>
    </w:p>
    <w:p w14:paraId="00E774DC">
      <w:pPr>
        <w:pStyle w:val="35"/>
        <w:rPr>
          <w:color w:val="auto"/>
          <w:highlight w:val="none"/>
        </w:rPr>
      </w:pPr>
      <w:r>
        <w:rPr>
          <w:rFonts w:hint="eastAsia"/>
          <w:color w:val="auto"/>
          <w:highlight w:val="none"/>
        </w:rPr>
        <w:t>1.项目资金到位情况分析</w:t>
      </w:r>
    </w:p>
    <w:p w14:paraId="2FAABDE1">
      <w:pPr>
        <w:pStyle w:val="54"/>
        <w:spacing w:line="560" w:lineRule="exact"/>
        <w:ind w:left="0" w:leftChars="0" w:right="3" w:firstLine="560"/>
        <w:rPr>
          <w:color w:val="auto"/>
          <w:highlight w:val="yellow"/>
        </w:rPr>
      </w:pPr>
      <w:r>
        <w:rPr>
          <w:rFonts w:hint="eastAsia"/>
          <w:color w:val="auto"/>
          <w:highlight w:val="none"/>
          <w:lang w:eastAsia="zh-CN"/>
        </w:rPr>
        <w:t>于田县木尕拉镇阿克依来克村壮大村集体经济建设项目</w:t>
      </w:r>
      <w:r>
        <w:rPr>
          <w:rFonts w:hint="eastAsia"/>
          <w:color w:val="auto"/>
          <w:highlight w:val="none"/>
        </w:rPr>
        <w:t>预算安排总额为</w:t>
      </w:r>
      <w:r>
        <w:rPr>
          <w:rFonts w:hint="eastAsia"/>
          <w:color w:val="auto"/>
          <w:highlight w:val="none"/>
          <w:lang w:val="en-US" w:eastAsia="zh-CN"/>
        </w:rPr>
        <w:t>172</w:t>
      </w:r>
      <w:r>
        <w:rPr>
          <w:rFonts w:hint="eastAsia"/>
          <w:color w:val="auto"/>
          <w:highlight w:val="none"/>
        </w:rPr>
        <w:t>万元，其中：</w:t>
      </w:r>
      <w:r>
        <w:rPr>
          <w:rFonts w:hint="eastAsia"/>
          <w:color w:val="auto"/>
          <w:highlight w:val="none"/>
          <w:lang w:val="en-US" w:eastAsia="zh-CN"/>
        </w:rPr>
        <w:t>少数民族发展</w:t>
      </w:r>
      <w:r>
        <w:rPr>
          <w:rFonts w:hint="eastAsia"/>
          <w:color w:val="auto"/>
          <w:highlight w:val="none"/>
        </w:rPr>
        <w:t>资金</w:t>
      </w:r>
      <w:r>
        <w:rPr>
          <w:rFonts w:hint="eastAsia"/>
          <w:color w:val="auto"/>
          <w:highlight w:val="none"/>
          <w:lang w:val="en-US" w:eastAsia="zh-CN"/>
        </w:rPr>
        <w:t>172</w:t>
      </w:r>
      <w:r>
        <w:rPr>
          <w:rFonts w:hint="eastAsia"/>
          <w:color w:val="auto"/>
          <w:highlight w:val="none"/>
        </w:rPr>
        <w:t>万元。预算资金到位率为100%。</w:t>
      </w:r>
    </w:p>
    <w:p w14:paraId="3890B774">
      <w:pPr>
        <w:pStyle w:val="54"/>
        <w:spacing w:line="560" w:lineRule="exact"/>
        <w:ind w:left="0" w:leftChars="0" w:right="3" w:firstLine="562"/>
        <w:rPr>
          <w:b/>
          <w:color w:val="auto"/>
          <w:highlight w:val="none"/>
        </w:rPr>
      </w:pPr>
      <w:r>
        <w:rPr>
          <w:rFonts w:hint="eastAsia"/>
          <w:b/>
          <w:color w:val="auto"/>
          <w:highlight w:val="none"/>
        </w:rPr>
        <w:t>2.项目资金执行情况分析</w:t>
      </w:r>
    </w:p>
    <w:p w14:paraId="4393CC77">
      <w:pPr>
        <w:pStyle w:val="54"/>
        <w:spacing w:line="560" w:lineRule="exact"/>
        <w:ind w:left="0" w:leftChars="0" w:right="3" w:firstLine="560"/>
        <w:rPr>
          <w:color w:val="auto"/>
          <w:highlight w:val="yellow"/>
        </w:rPr>
      </w:pPr>
      <w:r>
        <w:rPr>
          <w:rFonts w:hint="eastAsia"/>
          <w:color w:val="auto"/>
          <w:highlight w:val="none"/>
          <w:lang w:eastAsia="zh-CN"/>
        </w:rPr>
        <w:t>于田县木尕拉镇阿克依来克村壮大村集体经济建设项目</w:t>
      </w:r>
      <w:r>
        <w:rPr>
          <w:rFonts w:hint="eastAsia"/>
          <w:color w:val="auto"/>
          <w:highlight w:val="none"/>
        </w:rPr>
        <w:t>预算投入资金</w:t>
      </w:r>
      <w:r>
        <w:rPr>
          <w:rFonts w:hint="eastAsia"/>
          <w:color w:val="auto"/>
          <w:highlight w:val="none"/>
          <w:lang w:val="en-US" w:eastAsia="zh-CN"/>
        </w:rPr>
        <w:t>172</w:t>
      </w:r>
      <w:r>
        <w:rPr>
          <w:rFonts w:hint="eastAsia"/>
          <w:color w:val="auto"/>
          <w:highlight w:val="none"/>
        </w:rPr>
        <w:t>万元，经财务决算，项目实际完成投资共</w:t>
      </w:r>
      <w:r>
        <w:rPr>
          <w:rFonts w:hint="eastAsia"/>
          <w:color w:val="auto"/>
          <w:highlight w:val="none"/>
          <w:lang w:val="en-US" w:eastAsia="zh-CN"/>
        </w:rPr>
        <w:t>172</w:t>
      </w:r>
      <w:r>
        <w:rPr>
          <w:rFonts w:hint="eastAsia"/>
          <w:color w:val="auto"/>
          <w:highlight w:val="none"/>
        </w:rPr>
        <w:t>万元，其中：工程投资</w:t>
      </w:r>
      <w:r>
        <w:rPr>
          <w:rFonts w:hint="eastAsia"/>
          <w:color w:val="auto"/>
          <w:highlight w:val="none"/>
          <w:lang w:val="en-US" w:eastAsia="zh-CN"/>
        </w:rPr>
        <w:t>161.7</w:t>
      </w:r>
      <w:r>
        <w:rPr>
          <w:rFonts w:hint="eastAsia"/>
          <w:color w:val="auto"/>
          <w:highlight w:val="none"/>
        </w:rPr>
        <w:t xml:space="preserve">万元，待摊投资 </w:t>
      </w:r>
      <w:r>
        <w:rPr>
          <w:rFonts w:hint="eastAsia"/>
          <w:color w:val="auto"/>
          <w:highlight w:val="none"/>
          <w:lang w:val="en-US" w:eastAsia="zh-CN"/>
        </w:rPr>
        <w:t>10.3</w:t>
      </w:r>
      <w:r>
        <w:rPr>
          <w:rFonts w:hint="eastAsia"/>
          <w:color w:val="auto"/>
          <w:highlight w:val="none"/>
        </w:rPr>
        <w:t>万元。截至202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12</w:t>
      </w:r>
      <w:r>
        <w:rPr>
          <w:rFonts w:hint="eastAsia"/>
          <w:color w:val="auto"/>
          <w:highlight w:val="none"/>
        </w:rPr>
        <w:t>月31日，项目实际支出</w:t>
      </w:r>
      <w:r>
        <w:rPr>
          <w:rFonts w:hint="eastAsia"/>
          <w:color w:val="auto"/>
          <w:highlight w:val="none"/>
          <w:lang w:val="en-US" w:eastAsia="zh-CN"/>
        </w:rPr>
        <w:t>172</w:t>
      </w:r>
      <w:r>
        <w:rPr>
          <w:rFonts w:hint="eastAsia"/>
          <w:color w:val="auto"/>
          <w:highlight w:val="none"/>
        </w:rPr>
        <w:t>万元，预算资金执行率</w:t>
      </w:r>
      <w:r>
        <w:rPr>
          <w:rFonts w:hint="eastAsia"/>
          <w:color w:val="auto"/>
          <w:highlight w:val="none"/>
          <w:lang w:val="en-US" w:eastAsia="zh-CN"/>
        </w:rPr>
        <w:t>100</w:t>
      </w:r>
      <w:r>
        <w:rPr>
          <w:rFonts w:hint="eastAsia"/>
          <w:color w:val="auto"/>
          <w:highlight w:val="none"/>
        </w:rPr>
        <w:t>%。</w:t>
      </w:r>
    </w:p>
    <w:p w14:paraId="52ED0670">
      <w:pPr>
        <w:pStyle w:val="35"/>
        <w:rPr>
          <w:color w:val="auto"/>
          <w:highlight w:val="none"/>
        </w:rPr>
      </w:pPr>
      <w:r>
        <w:rPr>
          <w:rFonts w:hint="eastAsia"/>
          <w:color w:val="auto"/>
          <w:highlight w:val="none"/>
        </w:rPr>
        <w:t>3.项目资金管理情况分析</w:t>
      </w:r>
    </w:p>
    <w:p w14:paraId="57FB5B8B">
      <w:pPr>
        <w:pStyle w:val="54"/>
        <w:spacing w:line="560" w:lineRule="exact"/>
        <w:ind w:left="0" w:leftChars="0" w:right="3" w:firstLine="560"/>
        <w:rPr>
          <w:color w:val="auto"/>
          <w:highlight w:val="none"/>
        </w:rPr>
      </w:pPr>
      <w:r>
        <w:rPr>
          <w:color w:val="auto"/>
          <w:highlight w:val="none"/>
        </w:rP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66A9B707">
      <w:pPr>
        <w:pStyle w:val="54"/>
        <w:spacing w:line="560" w:lineRule="exact"/>
        <w:ind w:leftChars="0" w:right="3" w:firstLine="562"/>
        <w:rPr>
          <w:b/>
          <w:color w:val="auto"/>
          <w:highlight w:val="none"/>
        </w:rPr>
      </w:pPr>
      <w:r>
        <w:rPr>
          <w:rFonts w:hint="eastAsia"/>
          <w:b/>
          <w:color w:val="auto"/>
          <w:highlight w:val="none"/>
        </w:rPr>
        <w:t>4.项目管理情况分析</w:t>
      </w:r>
    </w:p>
    <w:p w14:paraId="4EDDA95A">
      <w:pPr>
        <w:pStyle w:val="54"/>
        <w:spacing w:line="580" w:lineRule="exact"/>
        <w:ind w:left="0" w:leftChars="0" w:right="3" w:firstLine="560"/>
        <w:rPr>
          <w:color w:val="auto"/>
          <w:highlight w:val="none"/>
        </w:rPr>
      </w:pPr>
      <w:r>
        <w:rPr>
          <w:rFonts w:hint="eastAsia"/>
          <w:color w:val="auto"/>
          <w:highlight w:val="none"/>
        </w:rPr>
        <w:t>在项目实施中，于田县木尕拉镇人民政府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08BB5AFF">
      <w:pPr>
        <w:spacing w:line="580" w:lineRule="exact"/>
        <w:ind w:firstLine="546" w:firstLineChars="200"/>
        <w:rPr>
          <w:rStyle w:val="21"/>
          <w:rFonts w:ascii="楷体_GB2312" w:hAnsi="楷体" w:cs="Times New Roman"/>
          <w:spacing w:val="-4"/>
          <w:sz w:val="28"/>
          <w:szCs w:val="32"/>
          <w:highlight w:val="yellow"/>
        </w:rPr>
      </w:pPr>
      <w:r>
        <w:rPr>
          <w:rStyle w:val="21"/>
          <w:rFonts w:hint="eastAsia" w:ascii="楷体_GB2312" w:hAnsi="楷体" w:cs="Times New Roman"/>
          <w:spacing w:val="-4"/>
          <w:sz w:val="28"/>
          <w:szCs w:val="32"/>
          <w:highlight w:val="none"/>
        </w:rPr>
        <w:t>（二）绩效目标完成情况分析</w:t>
      </w:r>
    </w:p>
    <w:p w14:paraId="5798B607">
      <w:pPr>
        <w:pStyle w:val="54"/>
        <w:spacing w:line="580" w:lineRule="exact"/>
        <w:ind w:left="3" w:right="3" w:firstLine="560"/>
        <w:rPr>
          <w:color w:val="auto"/>
          <w:highlight w:val="none"/>
        </w:rPr>
      </w:pPr>
      <w:r>
        <w:rPr>
          <w:color w:val="auto"/>
          <w:highlight w:val="none"/>
        </w:rPr>
        <w:t>本项目在20</w:t>
      </w:r>
      <w:r>
        <w:rPr>
          <w:rFonts w:hint="eastAsia"/>
          <w:color w:val="auto"/>
          <w:highlight w:val="none"/>
          <w:lang w:val="en-US" w:eastAsia="zh-CN"/>
        </w:rPr>
        <w:t>24</w:t>
      </w:r>
      <w:r>
        <w:rPr>
          <w:color w:val="auto"/>
          <w:highlight w:val="none"/>
        </w:rPr>
        <w:t>年</w:t>
      </w:r>
      <w:r>
        <w:rPr>
          <w:rFonts w:hint="eastAsia"/>
          <w:color w:val="auto"/>
          <w:highlight w:val="none"/>
        </w:rPr>
        <w:t>截止</w:t>
      </w:r>
      <w:r>
        <w:rPr>
          <w:rFonts w:hint="eastAsia"/>
          <w:color w:val="auto"/>
          <w:highlight w:val="none"/>
          <w:lang w:val="en-US" w:eastAsia="zh-CN"/>
        </w:rPr>
        <w:t>12</w:t>
      </w:r>
      <w:r>
        <w:rPr>
          <w:rFonts w:hint="eastAsia"/>
          <w:color w:val="auto"/>
          <w:highlight w:val="none"/>
        </w:rPr>
        <w:t>月底，工程实际完成项目新建业务楼一栋</w:t>
      </w:r>
      <w:r>
        <w:rPr>
          <w:rFonts w:hint="eastAsia"/>
          <w:color w:val="auto"/>
          <w:highlight w:val="none"/>
          <w:lang w:eastAsia="zh-CN"/>
        </w:rPr>
        <w:t>，</w:t>
      </w:r>
      <w:r>
        <w:rPr>
          <w:rFonts w:hint="eastAsia"/>
          <w:color w:val="auto"/>
          <w:highlight w:val="none"/>
        </w:rPr>
        <w:t>总建筑面积788.91 平方米，框架结构，地上三层，首层层高4.5米，2-3层层高3.3米，室内外高差 0.15 米，建筑高度：13.85 米，柱下独立基础</w:t>
      </w:r>
      <w:r>
        <w:rPr>
          <w:rFonts w:hint="eastAsia"/>
          <w:color w:val="auto"/>
          <w:highlight w:val="none"/>
          <w:lang w:val="en-US" w:eastAsia="zh-CN"/>
        </w:rPr>
        <w:t>。</w:t>
      </w:r>
      <w:r>
        <w:rPr>
          <w:rFonts w:hint="eastAsia"/>
          <w:color w:val="auto"/>
          <w:highlight w:val="none"/>
        </w:rPr>
        <w:t>该工程已完成竣工验收，资产</w:t>
      </w:r>
      <w:r>
        <w:rPr>
          <w:rFonts w:hint="eastAsia"/>
          <w:color w:val="auto"/>
          <w:highlight w:val="none"/>
          <w:lang w:val="en-US" w:eastAsia="zh-CN"/>
        </w:rPr>
        <w:t>归属</w:t>
      </w:r>
      <w:r>
        <w:rPr>
          <w:rFonts w:hint="eastAsia"/>
          <w:color w:val="auto"/>
          <w:highlight w:val="none"/>
        </w:rPr>
        <w:t>于田县木尕拉镇人民政府</w:t>
      </w:r>
      <w:r>
        <w:rPr>
          <w:rFonts w:hint="eastAsia"/>
          <w:color w:val="auto"/>
          <w:highlight w:val="none"/>
          <w:lang w:eastAsia="zh-CN"/>
        </w:rPr>
        <w:t>，</w:t>
      </w:r>
      <w:r>
        <w:rPr>
          <w:rFonts w:hint="eastAsia"/>
          <w:color w:val="auto"/>
          <w:highlight w:val="none"/>
          <w:lang w:val="en-US" w:eastAsia="zh-CN"/>
        </w:rPr>
        <w:t>后期经过党委会研究后移交辖区阿克依来克村</w:t>
      </w:r>
      <w:r>
        <w:rPr>
          <w:rFonts w:hint="eastAsia"/>
          <w:color w:val="auto"/>
          <w:highlight w:val="none"/>
        </w:rPr>
        <w:t>负责</w:t>
      </w:r>
      <w:r>
        <w:rPr>
          <w:rFonts w:hint="eastAsia"/>
          <w:color w:val="auto"/>
          <w:highlight w:val="none"/>
          <w:lang w:val="en-US" w:eastAsia="zh-CN"/>
        </w:rPr>
        <w:t>实际</w:t>
      </w:r>
      <w:r>
        <w:rPr>
          <w:rFonts w:hint="eastAsia"/>
          <w:color w:val="auto"/>
          <w:highlight w:val="none"/>
        </w:rPr>
        <w:t>运行，维护</w:t>
      </w:r>
      <w:r>
        <w:rPr>
          <w:rFonts w:hint="eastAsia"/>
          <w:color w:val="auto"/>
          <w:highlight w:val="none"/>
          <w:lang w:eastAsia="zh-CN"/>
        </w:rPr>
        <w:t>，</w:t>
      </w:r>
      <w:r>
        <w:rPr>
          <w:rFonts w:hint="eastAsia"/>
          <w:color w:val="auto"/>
          <w:highlight w:val="none"/>
          <w:lang w:val="en-US" w:eastAsia="zh-CN"/>
        </w:rPr>
        <w:t>受益等</w:t>
      </w:r>
      <w:r>
        <w:rPr>
          <w:rFonts w:hint="eastAsia"/>
          <w:color w:val="auto"/>
          <w:highlight w:val="none"/>
        </w:rPr>
        <w:t>。通过</w:t>
      </w:r>
      <w:r>
        <w:rPr>
          <w:rFonts w:hint="eastAsia"/>
          <w:color w:val="auto"/>
          <w:highlight w:val="none"/>
          <w:lang w:eastAsia="zh-CN"/>
        </w:rPr>
        <w:t>于田县木尕拉镇阿克依来克村壮大村集体经济建设项目</w:t>
      </w:r>
      <w:r>
        <w:rPr>
          <w:rFonts w:hint="eastAsia"/>
          <w:color w:val="auto"/>
          <w:highlight w:val="none"/>
        </w:rPr>
        <w:t>实施，完善</w:t>
      </w:r>
      <w:r>
        <w:rPr>
          <w:rFonts w:hint="eastAsia"/>
          <w:color w:val="auto"/>
          <w:highlight w:val="none"/>
          <w:lang w:val="en-US" w:eastAsia="zh-CN"/>
        </w:rPr>
        <w:t>商业体建设</w:t>
      </w:r>
      <w:r>
        <w:rPr>
          <w:rFonts w:hint="eastAsia"/>
          <w:color w:val="auto"/>
          <w:highlight w:val="none"/>
        </w:rPr>
        <w:t>，促进</w:t>
      </w:r>
      <w:r>
        <w:rPr>
          <w:rFonts w:hint="eastAsia"/>
          <w:color w:val="auto"/>
          <w:highlight w:val="none"/>
          <w:lang w:val="en-US" w:eastAsia="zh-CN"/>
        </w:rPr>
        <w:t>地方基础设施</w:t>
      </w:r>
      <w:r>
        <w:rPr>
          <w:rFonts w:hint="eastAsia"/>
          <w:color w:val="auto"/>
          <w:highlight w:val="none"/>
        </w:rPr>
        <w:t>建设</w:t>
      </w:r>
      <w:r>
        <w:rPr>
          <w:rFonts w:hint="eastAsia"/>
          <w:color w:val="auto"/>
          <w:highlight w:val="none"/>
          <w:lang w:val="en-US" w:eastAsia="zh-CN"/>
        </w:rPr>
        <w:t>和经济发展</w:t>
      </w:r>
      <w:r>
        <w:rPr>
          <w:rFonts w:hint="eastAsia"/>
          <w:color w:val="auto"/>
          <w:highlight w:val="none"/>
        </w:rPr>
        <w:t>，有力推动</w:t>
      </w:r>
      <w:r>
        <w:rPr>
          <w:rFonts w:hint="eastAsia"/>
          <w:color w:val="auto"/>
          <w:highlight w:val="none"/>
          <w:lang w:val="en-US" w:eastAsia="zh-CN"/>
        </w:rPr>
        <w:t>地域</w:t>
      </w:r>
      <w:r>
        <w:rPr>
          <w:rFonts w:hint="eastAsia"/>
          <w:color w:val="auto"/>
          <w:highlight w:val="none"/>
        </w:rPr>
        <w:t>经济</w:t>
      </w:r>
      <w:r>
        <w:rPr>
          <w:rFonts w:hint="eastAsia"/>
          <w:color w:val="auto"/>
          <w:highlight w:val="none"/>
          <w:lang w:val="en-US" w:eastAsia="zh-CN"/>
        </w:rPr>
        <w:t>的</w:t>
      </w:r>
      <w:r>
        <w:rPr>
          <w:rFonts w:hint="eastAsia"/>
          <w:color w:val="auto"/>
          <w:highlight w:val="none"/>
        </w:rPr>
        <w:t>发展，且有利于</w:t>
      </w:r>
      <w:r>
        <w:rPr>
          <w:rFonts w:hint="eastAsia"/>
          <w:color w:val="auto"/>
          <w:highlight w:val="none"/>
          <w:lang w:val="en-US" w:eastAsia="zh-CN"/>
        </w:rPr>
        <w:t>带动农牧民群众</w:t>
      </w:r>
      <w:r>
        <w:rPr>
          <w:rFonts w:hint="eastAsia"/>
          <w:color w:val="auto"/>
          <w:highlight w:val="none"/>
        </w:rPr>
        <w:t>的</w:t>
      </w:r>
      <w:r>
        <w:rPr>
          <w:rFonts w:hint="eastAsia"/>
          <w:color w:val="auto"/>
          <w:highlight w:val="none"/>
          <w:lang w:val="en-US" w:eastAsia="zh-CN"/>
        </w:rPr>
        <w:t>就业增收条件</w:t>
      </w:r>
      <w:r>
        <w:rPr>
          <w:rFonts w:hint="eastAsia"/>
          <w:color w:val="auto"/>
          <w:highlight w:val="none"/>
        </w:rPr>
        <w:t>，</w:t>
      </w:r>
      <w:r>
        <w:rPr>
          <w:rFonts w:hint="eastAsia"/>
          <w:color w:val="auto"/>
          <w:highlight w:val="none"/>
          <w:lang w:val="en-US" w:eastAsia="zh-CN"/>
        </w:rPr>
        <w:t>提升农牧民群众</w:t>
      </w:r>
      <w:r>
        <w:rPr>
          <w:rFonts w:hint="eastAsia"/>
          <w:color w:val="auto"/>
          <w:highlight w:val="none"/>
        </w:rPr>
        <w:t>幸福感，使其成为</w:t>
      </w:r>
      <w:r>
        <w:rPr>
          <w:rFonts w:hint="eastAsia"/>
          <w:color w:val="auto"/>
          <w:highlight w:val="none"/>
          <w:lang w:val="en-US" w:eastAsia="zh-CN"/>
        </w:rPr>
        <w:t>发展商业圈规模化的基地</w:t>
      </w:r>
      <w:r>
        <w:rPr>
          <w:rFonts w:hint="eastAsia"/>
          <w:color w:val="auto"/>
          <w:highlight w:val="none"/>
        </w:rPr>
        <w:t>。项目建设对于推进于田县</w:t>
      </w:r>
      <w:r>
        <w:rPr>
          <w:rFonts w:hint="eastAsia"/>
          <w:color w:val="auto"/>
          <w:highlight w:val="none"/>
          <w:lang w:val="en-US" w:eastAsia="zh-CN"/>
        </w:rPr>
        <w:t>木尕拉镇东大门商业经济圈发展具有</w:t>
      </w:r>
      <w:r>
        <w:rPr>
          <w:rFonts w:hint="eastAsia"/>
          <w:color w:val="auto"/>
          <w:highlight w:val="none"/>
        </w:rPr>
        <w:t>有重要意义。该项目以</w:t>
      </w:r>
      <w:r>
        <w:rPr>
          <w:rFonts w:hint="eastAsia"/>
          <w:color w:val="auto"/>
          <w:highlight w:val="none"/>
          <w:lang w:val="en-US" w:eastAsia="zh-CN"/>
        </w:rPr>
        <w:t>壮大村集体经济收入、带动农牧民群众就业增收</w:t>
      </w:r>
      <w:r>
        <w:rPr>
          <w:rFonts w:hint="eastAsia"/>
          <w:color w:val="auto"/>
          <w:highlight w:val="none"/>
        </w:rPr>
        <w:t>为核心，以</w:t>
      </w:r>
      <w:r>
        <w:rPr>
          <w:rFonts w:hint="eastAsia"/>
          <w:color w:val="auto"/>
          <w:highlight w:val="none"/>
          <w:lang w:val="en-US" w:eastAsia="zh-CN"/>
        </w:rPr>
        <w:t>建设基础设施和商业体经济楼房</w:t>
      </w:r>
      <w:r>
        <w:rPr>
          <w:rFonts w:hint="eastAsia"/>
          <w:color w:val="auto"/>
          <w:highlight w:val="none"/>
        </w:rPr>
        <w:t>，着力</w:t>
      </w:r>
      <w:r>
        <w:rPr>
          <w:rFonts w:hint="eastAsia"/>
          <w:color w:val="auto"/>
          <w:highlight w:val="none"/>
          <w:lang w:val="en-US" w:eastAsia="zh-CN"/>
        </w:rPr>
        <w:t>打造商业地域经济</w:t>
      </w:r>
      <w:r>
        <w:rPr>
          <w:rFonts w:hint="eastAsia"/>
          <w:color w:val="auto"/>
          <w:highlight w:val="none"/>
        </w:rPr>
        <w:t>，带动经济一体化快速发展，</w:t>
      </w:r>
      <w:r>
        <w:rPr>
          <w:rFonts w:hint="eastAsia"/>
          <w:color w:val="auto"/>
          <w:highlight w:val="none"/>
          <w:lang w:val="en-US" w:eastAsia="zh-CN"/>
        </w:rPr>
        <w:t>大力</w:t>
      </w:r>
      <w:r>
        <w:rPr>
          <w:rFonts w:hint="eastAsia"/>
          <w:color w:val="auto"/>
          <w:highlight w:val="none"/>
        </w:rPr>
        <w:t>提升</w:t>
      </w:r>
      <w:r>
        <w:rPr>
          <w:rFonts w:hint="eastAsia"/>
          <w:color w:val="auto"/>
          <w:highlight w:val="none"/>
          <w:lang w:val="en-US" w:eastAsia="zh-CN"/>
        </w:rPr>
        <w:t>全县经济活力</w:t>
      </w:r>
      <w:r>
        <w:rPr>
          <w:rFonts w:hint="eastAsia"/>
          <w:color w:val="auto"/>
          <w:highlight w:val="none"/>
        </w:rPr>
        <w:t>。</w:t>
      </w:r>
    </w:p>
    <w:p w14:paraId="4EF3BA36">
      <w:pPr>
        <w:pStyle w:val="54"/>
        <w:ind w:left="0" w:leftChars="0" w:right="0" w:rightChars="0" w:firstLine="560"/>
        <w:rPr>
          <w:color w:val="auto"/>
          <w:highlight w:val="none"/>
        </w:rPr>
      </w:pPr>
      <w:r>
        <w:rPr>
          <w:color w:val="auto"/>
          <w:highlight w:val="none"/>
        </w:rPr>
        <w:t>本</w:t>
      </w:r>
      <w:r>
        <w:rPr>
          <w:rFonts w:hint="eastAsia"/>
          <w:color w:val="auto"/>
          <w:highlight w:val="none"/>
        </w:rPr>
        <w:t>项</w:t>
      </w:r>
      <w:r>
        <w:rPr>
          <w:rFonts w:hint="eastAsia" w:ascii="仿宋_GB2312"/>
          <w:color w:val="auto"/>
          <w:szCs w:val="32"/>
          <w:highlight w:val="none"/>
        </w:rPr>
        <w:t>目共设置一级指标3个，二级指标</w:t>
      </w:r>
      <w:r>
        <w:rPr>
          <w:rFonts w:hint="eastAsia" w:ascii="仿宋_GB2312"/>
          <w:color w:val="auto"/>
          <w:szCs w:val="32"/>
          <w:highlight w:val="none"/>
          <w:lang w:val="en-US" w:eastAsia="zh-CN"/>
        </w:rPr>
        <w:t>6</w:t>
      </w:r>
      <w:r>
        <w:rPr>
          <w:rFonts w:hint="eastAsia" w:ascii="仿宋_GB2312"/>
          <w:color w:val="auto"/>
          <w:szCs w:val="32"/>
          <w:highlight w:val="none"/>
        </w:rPr>
        <w:t>个，三级指标1</w:t>
      </w:r>
      <w:r>
        <w:rPr>
          <w:rFonts w:hint="eastAsia" w:ascii="仿宋_GB2312"/>
          <w:color w:val="auto"/>
          <w:szCs w:val="32"/>
          <w:highlight w:val="none"/>
          <w:lang w:val="en-US" w:eastAsia="zh-CN"/>
        </w:rPr>
        <w:t>2</w:t>
      </w:r>
      <w:r>
        <w:rPr>
          <w:rFonts w:hint="eastAsia" w:ascii="仿宋_GB2312"/>
          <w:color w:val="auto"/>
          <w:szCs w:val="32"/>
          <w:highlight w:val="none"/>
        </w:rPr>
        <w:t>个</w:t>
      </w:r>
      <w:r>
        <w:rPr>
          <w:rFonts w:hint="eastAsia"/>
          <w:color w:val="auto"/>
          <w:highlight w:val="none"/>
        </w:rPr>
        <w:t>，指标完成率为</w:t>
      </w:r>
      <w:r>
        <w:rPr>
          <w:rFonts w:hint="eastAsia"/>
          <w:color w:val="auto"/>
          <w:highlight w:val="none"/>
          <w:lang w:val="en-US" w:eastAsia="zh-CN"/>
        </w:rPr>
        <w:t>83.33</w:t>
      </w:r>
      <w:r>
        <w:rPr>
          <w:rFonts w:hint="eastAsia"/>
          <w:color w:val="auto"/>
          <w:highlight w:val="none"/>
        </w:rPr>
        <w:t>%，指标完成情况分析如下：</w:t>
      </w:r>
    </w:p>
    <w:p w14:paraId="7BFD63DB">
      <w:pPr>
        <w:pStyle w:val="54"/>
        <w:spacing w:line="580" w:lineRule="exact"/>
        <w:ind w:left="0" w:leftChars="0" w:right="0" w:rightChars="0" w:firstLine="562"/>
        <w:rPr>
          <w:b/>
          <w:color w:val="auto"/>
          <w:highlight w:val="none"/>
        </w:rPr>
      </w:pPr>
      <w:r>
        <w:rPr>
          <w:rFonts w:hint="eastAsia"/>
          <w:b/>
          <w:color w:val="auto"/>
          <w:highlight w:val="none"/>
        </w:rPr>
        <w:t>1.产出指标完成情况分析</w:t>
      </w:r>
    </w:p>
    <w:p w14:paraId="7C59762E">
      <w:pPr>
        <w:pStyle w:val="54"/>
        <w:spacing w:line="580" w:lineRule="exact"/>
        <w:ind w:left="0" w:leftChars="0" w:right="0" w:rightChars="0" w:firstLine="560"/>
        <w:rPr>
          <w:rFonts w:ascii="仿宋_GB2312"/>
          <w:color w:val="auto"/>
          <w:highlight w:val="none"/>
        </w:rPr>
      </w:pPr>
      <w:r>
        <w:rPr>
          <w:rFonts w:hint="eastAsia" w:ascii="仿宋_GB2312"/>
          <w:color w:val="auto"/>
          <w:highlight w:val="none"/>
        </w:rPr>
        <w:t>1.</w:t>
      </w:r>
      <w:r>
        <w:rPr>
          <w:rFonts w:hint="eastAsia" w:ascii="仿宋_GB2312"/>
          <w:color w:val="auto"/>
          <w:highlight w:val="none"/>
          <w:lang w:val="en-US" w:eastAsia="zh-CN"/>
        </w:rPr>
        <w:t>项</w:t>
      </w:r>
      <w:r>
        <w:rPr>
          <w:rFonts w:hint="eastAsia" w:ascii="仿宋_GB2312"/>
          <w:color w:val="auto"/>
          <w:highlight w:val="none"/>
        </w:rPr>
        <w:t>目完成数量</w:t>
      </w:r>
    </w:p>
    <w:p w14:paraId="2F3839EB">
      <w:pPr>
        <w:pStyle w:val="54"/>
        <w:spacing w:line="560" w:lineRule="exact"/>
        <w:ind w:left="0" w:leftChars="0" w:right="0" w:rightChars="0" w:firstLine="560"/>
        <w:rPr>
          <w:color w:val="auto"/>
          <w:highlight w:val="none"/>
        </w:rPr>
      </w:pPr>
      <w:r>
        <w:rPr>
          <w:rFonts w:hint="eastAsia"/>
          <w:color w:val="auto"/>
          <w:highlight w:val="none"/>
        </w:rPr>
        <w:t>“</w:t>
      </w:r>
      <w:r>
        <w:rPr>
          <w:rFonts w:hint="eastAsia"/>
          <w:color w:val="auto"/>
          <w:highlight w:val="none"/>
          <w:lang w:val="en-US" w:eastAsia="zh-CN"/>
        </w:rPr>
        <w:t>新建建设业务楼</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1栋</w:t>
      </w:r>
      <w:r>
        <w:rPr>
          <w:rFonts w:hint="eastAsia"/>
          <w:color w:val="auto"/>
          <w:highlight w:val="none"/>
        </w:rPr>
        <w:t>，全年实际值为</w:t>
      </w:r>
      <w:r>
        <w:rPr>
          <w:rFonts w:hint="eastAsia"/>
          <w:color w:val="auto"/>
          <w:highlight w:val="none"/>
          <w:lang w:val="en-US" w:eastAsia="zh-CN"/>
        </w:rPr>
        <w:t>1栋</w:t>
      </w:r>
      <w:r>
        <w:rPr>
          <w:rFonts w:hint="eastAsia"/>
          <w:color w:val="auto"/>
          <w:highlight w:val="none"/>
        </w:rPr>
        <w:t>，指标完成率为100.00%。所设分值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6</w:t>
      </w:r>
      <w:r>
        <w:rPr>
          <w:rFonts w:hint="eastAsia"/>
          <w:color w:val="auto"/>
          <w:highlight w:val="none"/>
        </w:rPr>
        <w:t xml:space="preserve">分。 </w:t>
      </w:r>
      <w:r>
        <w:rPr>
          <w:color w:val="auto"/>
          <w:highlight w:val="none"/>
        </w:rPr>
        <w:t xml:space="preserve">             </w:t>
      </w:r>
    </w:p>
    <w:p w14:paraId="3D137BF8">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建筑面积</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788.91平方米</w:t>
      </w:r>
      <w:r>
        <w:rPr>
          <w:rFonts w:hint="eastAsia"/>
          <w:color w:val="auto"/>
          <w:highlight w:val="none"/>
        </w:rPr>
        <w:t>,全年实际值为</w:t>
      </w:r>
      <w:r>
        <w:rPr>
          <w:rFonts w:hint="eastAsia"/>
          <w:color w:val="auto"/>
          <w:highlight w:val="none"/>
          <w:lang w:val="en-US" w:eastAsia="zh-CN"/>
        </w:rPr>
        <w:t>788.91平方米</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6</w:t>
      </w:r>
      <w:r>
        <w:rPr>
          <w:rFonts w:hint="eastAsia"/>
          <w:color w:val="auto"/>
          <w:highlight w:val="none"/>
        </w:rPr>
        <w:t>分。</w:t>
      </w:r>
    </w:p>
    <w:p w14:paraId="377DCF1D">
      <w:pPr>
        <w:pStyle w:val="54"/>
        <w:spacing w:line="560" w:lineRule="exact"/>
        <w:ind w:left="0" w:leftChars="0" w:right="0" w:rightChars="0" w:firstLine="560"/>
        <w:rPr>
          <w:rFonts w:hint="eastAsia"/>
          <w:color w:val="auto"/>
          <w:highlight w:val="yellow"/>
        </w:rPr>
      </w:pPr>
      <w:r>
        <w:rPr>
          <w:rFonts w:hint="eastAsia"/>
          <w:color w:val="auto"/>
          <w:highlight w:val="none"/>
        </w:rPr>
        <w:t>“</w:t>
      </w:r>
      <w:r>
        <w:rPr>
          <w:rFonts w:hint="eastAsia"/>
          <w:color w:val="auto"/>
          <w:highlight w:val="none"/>
          <w:lang w:val="en-US" w:eastAsia="zh-CN"/>
        </w:rPr>
        <w:t>建筑层高</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3层</w:t>
      </w:r>
      <w:r>
        <w:rPr>
          <w:rFonts w:hint="eastAsia"/>
          <w:color w:val="auto"/>
          <w:highlight w:val="none"/>
        </w:rPr>
        <w:t>,全年实际值为</w:t>
      </w:r>
      <w:r>
        <w:rPr>
          <w:rFonts w:hint="eastAsia"/>
          <w:color w:val="auto"/>
          <w:highlight w:val="none"/>
          <w:lang w:val="en-US" w:eastAsia="zh-CN"/>
        </w:rPr>
        <w:t>3层</w:t>
      </w:r>
      <w:r>
        <w:rPr>
          <w:rFonts w:hint="eastAsia"/>
          <w:color w:val="auto"/>
          <w:highlight w:val="none"/>
        </w:rPr>
        <w:t>，指标完成率为100.00%。所设分值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6</w:t>
      </w:r>
      <w:r>
        <w:rPr>
          <w:rFonts w:hint="eastAsia"/>
          <w:color w:val="auto"/>
          <w:highlight w:val="none"/>
        </w:rPr>
        <w:t>分。</w:t>
      </w:r>
    </w:p>
    <w:p w14:paraId="62E9E051">
      <w:pPr>
        <w:pStyle w:val="54"/>
        <w:spacing w:line="560" w:lineRule="exact"/>
        <w:ind w:left="640" w:leftChars="200" w:right="0" w:rightChars="0" w:firstLine="0" w:firstLineChars="0"/>
        <w:rPr>
          <w:color w:val="auto"/>
          <w:highlight w:val="none"/>
        </w:rPr>
      </w:pPr>
      <w:r>
        <w:rPr>
          <w:rFonts w:hint="eastAsia"/>
          <w:color w:val="auto"/>
          <w:highlight w:val="none"/>
        </w:rPr>
        <w:t>2.</w:t>
      </w:r>
      <w:r>
        <w:rPr>
          <w:color w:val="auto"/>
          <w:highlight w:val="none"/>
        </w:rPr>
        <w:t>项目完成</w:t>
      </w:r>
      <w:r>
        <w:rPr>
          <w:rFonts w:hint="eastAsia"/>
          <w:color w:val="auto"/>
          <w:highlight w:val="none"/>
        </w:rPr>
        <w:t>质量</w:t>
      </w:r>
    </w:p>
    <w:p w14:paraId="2C729689">
      <w:pPr>
        <w:pStyle w:val="54"/>
        <w:spacing w:line="560" w:lineRule="exact"/>
        <w:ind w:left="0" w:leftChars="0" w:right="0" w:rightChars="0" w:firstLine="560"/>
        <w:rPr>
          <w:rFonts w:hint="eastAsia"/>
          <w:color w:val="auto"/>
          <w:highlight w:val="yellow"/>
          <w:lang w:val="en-US" w:eastAsia="zh-CN"/>
        </w:rPr>
      </w:pPr>
      <w:r>
        <w:rPr>
          <w:rFonts w:hint="eastAsia"/>
          <w:color w:val="auto"/>
          <w:highlight w:val="none"/>
          <w:lang w:val="en-US" w:eastAsia="zh-CN"/>
        </w:rPr>
        <w:t>“项目（工程）验收合格率</w:t>
      </w:r>
      <w:r>
        <w:rPr>
          <w:rFonts w:hint="eastAsia"/>
          <w:color w:val="auto"/>
          <w:highlight w:val="none"/>
        </w:rPr>
        <w:t>”指标，预期指标值为100%,全年实际值为100% ，指标完成率为100%。所设分值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053A5299">
      <w:pPr>
        <w:pStyle w:val="54"/>
        <w:spacing w:line="560" w:lineRule="exact"/>
        <w:ind w:left="0" w:leftChars="0" w:right="0" w:rightChars="0" w:firstLine="560"/>
        <w:rPr>
          <w:rFonts w:hint="eastAsia"/>
          <w:color w:val="auto"/>
          <w:highlight w:val="yellow"/>
          <w:lang w:val="en-US" w:eastAsia="zh-CN"/>
        </w:rPr>
      </w:pPr>
      <w:r>
        <w:rPr>
          <w:rFonts w:hint="eastAsia"/>
          <w:color w:val="auto"/>
          <w:highlight w:val="none"/>
        </w:rPr>
        <w:t>“</w:t>
      </w:r>
      <w:r>
        <w:rPr>
          <w:rFonts w:hint="eastAsia"/>
          <w:color w:val="auto"/>
          <w:highlight w:val="none"/>
          <w:lang w:val="en-US" w:eastAsia="zh-CN"/>
        </w:rPr>
        <w:t>资金支付合规率</w:t>
      </w:r>
      <w:r>
        <w:rPr>
          <w:rFonts w:hint="eastAsia"/>
          <w:color w:val="auto"/>
          <w:highlight w:val="none"/>
        </w:rPr>
        <w:t>”指标，预期指标值为100%,全年实际值为100% ，指标完成率为100%。所设分值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6062E243">
      <w:pPr>
        <w:pStyle w:val="54"/>
        <w:spacing w:line="560" w:lineRule="exact"/>
        <w:ind w:left="0" w:leftChars="0" w:right="0" w:rightChars="0" w:firstLine="560"/>
        <w:rPr>
          <w:rFonts w:hint="eastAsia" w:eastAsia="仿宋_GB2312"/>
          <w:color w:val="auto"/>
          <w:highlight w:val="yellow"/>
          <w:lang w:val="en-US" w:eastAsia="zh-CN"/>
        </w:rPr>
      </w:pPr>
      <w:r>
        <w:rPr>
          <w:rFonts w:hint="eastAsia"/>
          <w:color w:val="auto"/>
          <w:highlight w:val="none"/>
          <w:lang w:val="en-US" w:eastAsia="zh-CN"/>
        </w:rPr>
        <w:t>3.</w:t>
      </w:r>
      <w:r>
        <w:rPr>
          <w:color w:val="auto"/>
          <w:highlight w:val="none"/>
        </w:rPr>
        <w:t>项目完成</w:t>
      </w:r>
      <w:r>
        <w:rPr>
          <w:rFonts w:hint="eastAsia"/>
          <w:color w:val="auto"/>
          <w:highlight w:val="none"/>
          <w:lang w:val="en-US" w:eastAsia="zh-CN"/>
        </w:rPr>
        <w:t>时效</w:t>
      </w:r>
    </w:p>
    <w:p w14:paraId="1A7650AB">
      <w:pPr>
        <w:pStyle w:val="54"/>
        <w:spacing w:line="560" w:lineRule="exact"/>
        <w:ind w:left="0" w:leftChars="0" w:right="0" w:rightChars="0" w:firstLine="560"/>
        <w:rPr>
          <w:color w:val="auto"/>
          <w:highlight w:val="none"/>
        </w:rPr>
      </w:pPr>
      <w:r>
        <w:rPr>
          <w:rFonts w:hint="eastAsia"/>
          <w:color w:val="auto"/>
          <w:highlight w:val="none"/>
        </w:rPr>
        <w:t>“</w:t>
      </w:r>
      <w:r>
        <w:rPr>
          <w:rFonts w:hint="eastAsia"/>
          <w:color w:val="auto"/>
          <w:highlight w:val="none"/>
          <w:lang w:val="en-US" w:eastAsia="zh-CN"/>
        </w:rPr>
        <w:t>资金支付及时率</w:t>
      </w:r>
      <w:r>
        <w:rPr>
          <w:rFonts w:hint="eastAsia"/>
          <w:color w:val="auto"/>
          <w:highlight w:val="none"/>
        </w:rPr>
        <w:t>”指标，预期指标值为100%,全年实际值为100% ，指标完成率为100%。所设分值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0AFA5FE3">
      <w:pPr>
        <w:pStyle w:val="54"/>
        <w:spacing w:line="560" w:lineRule="exact"/>
        <w:ind w:left="0" w:leftChars="0" w:right="0" w:rightChars="0" w:firstLine="560"/>
        <w:rPr>
          <w:rFonts w:hint="eastAsia"/>
          <w:color w:val="auto"/>
          <w:highlight w:val="none"/>
        </w:rPr>
      </w:pPr>
      <w:r>
        <w:rPr>
          <w:rFonts w:hint="eastAsia"/>
          <w:color w:val="auto"/>
          <w:highlight w:val="none"/>
        </w:rPr>
        <w:t>“项目完工时间”指标，预期指标值为202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8</w:t>
      </w:r>
      <w:r>
        <w:rPr>
          <w:rFonts w:hint="eastAsia"/>
          <w:color w:val="auto"/>
          <w:highlight w:val="none"/>
        </w:rPr>
        <w:t>月</w:t>
      </w:r>
      <w:r>
        <w:rPr>
          <w:rFonts w:hint="eastAsia"/>
          <w:color w:val="auto"/>
          <w:highlight w:val="none"/>
          <w:lang w:eastAsia="zh-CN"/>
        </w:rPr>
        <w:t>，</w:t>
      </w:r>
      <w:r>
        <w:rPr>
          <w:rFonts w:hint="eastAsia"/>
          <w:color w:val="auto"/>
          <w:highlight w:val="none"/>
        </w:rPr>
        <w:t>全年实际值为202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10</w:t>
      </w:r>
      <w:r>
        <w:rPr>
          <w:rFonts w:hint="eastAsia"/>
          <w:color w:val="auto"/>
          <w:highlight w:val="none"/>
        </w:rPr>
        <w:t>月 ，指标完成率为</w:t>
      </w:r>
      <w:r>
        <w:rPr>
          <w:rFonts w:hint="eastAsia"/>
          <w:color w:val="auto"/>
          <w:highlight w:val="none"/>
          <w:lang w:val="en-US" w:eastAsia="zh-CN"/>
        </w:rPr>
        <w:t>90</w:t>
      </w:r>
      <w:r>
        <w:rPr>
          <w:rFonts w:hint="eastAsia"/>
          <w:color w:val="auto"/>
          <w:highlight w:val="none"/>
        </w:rPr>
        <w:t>%。所设分值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4</w:t>
      </w:r>
      <w:r>
        <w:rPr>
          <w:rFonts w:hint="eastAsia"/>
          <w:color w:val="auto"/>
          <w:highlight w:val="none"/>
        </w:rPr>
        <w:t>分。偏差原因：由于前期办理相关手续，导致后期开工较晚等原因，耽误工期。改进措施：后续加强项目前期管护提前办理各类手续，将其保障按时开完工建设。</w:t>
      </w:r>
    </w:p>
    <w:p w14:paraId="4C479753">
      <w:pPr>
        <w:pStyle w:val="54"/>
        <w:spacing w:line="560" w:lineRule="exact"/>
        <w:ind w:left="0" w:leftChars="0" w:right="0" w:rightChars="0" w:firstLine="560"/>
        <w:rPr>
          <w:color w:val="auto"/>
          <w:highlight w:val="none"/>
        </w:rPr>
      </w:pPr>
      <w:r>
        <w:rPr>
          <w:rFonts w:hint="eastAsia"/>
          <w:color w:val="auto"/>
          <w:highlight w:val="none"/>
        </w:rPr>
        <w:t>4.项目完成成本</w:t>
      </w:r>
    </w:p>
    <w:p w14:paraId="0FDF548A">
      <w:pPr>
        <w:pStyle w:val="54"/>
        <w:spacing w:line="560" w:lineRule="exact"/>
        <w:ind w:left="0" w:leftChars="0" w:right="0" w:rightChars="0" w:firstLine="560"/>
        <w:rPr>
          <w:color w:val="auto"/>
          <w:highlight w:val="none"/>
        </w:rPr>
      </w:pPr>
      <w:r>
        <w:rPr>
          <w:rFonts w:hint="eastAsia"/>
          <w:color w:val="auto"/>
          <w:highlight w:val="none"/>
        </w:rPr>
        <w:t>为有效控制项目实施成本，我单位在实施项目前就该项目设定了成本控制指标，实施过程中我单位通过公开</w:t>
      </w:r>
      <w:r>
        <w:rPr>
          <w:rFonts w:hint="eastAsia"/>
          <w:color w:val="auto"/>
          <w:highlight w:val="none"/>
          <w:lang w:val="en-US" w:eastAsia="zh-CN"/>
        </w:rPr>
        <w:t>性招标</w:t>
      </w:r>
      <w:r>
        <w:rPr>
          <w:rFonts w:hint="eastAsia"/>
          <w:color w:val="auto"/>
          <w:highlight w:val="none"/>
        </w:rPr>
        <w:t>的方式有效降低了项目执行成本，具体指标设置及完成情况如下：</w:t>
      </w:r>
    </w:p>
    <w:p w14:paraId="7EFDED95">
      <w:pPr>
        <w:pStyle w:val="35"/>
        <w:rPr>
          <w:rFonts w:hint="eastAsia"/>
          <w:color w:val="auto"/>
          <w:highlight w:val="none"/>
          <w:lang w:val="en-US" w:eastAsia="zh-CN"/>
        </w:rPr>
      </w:pPr>
      <w:bookmarkStart w:id="1" w:name="OLE_LINK2"/>
      <w:r>
        <w:rPr>
          <w:rFonts w:hint="eastAsia"/>
          <w:color w:val="auto"/>
          <w:highlight w:val="none"/>
        </w:rPr>
        <w:t>“工程</w:t>
      </w:r>
      <w:r>
        <w:rPr>
          <w:rFonts w:hint="eastAsia"/>
          <w:color w:val="auto"/>
          <w:highlight w:val="none"/>
          <w:lang w:val="en-US" w:eastAsia="zh-CN"/>
        </w:rPr>
        <w:t>安装</w:t>
      </w:r>
      <w:r>
        <w:rPr>
          <w:rFonts w:hint="eastAsia"/>
          <w:color w:val="auto"/>
          <w:highlight w:val="none"/>
        </w:rPr>
        <w:t>费用”指标，预期指标值为</w:t>
      </w:r>
      <w:r>
        <w:rPr>
          <w:rFonts w:hint="eastAsia"/>
          <w:color w:val="auto"/>
          <w:highlight w:val="none"/>
          <w:lang w:eastAsia="zh-CN"/>
        </w:rPr>
        <w:t>小于等于</w:t>
      </w:r>
      <w:r>
        <w:rPr>
          <w:rFonts w:hint="eastAsia"/>
          <w:color w:val="auto"/>
          <w:highlight w:val="none"/>
          <w:lang w:val="en-US" w:eastAsia="zh-CN"/>
        </w:rPr>
        <w:t>160.45</w:t>
      </w:r>
      <w:r>
        <w:rPr>
          <w:rFonts w:hint="eastAsia"/>
          <w:color w:val="auto"/>
          <w:highlight w:val="none"/>
        </w:rPr>
        <w:t>万元, 全年实际值为</w:t>
      </w:r>
      <w:r>
        <w:rPr>
          <w:rFonts w:hint="eastAsia"/>
          <w:color w:val="auto"/>
          <w:highlight w:val="none"/>
          <w:lang w:val="en-US" w:eastAsia="zh-CN"/>
        </w:rPr>
        <w:t>161.7</w:t>
      </w:r>
      <w:r>
        <w:rPr>
          <w:rFonts w:hint="eastAsia"/>
          <w:color w:val="auto"/>
          <w:highlight w:val="none"/>
        </w:rPr>
        <w:t>万元，指标完成率为</w:t>
      </w:r>
      <w:r>
        <w:rPr>
          <w:rFonts w:hint="eastAsia"/>
          <w:color w:val="auto"/>
          <w:highlight w:val="none"/>
          <w:lang w:val="en-US" w:eastAsia="zh-CN"/>
        </w:rPr>
        <w:t>95</w:t>
      </w:r>
      <w:r>
        <w:rPr>
          <w:rFonts w:hint="eastAsia"/>
          <w:color w:val="auto"/>
          <w:highlight w:val="none"/>
        </w:rPr>
        <w:t>%。所设分值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5.5</w:t>
      </w:r>
      <w:r>
        <w:rPr>
          <w:rFonts w:hint="eastAsia"/>
          <w:color w:val="auto"/>
          <w:highlight w:val="none"/>
        </w:rPr>
        <w:t>。</w:t>
      </w:r>
      <w:r>
        <w:rPr>
          <w:rFonts w:hint="eastAsia"/>
          <w:color w:val="auto"/>
          <w:highlight w:val="none"/>
          <w:lang w:val="en-US" w:eastAsia="zh-CN"/>
        </w:rPr>
        <w:t>偏差原因：项目根据实际需求实际工程费用增加，其他费用减少。改进措施：加强项目资金管理。</w:t>
      </w:r>
    </w:p>
    <w:p w14:paraId="5E6899A3">
      <w:pPr>
        <w:pStyle w:val="35"/>
        <w:rPr>
          <w:b/>
          <w:color w:val="auto"/>
          <w:highlight w:val="none"/>
        </w:rPr>
      </w:pPr>
      <w:r>
        <w:rPr>
          <w:rFonts w:hint="eastAsia"/>
          <w:color w:val="auto"/>
          <w:highlight w:val="none"/>
        </w:rPr>
        <w:t>“其他费用”指标，预期指标值为</w:t>
      </w:r>
      <w:r>
        <w:rPr>
          <w:rFonts w:hint="eastAsia"/>
          <w:color w:val="auto"/>
          <w:highlight w:val="none"/>
          <w:lang w:eastAsia="zh-CN"/>
        </w:rPr>
        <w:t>小于等于</w:t>
      </w:r>
      <w:r>
        <w:rPr>
          <w:rFonts w:hint="eastAsia"/>
          <w:color w:val="auto"/>
          <w:highlight w:val="none"/>
          <w:lang w:val="en-US" w:eastAsia="zh-CN"/>
        </w:rPr>
        <w:t>11.55</w:t>
      </w:r>
      <w:r>
        <w:rPr>
          <w:rFonts w:hint="eastAsia"/>
          <w:color w:val="auto"/>
          <w:highlight w:val="none"/>
        </w:rPr>
        <w:t>万元, 全年实际值为</w:t>
      </w:r>
      <w:r>
        <w:rPr>
          <w:rFonts w:hint="eastAsia"/>
          <w:color w:val="auto"/>
          <w:highlight w:val="none"/>
          <w:lang w:val="en-US" w:eastAsia="zh-CN"/>
        </w:rPr>
        <w:t>10.3</w:t>
      </w:r>
      <w:r>
        <w:rPr>
          <w:rFonts w:hint="eastAsia"/>
          <w:color w:val="auto"/>
          <w:highlight w:val="none"/>
        </w:rPr>
        <w:t>万元，指标完成率为</w:t>
      </w:r>
      <w:r>
        <w:rPr>
          <w:rFonts w:hint="eastAsia"/>
          <w:color w:val="auto"/>
          <w:highlight w:val="none"/>
          <w:lang w:val="en-US" w:eastAsia="zh-CN"/>
        </w:rPr>
        <w:t>89.18</w:t>
      </w:r>
      <w:r>
        <w:rPr>
          <w:rFonts w:hint="eastAsia"/>
          <w:color w:val="auto"/>
          <w:highlight w:val="none"/>
        </w:rPr>
        <w:t>%；所设分值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5.35</w:t>
      </w:r>
      <w:r>
        <w:rPr>
          <w:rFonts w:hint="eastAsia"/>
          <w:color w:val="auto"/>
          <w:highlight w:val="none"/>
        </w:rPr>
        <w:t>分。偏差原因：项目根据实际需求实际工程费用增加，其他费用减少。改进措施：加强项目资金管理。</w:t>
      </w:r>
      <w:bookmarkEnd w:id="1"/>
    </w:p>
    <w:p w14:paraId="51417807">
      <w:pPr>
        <w:pStyle w:val="54"/>
        <w:spacing w:line="580" w:lineRule="exact"/>
        <w:ind w:left="0" w:leftChars="0" w:right="0" w:rightChars="0" w:firstLine="562"/>
        <w:rPr>
          <w:rFonts w:hint="eastAsia"/>
          <w:b/>
          <w:color w:val="auto"/>
          <w:highlight w:val="none"/>
        </w:rPr>
      </w:pPr>
      <w:r>
        <w:rPr>
          <w:rFonts w:hint="eastAsia"/>
          <w:b/>
          <w:color w:val="auto"/>
          <w:highlight w:val="none"/>
        </w:rPr>
        <w:t>2.效益指标完成情况分析</w:t>
      </w:r>
    </w:p>
    <w:p w14:paraId="545FE1AD">
      <w:pPr>
        <w:pStyle w:val="54"/>
        <w:spacing w:line="560" w:lineRule="exact"/>
        <w:ind w:left="0" w:leftChars="0" w:right="0" w:rightChars="0" w:firstLine="560"/>
        <w:rPr>
          <w:color w:val="auto"/>
          <w:highlight w:val="none"/>
        </w:rPr>
      </w:pPr>
      <w:r>
        <w:rPr>
          <w:color w:val="auto"/>
          <w:highlight w:val="none"/>
        </w:rPr>
        <w:t>2.1项目实施的</w:t>
      </w:r>
      <w:r>
        <w:rPr>
          <w:rFonts w:hint="eastAsia"/>
          <w:color w:val="auto"/>
          <w:highlight w:val="none"/>
        </w:rPr>
        <w:t>社会效益</w:t>
      </w:r>
      <w:r>
        <w:rPr>
          <w:color w:val="auto"/>
          <w:highlight w:val="none"/>
        </w:rPr>
        <w:t>分析</w:t>
      </w:r>
    </w:p>
    <w:p w14:paraId="635CC9E4">
      <w:pPr>
        <w:pStyle w:val="54"/>
        <w:spacing w:line="560" w:lineRule="exact"/>
        <w:ind w:left="0" w:leftChars="0" w:right="0" w:rightChars="0" w:firstLine="560" w:firstLineChars="200"/>
        <w:rPr>
          <w:color w:val="auto"/>
          <w:highlight w:val="none"/>
        </w:rPr>
      </w:pPr>
      <w:r>
        <w:rPr>
          <w:rFonts w:hint="eastAsia"/>
          <w:color w:val="auto"/>
          <w:highlight w:val="none"/>
        </w:rPr>
        <w:t>“</w:t>
      </w:r>
      <w:r>
        <w:rPr>
          <w:rFonts w:hint="eastAsia"/>
          <w:color w:val="auto"/>
          <w:highlight w:val="none"/>
          <w:lang w:val="en-US" w:eastAsia="zh-CN"/>
        </w:rPr>
        <w:t>增强群众幸福感</w:t>
      </w:r>
      <w:r>
        <w:rPr>
          <w:rFonts w:hint="eastAsia"/>
          <w:color w:val="auto"/>
          <w:highlight w:val="none"/>
        </w:rPr>
        <w:t>”指标，指标预期值为</w:t>
      </w:r>
      <w:r>
        <w:rPr>
          <w:rFonts w:hint="eastAsia"/>
          <w:color w:val="auto"/>
          <w:highlight w:val="none"/>
          <w:lang w:val="en-US" w:eastAsia="zh-CN"/>
        </w:rPr>
        <w:t>有效增强</w:t>
      </w:r>
      <w:r>
        <w:rPr>
          <w:rFonts w:hint="eastAsia"/>
          <w:color w:val="auto"/>
          <w:highlight w:val="none"/>
        </w:rPr>
        <w:t>，实际完成值为</w:t>
      </w:r>
      <w:r>
        <w:rPr>
          <w:rFonts w:hint="eastAsia"/>
          <w:color w:val="auto"/>
          <w:highlight w:val="none"/>
          <w:lang w:val="en-US" w:eastAsia="zh-CN"/>
        </w:rPr>
        <w:t>有效增强</w:t>
      </w:r>
      <w:r>
        <w:rPr>
          <w:rFonts w:hint="eastAsia"/>
          <w:color w:val="auto"/>
          <w:highlight w:val="none"/>
        </w:rPr>
        <w:t>，指标完成率为100.00%。所设分值</w:t>
      </w:r>
      <w:r>
        <w:rPr>
          <w:rFonts w:hint="eastAsia"/>
          <w:color w:val="auto"/>
          <w:highlight w:val="none"/>
          <w:lang w:val="en-US" w:eastAsia="zh-CN"/>
        </w:rPr>
        <w:t>15</w:t>
      </w:r>
      <w:r>
        <w:rPr>
          <w:rFonts w:hint="eastAsia"/>
          <w:color w:val="auto"/>
          <w:highlight w:val="none"/>
        </w:rPr>
        <w:t>分，实际得分</w:t>
      </w:r>
      <w:r>
        <w:rPr>
          <w:rFonts w:hint="eastAsia"/>
          <w:color w:val="auto"/>
          <w:highlight w:val="none"/>
          <w:lang w:val="en-US" w:eastAsia="zh-CN"/>
        </w:rPr>
        <w:t>15</w:t>
      </w:r>
      <w:r>
        <w:rPr>
          <w:rFonts w:hint="eastAsia"/>
          <w:color w:val="auto"/>
          <w:highlight w:val="none"/>
        </w:rPr>
        <w:t>分。</w:t>
      </w:r>
    </w:p>
    <w:p w14:paraId="3B4D15E3">
      <w:pPr>
        <w:pStyle w:val="35"/>
        <w:rPr>
          <w:rFonts w:hint="eastAsia" w:ascii="Times New Roman" w:hAnsi="Times New Roman" w:eastAsia="仿宋_GB2312" w:cs="Times New Roman"/>
          <w:b/>
          <w:color w:val="auto"/>
          <w:kern w:val="2"/>
          <w:sz w:val="28"/>
          <w:szCs w:val="22"/>
          <w:highlight w:val="yellow"/>
          <w:lang w:val="en-US" w:eastAsia="zh-CN" w:bidi="ar-SA"/>
        </w:rPr>
      </w:pPr>
      <w:r>
        <w:rPr>
          <w:rFonts w:hint="eastAsia"/>
          <w:color w:val="auto"/>
          <w:highlight w:val="none"/>
        </w:rPr>
        <w:t>“</w:t>
      </w:r>
      <w:r>
        <w:rPr>
          <w:rFonts w:hint="eastAsia"/>
          <w:color w:val="auto"/>
          <w:highlight w:val="none"/>
          <w:lang w:val="en-US" w:eastAsia="zh-CN"/>
        </w:rPr>
        <w:t>完善于田县木尕拉镇创业就业园基础设施</w:t>
      </w:r>
      <w:r>
        <w:rPr>
          <w:rFonts w:hint="eastAsia"/>
          <w:color w:val="auto"/>
          <w:highlight w:val="none"/>
        </w:rPr>
        <w:t>”指标，指标预期值为</w:t>
      </w:r>
      <w:r>
        <w:rPr>
          <w:rFonts w:hint="eastAsia"/>
          <w:color w:val="auto"/>
          <w:highlight w:val="none"/>
          <w:lang w:val="en-US" w:eastAsia="zh-CN"/>
        </w:rPr>
        <w:t>有效完善</w:t>
      </w:r>
      <w:r>
        <w:rPr>
          <w:rFonts w:hint="eastAsia"/>
          <w:color w:val="auto"/>
          <w:highlight w:val="none"/>
        </w:rPr>
        <w:t>，实际完成值为</w:t>
      </w:r>
      <w:r>
        <w:rPr>
          <w:rFonts w:hint="eastAsia"/>
          <w:color w:val="auto"/>
          <w:highlight w:val="none"/>
          <w:lang w:val="en-US" w:eastAsia="zh-CN"/>
        </w:rPr>
        <w:t>有效完善</w:t>
      </w:r>
      <w:r>
        <w:rPr>
          <w:rFonts w:hint="eastAsia"/>
          <w:color w:val="auto"/>
          <w:highlight w:val="none"/>
        </w:rPr>
        <w:t>，指标完成率为100.00%。所设分值</w:t>
      </w:r>
      <w:r>
        <w:rPr>
          <w:rFonts w:hint="eastAsia"/>
          <w:color w:val="auto"/>
          <w:highlight w:val="none"/>
          <w:lang w:val="en-US" w:eastAsia="zh-CN"/>
        </w:rPr>
        <w:t>15</w:t>
      </w:r>
      <w:r>
        <w:rPr>
          <w:rFonts w:hint="eastAsia"/>
          <w:color w:val="auto"/>
          <w:highlight w:val="none"/>
        </w:rPr>
        <w:t>分，实际得分</w:t>
      </w:r>
      <w:r>
        <w:rPr>
          <w:rFonts w:hint="eastAsia"/>
          <w:color w:val="auto"/>
          <w:highlight w:val="none"/>
          <w:lang w:val="en-US" w:eastAsia="zh-CN"/>
        </w:rPr>
        <w:t>15</w:t>
      </w:r>
      <w:r>
        <w:rPr>
          <w:rFonts w:hint="eastAsia"/>
          <w:color w:val="auto"/>
          <w:highlight w:val="none"/>
        </w:rPr>
        <w:t>分。</w:t>
      </w:r>
    </w:p>
    <w:p w14:paraId="45F7123E">
      <w:pPr>
        <w:pStyle w:val="35"/>
        <w:rPr>
          <w:color w:val="auto"/>
          <w:highlight w:val="none"/>
        </w:rPr>
      </w:pPr>
      <w:r>
        <w:rPr>
          <w:rFonts w:hint="eastAsia" w:ascii="Times New Roman" w:hAnsi="Times New Roman" w:eastAsia="仿宋_GB2312" w:cs="Times New Roman"/>
          <w:b/>
          <w:color w:val="auto"/>
          <w:kern w:val="2"/>
          <w:sz w:val="28"/>
          <w:szCs w:val="22"/>
          <w:highlight w:val="none"/>
          <w:lang w:val="en-US" w:eastAsia="zh-CN" w:bidi="ar-SA"/>
        </w:rPr>
        <w:t>3.满意度指标完成情况分析</w:t>
      </w:r>
    </w:p>
    <w:p w14:paraId="52417EED">
      <w:pPr>
        <w:spacing w:line="560" w:lineRule="exact"/>
        <w:ind w:firstLine="544" w:firstLineChars="200"/>
        <w:rPr>
          <w:rFonts w:ascii="仿宋_GB2312" w:hAnsi="Times New Roman" w:eastAsia="仿宋_GB2312" w:cs="Times New Roman"/>
          <w:bCs/>
          <w:spacing w:val="-4"/>
          <w:sz w:val="28"/>
          <w:szCs w:val="28"/>
          <w:highlight w:val="none"/>
        </w:rPr>
      </w:pPr>
      <w:r>
        <w:rPr>
          <w:rFonts w:hint="eastAsia" w:ascii="仿宋_GB2312" w:hAnsi="Times New Roman" w:eastAsia="仿宋_GB2312" w:cs="Times New Roman"/>
          <w:bCs/>
          <w:spacing w:val="-4"/>
          <w:sz w:val="28"/>
          <w:szCs w:val="28"/>
          <w:highlight w:val="none"/>
        </w:rPr>
        <w:t>“</w:t>
      </w:r>
      <w:r>
        <w:rPr>
          <w:rFonts w:hint="eastAsia" w:ascii="仿宋_GB2312" w:hAnsi="Times New Roman" w:eastAsia="仿宋_GB2312" w:cs="Times New Roman"/>
          <w:bCs/>
          <w:spacing w:val="-4"/>
          <w:sz w:val="28"/>
          <w:szCs w:val="28"/>
          <w:highlight w:val="none"/>
          <w:lang w:val="en-US" w:eastAsia="zh-CN"/>
        </w:rPr>
        <w:t>受益村</w:t>
      </w:r>
      <w:r>
        <w:rPr>
          <w:rFonts w:hint="eastAsia" w:ascii="仿宋_GB2312" w:hAnsi="Times New Roman" w:eastAsia="仿宋_GB2312" w:cs="Times New Roman"/>
          <w:bCs/>
          <w:spacing w:val="-4"/>
          <w:sz w:val="28"/>
          <w:szCs w:val="28"/>
          <w:highlight w:val="none"/>
        </w:rPr>
        <w:t>民满意度”指标，指标预期指标值为</w:t>
      </w:r>
      <w:r>
        <w:rPr>
          <w:rFonts w:hint="eastAsia" w:ascii="仿宋_GB2312" w:hAnsi="Times New Roman" w:eastAsia="仿宋_GB2312" w:cs="Times New Roman"/>
          <w:bCs/>
          <w:spacing w:val="-4"/>
          <w:sz w:val="28"/>
          <w:szCs w:val="28"/>
          <w:highlight w:val="none"/>
          <w:lang w:eastAsia="zh-CN"/>
        </w:rPr>
        <w:t>大于等于</w:t>
      </w:r>
      <w:r>
        <w:rPr>
          <w:rFonts w:hint="eastAsia" w:ascii="仿宋_GB2312" w:hAnsi="Times New Roman" w:eastAsia="仿宋_GB2312" w:cs="Times New Roman"/>
          <w:bCs/>
          <w:spacing w:val="-4"/>
          <w:sz w:val="28"/>
          <w:szCs w:val="28"/>
          <w:highlight w:val="none"/>
        </w:rPr>
        <w:t>95%，实际完成值为95%，指标完成率为100.00%。所设分值10分，实际得分10分。</w:t>
      </w:r>
    </w:p>
    <w:p w14:paraId="368EC9F0">
      <w:pPr>
        <w:pStyle w:val="31"/>
        <w:spacing w:beforeLines="0" w:line="560" w:lineRule="exact"/>
        <w:ind w:left="0" w:leftChars="0" w:right="0" w:rightChars="0" w:firstLine="544" w:firstLineChars="200"/>
        <w:rPr>
          <w:rFonts w:ascii="仿宋_GB2312" w:hAnsi="Times New Roman" w:eastAsia="仿宋_GB2312" w:cs="Times New Roman"/>
          <w:b w:val="0"/>
          <w:color w:val="auto"/>
          <w:spacing w:val="-4"/>
          <w:szCs w:val="28"/>
          <w:highlight w:val="none"/>
        </w:rPr>
      </w:pPr>
      <w:r>
        <w:rPr>
          <w:rFonts w:hint="eastAsia" w:ascii="仿宋_GB2312" w:hAnsi="Times New Roman" w:eastAsia="仿宋_GB2312" w:cs="Times New Roman"/>
          <w:b w:val="0"/>
          <w:color w:val="auto"/>
          <w:spacing w:val="-4"/>
          <w:szCs w:val="28"/>
          <w:highlight w:val="none"/>
        </w:rPr>
        <w:t>项目实施完成后我单位就该项目的满意度采取抽样发放调查问卷的方式开展调查，通过对调查问卷的梳理和统计，满意度指标综合满意率为95.00%。</w:t>
      </w:r>
    </w:p>
    <w:p w14:paraId="235ED3F0">
      <w:pPr>
        <w:pStyle w:val="31"/>
        <w:spacing w:before="120"/>
        <w:ind w:left="0" w:leftChars="0" w:right="3" w:firstLine="562" w:firstLineChars="200"/>
        <w:rPr>
          <w:color w:val="auto"/>
          <w:highlight w:val="none"/>
        </w:rPr>
      </w:pPr>
      <w:r>
        <w:rPr>
          <w:rFonts w:hint="eastAsia"/>
          <w:color w:val="auto"/>
          <w:highlight w:val="none"/>
        </w:rPr>
        <w:t>四、偏离绩效目标的原因和下一步改进措施</w:t>
      </w:r>
    </w:p>
    <w:p w14:paraId="669298FD">
      <w:pPr>
        <w:pStyle w:val="54"/>
        <w:spacing w:line="560" w:lineRule="exact"/>
        <w:ind w:left="0" w:leftChars="0" w:right="0" w:rightChars="0" w:firstLine="560"/>
        <w:rPr>
          <w:color w:val="auto"/>
          <w:highlight w:val="none"/>
        </w:rPr>
      </w:pPr>
      <w:r>
        <w:rPr>
          <w:rFonts w:hint="eastAsia" w:ascii="仿宋_GB2312"/>
          <w:color w:val="auto"/>
          <w:spacing w:val="-4"/>
          <w:szCs w:val="32"/>
          <w:highlight w:val="none"/>
        </w:rPr>
        <w:t>1.</w:t>
      </w:r>
      <w:r>
        <w:rPr>
          <w:rFonts w:hint="eastAsia" w:ascii="仿宋_GB2312"/>
          <w:color w:val="auto"/>
          <w:spacing w:val="-4"/>
          <w:szCs w:val="32"/>
          <w:highlight w:val="none"/>
          <w:lang w:val="en-US" w:eastAsia="zh-CN"/>
        </w:rPr>
        <w:t>时效指标-</w:t>
      </w:r>
      <w:r>
        <w:rPr>
          <w:rFonts w:hint="eastAsia"/>
          <w:color w:val="auto"/>
          <w:highlight w:val="none"/>
        </w:rPr>
        <w:t>“项目完工时间”指标，预期指标值为202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8</w:t>
      </w:r>
      <w:r>
        <w:rPr>
          <w:rFonts w:hint="eastAsia"/>
          <w:color w:val="auto"/>
          <w:highlight w:val="none"/>
        </w:rPr>
        <w:t>月</w:t>
      </w:r>
      <w:r>
        <w:rPr>
          <w:rFonts w:hint="eastAsia"/>
          <w:color w:val="auto"/>
          <w:highlight w:val="none"/>
          <w:lang w:eastAsia="zh-CN"/>
        </w:rPr>
        <w:t>，</w:t>
      </w:r>
      <w:r>
        <w:rPr>
          <w:rFonts w:hint="eastAsia"/>
          <w:color w:val="auto"/>
          <w:highlight w:val="none"/>
        </w:rPr>
        <w:t>全年实际值为202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10</w:t>
      </w:r>
      <w:r>
        <w:rPr>
          <w:rFonts w:hint="eastAsia"/>
          <w:color w:val="auto"/>
          <w:highlight w:val="none"/>
        </w:rPr>
        <w:t>月 。</w:t>
      </w:r>
    </w:p>
    <w:p w14:paraId="083F8A67">
      <w:pPr>
        <w:pStyle w:val="54"/>
        <w:spacing w:line="560" w:lineRule="exact"/>
        <w:ind w:left="3" w:right="3" w:firstLine="552"/>
        <w:rPr>
          <w:rFonts w:hint="eastAsia"/>
          <w:color w:val="auto"/>
          <w:highlight w:val="none"/>
        </w:rPr>
      </w:pPr>
      <w:r>
        <w:rPr>
          <w:rFonts w:hint="eastAsia"/>
          <w:color w:val="auto"/>
          <w:highlight w:val="none"/>
        </w:rPr>
        <w:t>偏差原因：由于前期办理相关手续，导致后期开工较晚等原因，耽误工期。改进措施：后续加强项目前期管护提前办理各类手续，将其保障按时开完工建设。</w:t>
      </w:r>
    </w:p>
    <w:p w14:paraId="692526A6">
      <w:pPr>
        <w:pStyle w:val="35"/>
        <w:numPr>
          <w:ilvl w:val="0"/>
          <w:numId w:val="0"/>
        </w:numPr>
        <w:ind w:firstLine="560" w:firstLineChars="200"/>
        <w:rPr>
          <w:rFonts w:hint="eastAsia"/>
          <w:color w:val="auto"/>
          <w:highlight w:val="none"/>
        </w:rPr>
      </w:pPr>
      <w:r>
        <w:rPr>
          <w:rFonts w:hint="eastAsia"/>
          <w:color w:val="auto"/>
          <w:highlight w:val="none"/>
          <w:lang w:val="en-US" w:eastAsia="zh-CN"/>
        </w:rPr>
        <w:t>2.成本指标-</w:t>
      </w:r>
      <w:r>
        <w:rPr>
          <w:rFonts w:hint="eastAsia"/>
          <w:color w:val="auto"/>
          <w:highlight w:val="none"/>
        </w:rPr>
        <w:t>“工程</w:t>
      </w:r>
      <w:r>
        <w:rPr>
          <w:rFonts w:hint="eastAsia"/>
          <w:color w:val="auto"/>
          <w:highlight w:val="none"/>
          <w:lang w:val="en-US" w:eastAsia="zh-CN"/>
        </w:rPr>
        <w:t>安装</w:t>
      </w:r>
      <w:r>
        <w:rPr>
          <w:rFonts w:hint="eastAsia"/>
          <w:color w:val="auto"/>
          <w:highlight w:val="none"/>
        </w:rPr>
        <w:t>费用”指标，预期指标值为</w:t>
      </w:r>
      <w:r>
        <w:rPr>
          <w:rFonts w:hint="eastAsia"/>
          <w:color w:val="auto"/>
          <w:highlight w:val="none"/>
          <w:lang w:eastAsia="zh-CN"/>
        </w:rPr>
        <w:t>小于等于</w:t>
      </w:r>
      <w:r>
        <w:rPr>
          <w:rFonts w:hint="eastAsia"/>
          <w:color w:val="auto"/>
          <w:highlight w:val="none"/>
          <w:lang w:val="en-US" w:eastAsia="zh-CN"/>
        </w:rPr>
        <w:t>160.45</w:t>
      </w:r>
      <w:r>
        <w:rPr>
          <w:rFonts w:hint="eastAsia"/>
          <w:color w:val="auto"/>
          <w:highlight w:val="none"/>
        </w:rPr>
        <w:t>万元, 全年实际值为</w:t>
      </w:r>
      <w:r>
        <w:rPr>
          <w:rFonts w:hint="eastAsia"/>
          <w:color w:val="auto"/>
          <w:highlight w:val="none"/>
          <w:lang w:val="en-US" w:eastAsia="zh-CN"/>
        </w:rPr>
        <w:t>161.7</w:t>
      </w:r>
      <w:r>
        <w:rPr>
          <w:rFonts w:hint="eastAsia"/>
          <w:color w:val="auto"/>
          <w:highlight w:val="none"/>
        </w:rPr>
        <w:t>万元。</w:t>
      </w:r>
    </w:p>
    <w:p w14:paraId="777121ED">
      <w:pPr>
        <w:pStyle w:val="35"/>
        <w:numPr>
          <w:ilvl w:val="0"/>
          <w:numId w:val="0"/>
        </w:numPr>
        <w:ind w:firstLine="560" w:firstLineChars="200"/>
        <w:rPr>
          <w:rFonts w:hint="eastAsia"/>
          <w:color w:val="auto"/>
          <w:highlight w:val="none"/>
          <w:lang w:val="en-US" w:eastAsia="zh-CN"/>
        </w:rPr>
      </w:pPr>
      <w:r>
        <w:rPr>
          <w:rFonts w:hint="eastAsia"/>
          <w:color w:val="auto"/>
          <w:highlight w:val="none"/>
          <w:lang w:val="en-US" w:eastAsia="zh-CN"/>
        </w:rPr>
        <w:t>偏差原因：</w:t>
      </w:r>
      <w:bookmarkStart w:id="2" w:name="OLE_LINK6"/>
      <w:r>
        <w:rPr>
          <w:rFonts w:hint="eastAsia"/>
          <w:color w:val="auto"/>
          <w:highlight w:val="none"/>
          <w:lang w:val="en-US" w:eastAsia="zh-CN"/>
        </w:rPr>
        <w:t>项目根据实际需求实际工程费用增加，其他费用减少。改进措施：加强项目资金管理</w:t>
      </w:r>
      <w:bookmarkEnd w:id="2"/>
      <w:r>
        <w:rPr>
          <w:rFonts w:hint="eastAsia"/>
          <w:color w:val="auto"/>
          <w:highlight w:val="none"/>
          <w:lang w:val="en-US" w:eastAsia="zh-CN"/>
        </w:rPr>
        <w:t>。</w:t>
      </w:r>
    </w:p>
    <w:p w14:paraId="7C23E200">
      <w:pPr>
        <w:pStyle w:val="54"/>
        <w:spacing w:line="560" w:lineRule="exact"/>
        <w:ind w:left="3" w:right="3" w:firstLine="552"/>
        <w:rPr>
          <w:rFonts w:hint="eastAsia"/>
          <w:color w:val="auto"/>
          <w:highlight w:val="none"/>
        </w:rPr>
      </w:pPr>
      <w:r>
        <w:rPr>
          <w:rFonts w:hint="eastAsia"/>
          <w:color w:val="auto"/>
          <w:highlight w:val="none"/>
        </w:rPr>
        <w:t>“其他费用”指标，预期指标值为</w:t>
      </w:r>
      <w:r>
        <w:rPr>
          <w:rFonts w:hint="eastAsia"/>
          <w:color w:val="auto"/>
          <w:highlight w:val="none"/>
          <w:lang w:eastAsia="zh-CN"/>
        </w:rPr>
        <w:t>小于等于</w:t>
      </w:r>
      <w:r>
        <w:rPr>
          <w:rFonts w:hint="eastAsia"/>
          <w:color w:val="auto"/>
          <w:highlight w:val="none"/>
          <w:lang w:val="en-US" w:eastAsia="zh-CN"/>
        </w:rPr>
        <w:t>11.55</w:t>
      </w:r>
      <w:r>
        <w:rPr>
          <w:rFonts w:hint="eastAsia"/>
          <w:color w:val="auto"/>
          <w:highlight w:val="none"/>
        </w:rPr>
        <w:t>万元, 全年实际值为</w:t>
      </w:r>
      <w:r>
        <w:rPr>
          <w:rFonts w:hint="eastAsia"/>
          <w:color w:val="auto"/>
          <w:highlight w:val="none"/>
          <w:lang w:val="en-US" w:eastAsia="zh-CN"/>
        </w:rPr>
        <w:t>10.3</w:t>
      </w:r>
      <w:r>
        <w:rPr>
          <w:rFonts w:hint="eastAsia"/>
          <w:color w:val="auto"/>
          <w:highlight w:val="none"/>
        </w:rPr>
        <w:t>万元。</w:t>
      </w:r>
    </w:p>
    <w:p w14:paraId="29CE439C">
      <w:pPr>
        <w:pStyle w:val="54"/>
        <w:spacing w:line="560" w:lineRule="exact"/>
        <w:ind w:left="3" w:right="3" w:firstLine="552"/>
        <w:rPr>
          <w:rFonts w:hint="default" w:ascii="仿宋_GB2312" w:eastAsia="仿宋_GB2312"/>
          <w:color w:val="auto"/>
          <w:spacing w:val="-4"/>
          <w:szCs w:val="32"/>
          <w:highlight w:val="none"/>
          <w:lang w:val="en-US" w:eastAsia="zh-CN"/>
        </w:rPr>
      </w:pPr>
      <w:r>
        <w:rPr>
          <w:rFonts w:hint="eastAsia"/>
          <w:color w:val="auto"/>
          <w:highlight w:val="none"/>
        </w:rPr>
        <w:t>偏差原因：项目根据实际需求实际工程费用增加，其他费用减少。改进措施：加强项目资金管理。</w:t>
      </w:r>
    </w:p>
    <w:p w14:paraId="17B93A58">
      <w:pPr>
        <w:pStyle w:val="31"/>
        <w:spacing w:before="120"/>
        <w:ind w:right="3" w:firstLine="562" w:firstLineChars="200"/>
        <w:rPr>
          <w:color w:val="auto"/>
          <w:highlight w:val="none"/>
        </w:rPr>
      </w:pPr>
      <w:r>
        <w:rPr>
          <w:rFonts w:hint="eastAsia"/>
          <w:color w:val="auto"/>
          <w:highlight w:val="none"/>
        </w:rPr>
        <w:t>五、绩效自评结果拟应用和公开情况</w:t>
      </w:r>
    </w:p>
    <w:p w14:paraId="1774F459">
      <w:pPr>
        <w:pStyle w:val="54"/>
        <w:spacing w:line="560" w:lineRule="exact"/>
        <w:ind w:left="3" w:right="3" w:firstLine="560"/>
        <w:rPr>
          <w:rFonts w:ascii="仿宋_GB2312"/>
          <w:color w:val="auto"/>
          <w:highlight w:val="none"/>
        </w:rPr>
      </w:pPr>
      <w:r>
        <w:rPr>
          <w:rFonts w:hint="eastAsia" w:ascii="仿宋_GB2312"/>
          <w:color w:val="auto"/>
          <w:highlight w:val="none"/>
        </w:rPr>
        <w:t>项目本次评价通过文件研读、实地调研、数据采集、问卷调查方式下，全面了解</w:t>
      </w:r>
      <w:r>
        <w:rPr>
          <w:rFonts w:hint="eastAsia" w:ascii="仿宋_GB2312"/>
          <w:color w:val="auto"/>
          <w:highlight w:val="none"/>
          <w:lang w:eastAsia="zh-CN"/>
        </w:rPr>
        <w:t>于田县木尕拉镇阿克依来克村壮大村集体经济建设项目</w:t>
      </w:r>
      <w:r>
        <w:rPr>
          <w:rFonts w:hint="eastAsia" w:ascii="仿宋_GB2312"/>
          <w:color w:val="auto"/>
          <w:highlight w:val="none"/>
        </w:rPr>
        <w:t>资金的使用效率和效果，从而得出以下综合评价结论：在绩效目标方面，本项目</w:t>
      </w:r>
      <w:r>
        <w:rPr>
          <w:rFonts w:hint="eastAsia" w:ascii="仿宋_GB2312"/>
          <w:color w:val="auto"/>
          <w:szCs w:val="32"/>
          <w:highlight w:val="none"/>
        </w:rPr>
        <w:t>共设置一级指标3个，二级指标</w:t>
      </w:r>
      <w:r>
        <w:rPr>
          <w:rFonts w:hint="eastAsia" w:ascii="仿宋_GB2312"/>
          <w:color w:val="auto"/>
          <w:szCs w:val="32"/>
          <w:highlight w:val="none"/>
          <w:lang w:val="en-US" w:eastAsia="zh-CN"/>
        </w:rPr>
        <w:t>6</w:t>
      </w:r>
      <w:r>
        <w:rPr>
          <w:rFonts w:hint="eastAsia" w:ascii="仿宋_GB2312"/>
          <w:color w:val="auto"/>
          <w:szCs w:val="32"/>
          <w:highlight w:val="none"/>
        </w:rPr>
        <w:t>个，三级指标</w:t>
      </w:r>
      <w:r>
        <w:rPr>
          <w:rFonts w:hint="eastAsia" w:ascii="仿宋_GB2312"/>
          <w:color w:val="auto"/>
          <w:szCs w:val="32"/>
          <w:highlight w:val="none"/>
          <w:lang w:val="en-US" w:eastAsia="zh-CN"/>
        </w:rPr>
        <w:t>12</w:t>
      </w:r>
      <w:r>
        <w:rPr>
          <w:rFonts w:hint="eastAsia" w:ascii="仿宋_GB2312"/>
          <w:color w:val="auto"/>
          <w:szCs w:val="32"/>
          <w:highlight w:val="none"/>
        </w:rPr>
        <w:t>个,</w:t>
      </w:r>
      <w:r>
        <w:rPr>
          <w:rFonts w:hint="eastAsia" w:ascii="仿宋_GB2312"/>
          <w:color w:val="auto"/>
          <w:highlight w:val="none"/>
        </w:rPr>
        <w:t>其中已完成三级指标</w:t>
      </w:r>
      <w:r>
        <w:rPr>
          <w:rFonts w:hint="eastAsia" w:ascii="仿宋_GB2312"/>
          <w:color w:val="auto"/>
          <w:highlight w:val="none"/>
          <w:lang w:val="en-US" w:eastAsia="zh-CN"/>
        </w:rPr>
        <w:t>10</w:t>
      </w:r>
      <w:r>
        <w:rPr>
          <w:rFonts w:hint="eastAsia" w:ascii="仿宋_GB2312"/>
          <w:color w:val="auto"/>
          <w:highlight w:val="none"/>
        </w:rPr>
        <w:t>个，指标完成率为</w:t>
      </w:r>
      <w:r>
        <w:rPr>
          <w:rFonts w:hint="eastAsia" w:ascii="仿宋_GB2312"/>
          <w:color w:val="auto"/>
          <w:highlight w:val="none"/>
          <w:lang w:val="en-US" w:eastAsia="zh-CN"/>
        </w:rPr>
        <w:t>83.33</w:t>
      </w:r>
      <w:r>
        <w:rPr>
          <w:rFonts w:hint="eastAsia" w:ascii="仿宋_GB2312"/>
          <w:color w:val="auto"/>
          <w:highlight w:val="none"/>
        </w:rPr>
        <w:t>%；在资金使用方面，严格按照《于田县</w:t>
      </w:r>
      <w:r>
        <w:rPr>
          <w:rFonts w:hint="eastAsia" w:ascii="仿宋_GB2312"/>
          <w:color w:val="auto"/>
          <w:highlight w:val="none"/>
          <w:lang w:val="en-US" w:eastAsia="zh-CN"/>
        </w:rPr>
        <w:t>衔接</w:t>
      </w:r>
      <w:r>
        <w:rPr>
          <w:rFonts w:hint="eastAsia" w:ascii="仿宋_GB2312"/>
          <w:color w:val="auto"/>
          <w:highlight w:val="none"/>
        </w:rPr>
        <w:t>资金财务管理制度》、《于田县木尕拉镇人民政府财务管理制度》执行，保障了资金使用规范、安全，无挪用、截留资金的情况发生。在项目管理方面，制定了《</w:t>
      </w:r>
      <w:r>
        <w:rPr>
          <w:rFonts w:hint="eastAsia" w:ascii="仿宋_GB2312"/>
          <w:color w:val="auto"/>
          <w:highlight w:val="none"/>
          <w:lang w:eastAsia="zh-CN"/>
        </w:rPr>
        <w:t>于田县木尕拉镇阿克依来克村壮大村集体经济建设项目</w:t>
      </w:r>
      <w:r>
        <w:rPr>
          <w:rFonts w:hint="eastAsia" w:ascii="仿宋_GB2312"/>
          <w:color w:val="auto"/>
          <w:highlight w:val="none"/>
        </w:rPr>
        <w:t>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42569541">
      <w:pPr>
        <w:pStyle w:val="54"/>
        <w:spacing w:line="560" w:lineRule="exact"/>
        <w:ind w:left="3" w:right="3" w:firstLine="560"/>
        <w:rPr>
          <w:rFonts w:ascii="仿宋_GB2312"/>
          <w:color w:val="auto"/>
          <w:highlight w:val="none"/>
        </w:rPr>
      </w:pPr>
      <w:r>
        <w:rPr>
          <w:rFonts w:hint="eastAsia" w:ascii="仿宋_GB2312"/>
          <w:color w:val="auto"/>
          <w:highlight w:val="none"/>
        </w:rPr>
        <w:t>项目最终得分为</w:t>
      </w:r>
      <w:r>
        <w:rPr>
          <w:rFonts w:hint="eastAsia" w:ascii="仿宋_GB2312"/>
          <w:color w:val="auto"/>
          <w:highlight w:val="none"/>
          <w:lang w:val="en-US" w:eastAsia="zh-CN"/>
        </w:rPr>
        <w:t>98.35</w:t>
      </w:r>
      <w:r>
        <w:rPr>
          <w:rFonts w:hint="eastAsia" w:ascii="仿宋_GB2312"/>
          <w:color w:val="auto"/>
          <w:highlight w:val="none"/>
        </w:rPr>
        <w:t>分，评价等级为优。</w:t>
      </w:r>
    </w:p>
    <w:p w14:paraId="32455170">
      <w:pPr>
        <w:pStyle w:val="54"/>
        <w:spacing w:line="560" w:lineRule="exact"/>
        <w:ind w:left="3" w:right="3" w:firstLine="554"/>
        <w:rPr>
          <w:rStyle w:val="21"/>
          <w:rFonts w:ascii="楷体_GB2312" w:hAnsi="楷体"/>
          <w:color w:val="auto"/>
          <w:spacing w:val="-4"/>
          <w:szCs w:val="32"/>
          <w:highlight w:val="none"/>
        </w:rPr>
      </w:pPr>
      <w:r>
        <w:rPr>
          <w:rStyle w:val="21"/>
          <w:rFonts w:hint="eastAsia" w:ascii="楷体_GB2312" w:hAnsi="楷体"/>
          <w:color w:val="auto"/>
          <w:spacing w:val="-4"/>
          <w:szCs w:val="32"/>
          <w:highlight w:val="none"/>
        </w:rPr>
        <w:t>（一）绩效自评结果拟应用情况</w:t>
      </w:r>
    </w:p>
    <w:p w14:paraId="3F5D87B0">
      <w:pPr>
        <w:pStyle w:val="54"/>
        <w:spacing w:line="560" w:lineRule="exact"/>
        <w:ind w:left="3" w:right="3" w:firstLine="560"/>
        <w:rPr>
          <w:rFonts w:ascii="仿宋_GB2312"/>
          <w:color w:val="auto"/>
          <w:highlight w:val="none"/>
        </w:rPr>
      </w:pPr>
      <w:r>
        <w:rPr>
          <w:rFonts w:hint="eastAsia" w:ascii="仿宋_GB2312"/>
          <w:color w:val="auto"/>
          <w:highlight w:val="none"/>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4603C71E">
      <w:pPr>
        <w:spacing w:line="560" w:lineRule="exact"/>
        <w:ind w:firstLine="546" w:firstLineChars="200"/>
        <w:rPr>
          <w:rStyle w:val="21"/>
          <w:rFonts w:ascii="楷体_GB2312" w:hAnsi="楷体" w:cs="Times New Roman"/>
          <w:spacing w:val="-4"/>
          <w:sz w:val="28"/>
          <w:szCs w:val="32"/>
          <w:highlight w:val="none"/>
        </w:rPr>
      </w:pPr>
      <w:r>
        <w:rPr>
          <w:rStyle w:val="21"/>
          <w:rFonts w:hint="eastAsia" w:ascii="楷体_GB2312" w:hAnsi="楷体" w:cs="Times New Roman"/>
          <w:spacing w:val="-4"/>
          <w:sz w:val="28"/>
          <w:szCs w:val="32"/>
          <w:highlight w:val="none"/>
        </w:rPr>
        <w:t>（二）指标佐证材料说明</w:t>
      </w:r>
    </w:p>
    <w:p w14:paraId="3617EB9C">
      <w:pPr>
        <w:pStyle w:val="54"/>
        <w:spacing w:line="560" w:lineRule="exact"/>
        <w:ind w:left="3" w:right="3" w:firstLine="560"/>
        <w:rPr>
          <w:rFonts w:hint="eastAsia" w:ascii="仿宋_GB2312" w:eastAsia="仿宋_GB2312"/>
          <w:color w:val="auto"/>
          <w:highlight w:val="none"/>
          <w:lang w:eastAsia="zh-CN"/>
        </w:rPr>
      </w:pPr>
      <w:r>
        <w:rPr>
          <w:rFonts w:hint="eastAsia" w:ascii="仿宋_GB2312"/>
          <w:color w:val="auto"/>
          <w:highlight w:val="none"/>
        </w:rPr>
        <w:t>项目状况：于田县木尕拉镇人民政府</w:t>
      </w:r>
      <w:r>
        <w:rPr>
          <w:rFonts w:hint="eastAsia" w:ascii="仿宋_GB2312"/>
          <w:color w:val="auto"/>
          <w:highlight w:val="none"/>
          <w:lang w:val="en-US" w:eastAsia="zh-CN"/>
        </w:rPr>
        <w:t>委托设计院</w:t>
      </w:r>
      <w:r>
        <w:rPr>
          <w:rFonts w:hint="eastAsia" w:ascii="仿宋_GB2312"/>
          <w:color w:val="auto"/>
          <w:highlight w:val="none"/>
        </w:rPr>
        <w:t>负责项目的实施方案</w:t>
      </w:r>
      <w:r>
        <w:rPr>
          <w:rFonts w:hint="eastAsia" w:ascii="仿宋_GB2312"/>
          <w:color w:val="auto"/>
          <w:highlight w:val="none"/>
          <w:lang w:val="en-US" w:eastAsia="zh-CN"/>
        </w:rPr>
        <w:t>编制</w:t>
      </w:r>
      <w:r>
        <w:rPr>
          <w:rFonts w:hint="eastAsia" w:ascii="仿宋_GB2312"/>
          <w:color w:val="auto"/>
          <w:highlight w:val="none"/>
        </w:rPr>
        <w:t>，并由</w:t>
      </w:r>
      <w:r>
        <w:rPr>
          <w:rFonts w:hint="eastAsia" w:ascii="仿宋_GB2312"/>
          <w:color w:val="auto"/>
          <w:highlight w:val="none"/>
          <w:lang w:val="en-US" w:eastAsia="zh-CN"/>
        </w:rPr>
        <w:t>于田县民族宗教事务局和于田县财政局联合</w:t>
      </w:r>
      <w:r>
        <w:rPr>
          <w:rFonts w:hint="eastAsia" w:ascii="仿宋_GB2312"/>
          <w:color w:val="auto"/>
          <w:highlight w:val="none"/>
        </w:rPr>
        <w:t>下发的</w:t>
      </w:r>
      <w:bookmarkStart w:id="3" w:name="OLE_LINK5"/>
      <w:r>
        <w:rPr>
          <w:rFonts w:hint="eastAsia" w:ascii="仿宋_GB2312"/>
          <w:color w:val="auto"/>
          <w:highlight w:val="none"/>
        </w:rPr>
        <w:t>《</w:t>
      </w:r>
      <w:bookmarkEnd w:id="3"/>
      <w:r>
        <w:rPr>
          <w:rFonts w:hint="eastAsia" w:ascii="仿宋_GB2312"/>
          <w:color w:val="auto"/>
          <w:highlight w:val="none"/>
        </w:rPr>
        <w:t>关于</w:t>
      </w:r>
      <w:r>
        <w:rPr>
          <w:rFonts w:hint="eastAsia" w:ascii="仿宋_GB2312"/>
          <w:color w:val="auto"/>
          <w:highlight w:val="none"/>
          <w:lang w:eastAsia="zh-CN"/>
        </w:rPr>
        <w:t>于田县木尕拉镇阿克依来克村壮大村集体经济建设项目</w:t>
      </w:r>
      <w:r>
        <w:rPr>
          <w:rFonts w:hint="eastAsia" w:ascii="仿宋_GB2312"/>
          <w:color w:val="auto"/>
          <w:highlight w:val="none"/>
        </w:rPr>
        <w:t>实施方案的批复》（于</w:t>
      </w:r>
      <w:r>
        <w:rPr>
          <w:rFonts w:hint="eastAsia" w:ascii="仿宋_GB2312"/>
          <w:color w:val="auto"/>
          <w:highlight w:val="none"/>
          <w:lang w:val="en-US" w:eastAsia="zh-CN"/>
        </w:rPr>
        <w:t>民宗</w:t>
      </w:r>
      <w:r>
        <w:rPr>
          <w:rFonts w:hint="eastAsia" w:ascii="仿宋_GB2312"/>
          <w:color w:val="auto"/>
          <w:highlight w:val="none"/>
        </w:rPr>
        <w:t>[202</w:t>
      </w:r>
      <w:r>
        <w:rPr>
          <w:rFonts w:hint="eastAsia" w:ascii="仿宋_GB2312"/>
          <w:color w:val="auto"/>
          <w:highlight w:val="none"/>
          <w:lang w:val="en-US" w:eastAsia="zh-CN"/>
        </w:rPr>
        <w:t>4</w:t>
      </w:r>
      <w:r>
        <w:rPr>
          <w:rFonts w:hint="eastAsia" w:ascii="仿宋_GB2312"/>
          <w:color w:val="auto"/>
          <w:highlight w:val="none"/>
        </w:rPr>
        <w:t>]</w:t>
      </w:r>
      <w:r>
        <w:rPr>
          <w:rFonts w:hint="eastAsia" w:ascii="仿宋_GB2312"/>
          <w:color w:val="auto"/>
          <w:highlight w:val="none"/>
          <w:lang w:val="en-US" w:eastAsia="zh-CN"/>
        </w:rPr>
        <w:t>6</w:t>
      </w:r>
      <w:r>
        <w:rPr>
          <w:rFonts w:hint="eastAsia" w:ascii="仿宋_GB2312"/>
          <w:color w:val="auto"/>
          <w:highlight w:val="none"/>
        </w:rPr>
        <w:t>号）</w:t>
      </w:r>
      <w:r>
        <w:rPr>
          <w:rFonts w:hint="eastAsia" w:ascii="仿宋_GB2312"/>
          <w:color w:val="auto"/>
          <w:highlight w:val="none"/>
          <w:lang w:eastAsia="zh-CN"/>
        </w:rPr>
        <w:t>。</w:t>
      </w:r>
    </w:p>
    <w:p w14:paraId="74DAFD63">
      <w:pPr>
        <w:pStyle w:val="54"/>
        <w:spacing w:line="560" w:lineRule="exact"/>
        <w:ind w:left="3" w:right="3" w:firstLine="560"/>
        <w:rPr>
          <w:rFonts w:hint="eastAsia" w:ascii="仿宋_GB2312"/>
          <w:color w:val="auto"/>
          <w:highlight w:val="none"/>
        </w:rPr>
      </w:pPr>
      <w:r>
        <w:rPr>
          <w:rFonts w:hint="eastAsia" w:ascii="仿宋_GB2312"/>
          <w:color w:val="auto"/>
          <w:highlight w:val="none"/>
        </w:rPr>
        <w:t>资金状况：预算资金来源为</w:t>
      </w:r>
      <w:r>
        <w:rPr>
          <w:rFonts w:hint="eastAsia" w:ascii="仿宋_GB2312"/>
          <w:color w:val="auto"/>
          <w:highlight w:val="none"/>
          <w:lang w:val="en-US" w:eastAsia="zh-CN"/>
        </w:rPr>
        <w:t>少数民族发展</w:t>
      </w:r>
      <w:r>
        <w:rPr>
          <w:rFonts w:hint="eastAsia" w:ascii="仿宋_GB2312"/>
          <w:color w:val="auto"/>
          <w:highlight w:val="none"/>
        </w:rPr>
        <w:t>资金，文件依据：</w:t>
      </w:r>
      <w:r>
        <w:rPr>
          <w:rFonts w:hint="eastAsia" w:ascii="仿宋_GB2312"/>
          <w:color w:val="auto"/>
          <w:highlight w:val="none"/>
          <w:lang w:val="en-US" w:eastAsia="zh-CN"/>
        </w:rPr>
        <w:t>和地财农（</w:t>
      </w:r>
      <w:r>
        <w:rPr>
          <w:rFonts w:hint="eastAsia" w:ascii="仿宋_GB2312"/>
          <w:color w:val="auto"/>
          <w:highlight w:val="none"/>
        </w:rPr>
        <w:t>[</w:t>
      </w:r>
      <w:r>
        <w:rPr>
          <w:rFonts w:hint="eastAsia" w:ascii="仿宋_GB2312"/>
          <w:color w:val="auto"/>
          <w:highlight w:val="none"/>
          <w:lang w:val="en-US" w:eastAsia="zh-CN"/>
        </w:rPr>
        <w:t>2023</w:t>
      </w:r>
      <w:r>
        <w:rPr>
          <w:rFonts w:hint="eastAsia" w:ascii="仿宋_GB2312"/>
          <w:color w:val="auto"/>
          <w:highlight w:val="none"/>
        </w:rPr>
        <w:t>]</w:t>
      </w:r>
      <w:r>
        <w:rPr>
          <w:rFonts w:hint="eastAsia" w:ascii="仿宋_GB2312"/>
          <w:color w:val="auto"/>
          <w:highlight w:val="none"/>
          <w:lang w:val="en-US" w:eastAsia="zh-CN"/>
        </w:rPr>
        <w:t>48号）文件，和</w:t>
      </w:r>
      <w:r>
        <w:rPr>
          <w:rFonts w:hint="eastAsia" w:ascii="仿宋_GB2312"/>
          <w:color w:val="auto"/>
          <w:highlight w:val="none"/>
        </w:rPr>
        <w:t>《关于对</w:t>
      </w:r>
      <w:r>
        <w:rPr>
          <w:rFonts w:hint="eastAsia" w:ascii="仿宋" w:hAnsi="仿宋" w:eastAsia="仿宋" w:cs="仿宋"/>
          <w:bCs/>
          <w:color w:val="auto"/>
          <w:kern w:val="0"/>
          <w:highlight w:val="none"/>
          <w:lang w:eastAsia="zh-CN"/>
        </w:rPr>
        <w:t>于田县木尕拉镇阿克依来克村壮大村集体经济建设项目</w:t>
      </w:r>
      <w:r>
        <w:rPr>
          <w:rFonts w:hint="eastAsia" w:ascii="仿宋" w:hAnsi="仿宋" w:eastAsia="仿宋" w:cs="仿宋"/>
          <w:bCs/>
          <w:color w:val="auto"/>
          <w:kern w:val="0"/>
          <w:highlight w:val="none"/>
        </w:rPr>
        <w:t>实施</w:t>
      </w:r>
      <w:r>
        <w:rPr>
          <w:rFonts w:hint="eastAsia" w:ascii="仿宋_GB2312"/>
          <w:color w:val="auto"/>
          <w:highlight w:val="none"/>
        </w:rPr>
        <w:t>方案的批复》（于</w:t>
      </w:r>
      <w:r>
        <w:rPr>
          <w:rFonts w:hint="eastAsia" w:ascii="仿宋_GB2312"/>
          <w:color w:val="auto"/>
          <w:highlight w:val="none"/>
          <w:lang w:val="en-US" w:eastAsia="zh-CN"/>
        </w:rPr>
        <w:t>民宗</w:t>
      </w:r>
      <w:bookmarkStart w:id="4" w:name="OLE_LINK3"/>
      <w:r>
        <w:rPr>
          <w:rFonts w:hint="eastAsia" w:ascii="仿宋_GB2312"/>
          <w:color w:val="auto"/>
          <w:highlight w:val="none"/>
        </w:rPr>
        <w:t>[</w:t>
      </w:r>
      <w:bookmarkEnd w:id="4"/>
      <w:r>
        <w:rPr>
          <w:rFonts w:hint="eastAsia" w:ascii="仿宋_GB2312"/>
          <w:color w:val="auto"/>
          <w:highlight w:val="none"/>
        </w:rPr>
        <w:t>202</w:t>
      </w:r>
      <w:r>
        <w:rPr>
          <w:rFonts w:hint="eastAsia" w:ascii="仿宋_GB2312"/>
          <w:color w:val="auto"/>
          <w:highlight w:val="none"/>
          <w:lang w:val="en-US" w:eastAsia="zh-CN"/>
        </w:rPr>
        <w:t>4</w:t>
      </w:r>
      <w:bookmarkStart w:id="5" w:name="OLE_LINK4"/>
      <w:r>
        <w:rPr>
          <w:rFonts w:hint="eastAsia" w:ascii="仿宋_GB2312"/>
          <w:color w:val="auto"/>
          <w:highlight w:val="none"/>
        </w:rPr>
        <w:t>]</w:t>
      </w:r>
      <w:bookmarkEnd w:id="5"/>
      <w:r>
        <w:rPr>
          <w:rFonts w:hint="eastAsia" w:ascii="仿宋_GB2312"/>
          <w:color w:val="auto"/>
          <w:highlight w:val="none"/>
          <w:lang w:val="en-US" w:eastAsia="zh-CN"/>
        </w:rPr>
        <w:t>6</w:t>
      </w:r>
      <w:r>
        <w:rPr>
          <w:rFonts w:hint="eastAsia" w:ascii="仿宋_GB2312"/>
          <w:color w:val="auto"/>
          <w:highlight w:val="none"/>
        </w:rPr>
        <w:t>号）。</w:t>
      </w:r>
    </w:p>
    <w:p w14:paraId="62EB59F6">
      <w:pPr>
        <w:pStyle w:val="54"/>
        <w:spacing w:line="560" w:lineRule="exact"/>
        <w:ind w:left="3" w:right="3" w:firstLine="560"/>
        <w:rPr>
          <w:rFonts w:ascii="仿宋_GB2312"/>
          <w:color w:val="auto"/>
          <w:highlight w:val="yellow"/>
        </w:rPr>
      </w:pPr>
      <w:r>
        <w:rPr>
          <w:rFonts w:hint="eastAsia" w:ascii="仿宋_GB2312"/>
          <w:color w:val="auto"/>
          <w:highlight w:val="none"/>
        </w:rPr>
        <w:t>过程状况：该项目于202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6</w:t>
      </w:r>
      <w:r>
        <w:rPr>
          <w:rFonts w:hint="eastAsia" w:ascii="仿宋_GB2312"/>
          <w:color w:val="auto"/>
          <w:highlight w:val="none"/>
        </w:rPr>
        <w:t>月制订实施方案并得到批复，202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8</w:t>
      </w:r>
      <w:r>
        <w:rPr>
          <w:rFonts w:hint="eastAsia" w:ascii="仿宋_GB2312"/>
          <w:color w:val="auto"/>
          <w:highlight w:val="none"/>
        </w:rPr>
        <w:t>月</w:t>
      </w:r>
      <w:r>
        <w:rPr>
          <w:rFonts w:hint="eastAsia" w:ascii="仿宋_GB2312"/>
          <w:color w:val="auto"/>
          <w:highlight w:val="none"/>
          <w:lang w:val="en-US" w:eastAsia="zh-CN"/>
        </w:rPr>
        <w:t>1</w:t>
      </w:r>
      <w:r>
        <w:rPr>
          <w:rFonts w:hint="eastAsia" w:ascii="仿宋_GB2312"/>
          <w:color w:val="auto"/>
          <w:highlight w:val="none"/>
        </w:rPr>
        <w:t>日</w:t>
      </w:r>
      <w:r>
        <w:rPr>
          <w:rFonts w:hint="eastAsia" w:ascii="仿宋_GB2312"/>
          <w:color w:val="auto"/>
          <w:highlight w:val="none"/>
          <w:lang w:val="en-US" w:eastAsia="zh-CN"/>
        </w:rPr>
        <w:t>通过直接发包确定施工</w:t>
      </w:r>
      <w:r>
        <w:rPr>
          <w:rFonts w:hint="eastAsia" w:ascii="仿宋_GB2312"/>
          <w:color w:val="auto"/>
          <w:highlight w:val="none"/>
        </w:rPr>
        <w:t>，202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10</w:t>
      </w:r>
      <w:r>
        <w:rPr>
          <w:rFonts w:hint="eastAsia" w:ascii="仿宋_GB2312"/>
          <w:color w:val="auto"/>
          <w:highlight w:val="none"/>
        </w:rPr>
        <w:t>月</w:t>
      </w:r>
      <w:r>
        <w:rPr>
          <w:rFonts w:hint="eastAsia" w:ascii="仿宋_GB2312"/>
          <w:color w:val="auto"/>
          <w:highlight w:val="none"/>
          <w:lang w:val="en-US" w:eastAsia="zh-CN"/>
        </w:rPr>
        <w:t>2</w:t>
      </w:r>
      <w:r>
        <w:rPr>
          <w:rFonts w:hint="eastAsia" w:ascii="仿宋_GB2312"/>
          <w:color w:val="auto"/>
          <w:highlight w:val="none"/>
        </w:rPr>
        <w:t>日完工。</w:t>
      </w:r>
    </w:p>
    <w:p w14:paraId="52A4D65C">
      <w:pPr>
        <w:pStyle w:val="54"/>
        <w:spacing w:line="560" w:lineRule="exact"/>
        <w:ind w:left="3" w:right="3" w:firstLine="560"/>
        <w:rPr>
          <w:rFonts w:ascii="仿宋_GB2312"/>
          <w:color w:val="auto"/>
          <w:highlight w:val="none"/>
        </w:rPr>
      </w:pPr>
      <w:r>
        <w:rPr>
          <w:rFonts w:hint="eastAsia" w:ascii="仿宋_GB2312"/>
          <w:color w:val="auto"/>
          <w:highlight w:val="none"/>
        </w:rPr>
        <w:t>结果状况：</w:t>
      </w:r>
      <w:r>
        <w:rPr>
          <w:rFonts w:hint="eastAsia" w:ascii="仿宋_GB2312"/>
          <w:color w:val="auto"/>
          <w:highlight w:val="none"/>
          <w:lang w:val="en-US" w:eastAsia="zh-CN"/>
        </w:rPr>
        <w:t>12</w:t>
      </w:r>
      <w:r>
        <w:rPr>
          <w:rFonts w:hint="eastAsia" w:ascii="仿宋_GB2312"/>
          <w:color w:val="auto"/>
          <w:highlight w:val="none"/>
        </w:rPr>
        <w:t>月</w:t>
      </w:r>
      <w:r>
        <w:rPr>
          <w:rFonts w:hint="eastAsia" w:ascii="仿宋_GB2312"/>
          <w:color w:val="auto"/>
          <w:highlight w:val="none"/>
          <w:lang w:val="en-US" w:eastAsia="zh-CN"/>
        </w:rPr>
        <w:t>13</w:t>
      </w:r>
      <w:r>
        <w:rPr>
          <w:rFonts w:hint="eastAsia" w:ascii="仿宋_GB2312"/>
          <w:color w:val="auto"/>
          <w:highlight w:val="none"/>
        </w:rPr>
        <w:t>日由</w:t>
      </w:r>
      <w:r>
        <w:rPr>
          <w:rFonts w:hint="eastAsia" w:ascii="仿宋_GB2312"/>
          <w:color w:val="auto"/>
          <w:highlight w:val="none"/>
          <w:lang w:val="en-US" w:eastAsia="zh-CN"/>
        </w:rPr>
        <w:t>于田县民族宗教事务局，发展和改革委员会</w:t>
      </w:r>
      <w:r>
        <w:rPr>
          <w:rFonts w:hint="eastAsia" w:ascii="仿宋_GB2312"/>
          <w:color w:val="auto"/>
          <w:highlight w:val="none"/>
          <w:lang w:eastAsia="zh-CN"/>
        </w:rPr>
        <w:t>，</w:t>
      </w:r>
      <w:r>
        <w:rPr>
          <w:rFonts w:hint="eastAsia" w:ascii="仿宋_GB2312"/>
          <w:color w:val="auto"/>
          <w:highlight w:val="none"/>
          <w:lang w:val="en-US" w:eastAsia="zh-CN"/>
        </w:rPr>
        <w:t>住房和城乡建设局、农业农村局、组织部、财政</w:t>
      </w:r>
      <w:r>
        <w:rPr>
          <w:rFonts w:hint="eastAsia" w:ascii="仿宋_GB2312"/>
          <w:color w:val="auto"/>
          <w:highlight w:val="none"/>
          <w:lang w:eastAsia="zh-CN"/>
        </w:rPr>
        <w:t>局</w:t>
      </w:r>
      <w:r>
        <w:rPr>
          <w:rFonts w:hint="eastAsia" w:ascii="仿宋_GB2312"/>
          <w:color w:val="auto"/>
          <w:highlight w:val="none"/>
        </w:rPr>
        <w:t>、</w:t>
      </w:r>
      <w:r>
        <w:rPr>
          <w:rFonts w:hint="eastAsia" w:ascii="仿宋_GB2312"/>
          <w:color w:val="auto"/>
          <w:highlight w:val="none"/>
          <w:lang w:val="en-US" w:eastAsia="zh-CN"/>
        </w:rPr>
        <w:t>档案局</w:t>
      </w:r>
      <w:r>
        <w:rPr>
          <w:rFonts w:hint="eastAsia" w:ascii="仿宋_GB2312"/>
          <w:color w:val="auto"/>
          <w:highlight w:val="none"/>
        </w:rPr>
        <w:t>等和参建单位联合竣工验收结果状况：合格。</w:t>
      </w:r>
    </w:p>
    <w:p w14:paraId="5D5A76BD">
      <w:pPr>
        <w:pStyle w:val="54"/>
        <w:spacing w:line="560" w:lineRule="exact"/>
        <w:ind w:left="3" w:right="3" w:firstLine="562"/>
        <w:rPr>
          <w:rStyle w:val="21"/>
          <w:rFonts w:ascii="楷体_GB2312"/>
          <w:color w:val="auto"/>
          <w:highlight w:val="none"/>
        </w:rPr>
      </w:pPr>
      <w:r>
        <w:rPr>
          <w:rStyle w:val="21"/>
          <w:rFonts w:hint="eastAsia" w:ascii="楷体_GB2312"/>
          <w:color w:val="auto"/>
          <w:highlight w:val="none"/>
        </w:rPr>
        <w:t>（三）主要经验及做法</w:t>
      </w:r>
    </w:p>
    <w:p w14:paraId="0A5DAEFF">
      <w:pPr>
        <w:spacing w:line="560" w:lineRule="exact"/>
        <w:ind w:firstLine="560" w:firstLineChars="200"/>
        <w:rPr>
          <w:rFonts w:ascii="仿宋_GB2312" w:hAnsi="Times New Roman" w:eastAsia="仿宋_GB2312" w:cs="Times New Roman"/>
          <w:sz w:val="28"/>
          <w:highlight w:val="none"/>
        </w:rPr>
      </w:pPr>
      <w:r>
        <w:rPr>
          <w:rFonts w:hint="eastAsia" w:ascii="仿宋_GB2312" w:hAnsi="Times New Roman" w:eastAsia="仿宋_GB2312" w:cs="Times New Roman"/>
          <w:sz w:val="28"/>
          <w:highlight w:val="none"/>
          <w:lang w:eastAsia="zh-CN"/>
        </w:rPr>
        <w:t>于田县木尕拉镇阿克依来克村壮大村集体经济建设项目</w:t>
      </w:r>
      <w:r>
        <w:rPr>
          <w:rFonts w:hint="eastAsia" w:ascii="仿宋_GB2312" w:hAnsi="Times New Roman" w:eastAsia="仿宋_GB2312" w:cs="Times New Roman"/>
          <w:sz w:val="28"/>
          <w:highlight w:val="none"/>
        </w:rPr>
        <w:t>资金安排、使用过程中严格执行乡村振兴项目资金管理制度，确保乡村振兴</w:t>
      </w:r>
      <w:r>
        <w:rPr>
          <w:rFonts w:hint="eastAsia" w:ascii="仿宋_GB2312" w:hAnsi="Times New Roman" w:eastAsia="仿宋_GB2312" w:cs="Times New Roman"/>
          <w:sz w:val="28"/>
          <w:highlight w:val="none"/>
          <w:lang w:val="en-US" w:eastAsia="zh-CN"/>
        </w:rPr>
        <w:t>的</w:t>
      </w:r>
      <w:r>
        <w:rPr>
          <w:rFonts w:hint="eastAsia" w:ascii="仿宋_GB2312" w:hAnsi="Times New Roman" w:eastAsia="仿宋_GB2312" w:cs="Times New Roman"/>
          <w:sz w:val="28"/>
          <w:highlight w:val="none"/>
        </w:rPr>
        <w:t>项目正常运行</w:t>
      </w:r>
      <w:r>
        <w:rPr>
          <w:rFonts w:hint="eastAsia" w:ascii="仿宋_GB2312" w:hAnsi="Times New Roman" w:eastAsia="仿宋_GB2312" w:cs="Times New Roman"/>
          <w:sz w:val="28"/>
          <w:highlight w:val="none"/>
          <w:lang w:eastAsia="zh-CN"/>
        </w:rPr>
        <w:t>，</w:t>
      </w:r>
      <w:r>
        <w:rPr>
          <w:rFonts w:hint="eastAsia" w:ascii="仿宋_GB2312" w:hAnsi="Times New Roman" w:eastAsia="仿宋_GB2312" w:cs="Times New Roman"/>
          <w:sz w:val="28"/>
          <w:highlight w:val="none"/>
        </w:rPr>
        <w:t>为构建长效稳定奠定物质基础。</w:t>
      </w:r>
    </w:p>
    <w:p w14:paraId="456026F0">
      <w:pPr>
        <w:spacing w:line="560" w:lineRule="exact"/>
        <w:ind w:firstLine="562" w:firstLineChars="200"/>
        <w:rPr>
          <w:rStyle w:val="21"/>
          <w:rFonts w:ascii="楷体_GB2312"/>
          <w:sz w:val="28"/>
          <w:highlight w:val="none"/>
        </w:rPr>
      </w:pPr>
      <w:r>
        <w:rPr>
          <w:rStyle w:val="21"/>
          <w:rFonts w:hint="eastAsia" w:ascii="楷体_GB2312"/>
          <w:sz w:val="28"/>
          <w:highlight w:val="none"/>
        </w:rPr>
        <w:t>（四）存在的问题</w:t>
      </w:r>
    </w:p>
    <w:p w14:paraId="47154D8F">
      <w:pPr>
        <w:spacing w:line="560" w:lineRule="exact"/>
        <w:ind w:firstLine="560" w:firstLineChars="200"/>
        <w:rPr>
          <w:rFonts w:hint="eastAsia" w:ascii="仿宋_GB2312" w:hAnsi="Times New Roman" w:eastAsia="仿宋_GB2312" w:cs="Times New Roman"/>
          <w:sz w:val="28"/>
          <w:highlight w:val="none"/>
          <w:lang w:val="en-US" w:eastAsia="zh-CN"/>
        </w:rPr>
      </w:pPr>
      <w:r>
        <w:rPr>
          <w:rFonts w:hint="eastAsia" w:ascii="仿宋_GB2312" w:hAnsi="Times New Roman" w:eastAsia="仿宋_GB2312" w:cs="Times New Roman"/>
          <w:sz w:val="28"/>
          <w:highlight w:val="none"/>
          <w:lang w:val="en-US" w:eastAsia="zh-CN"/>
        </w:rPr>
        <w:t>于田县木尕拉镇阿克依来克村壮大村集体经济建设项目前期手续办理审批缓慢的问题，由于各单位年初业务繁忙，出具各类材料需要一定时间，导致办理材料缓慢，招投标后滞，开工缓慢</w:t>
      </w:r>
      <w:r>
        <w:rPr>
          <w:rFonts w:hint="eastAsia" w:ascii="仿宋_GB2312" w:hAnsi="Times New Roman" w:eastAsia="仿宋_GB2312" w:cs="Times New Roman"/>
          <w:sz w:val="28"/>
          <w:highlight w:val="none"/>
        </w:rPr>
        <w:t>。</w:t>
      </w:r>
      <w:r>
        <w:rPr>
          <w:rFonts w:hint="eastAsia" w:ascii="仿宋_GB2312" w:hAnsi="Times New Roman" w:eastAsia="仿宋_GB2312" w:cs="Times New Roman"/>
          <w:sz w:val="28"/>
          <w:highlight w:val="none"/>
          <w:lang w:val="en-US" w:eastAsia="zh-CN"/>
        </w:rPr>
        <w:t>项目根据实际需求实际工程费用增加，其他费用减少。后续加强项目资金管理。</w:t>
      </w:r>
    </w:p>
    <w:p w14:paraId="5520005B">
      <w:pPr>
        <w:spacing w:line="560" w:lineRule="exact"/>
        <w:ind w:firstLine="562" w:firstLineChars="200"/>
        <w:rPr>
          <w:rStyle w:val="21"/>
          <w:rFonts w:ascii="楷体_GB2312"/>
          <w:sz w:val="28"/>
          <w:highlight w:val="none"/>
        </w:rPr>
      </w:pPr>
      <w:r>
        <w:rPr>
          <w:rStyle w:val="21"/>
          <w:rFonts w:hint="eastAsia" w:ascii="楷体_GB2312"/>
          <w:sz w:val="28"/>
          <w:highlight w:val="none"/>
        </w:rPr>
        <w:t>（五）建议</w:t>
      </w:r>
    </w:p>
    <w:p w14:paraId="26867DE9">
      <w:pPr>
        <w:spacing w:line="560" w:lineRule="exact"/>
        <w:ind w:firstLine="560" w:firstLineChars="200"/>
        <w:rPr>
          <w:rFonts w:ascii="仿宋_GB2312" w:hAnsi="Times New Roman" w:eastAsia="仿宋_GB2312" w:cs="Times New Roman"/>
          <w:sz w:val="28"/>
          <w:highlight w:val="none"/>
        </w:rPr>
      </w:pPr>
      <w:r>
        <w:rPr>
          <w:rFonts w:hint="eastAsia" w:ascii="仿宋_GB2312" w:hAnsi="Times New Roman" w:eastAsia="仿宋_GB2312" w:cs="Times New Roman"/>
          <w:sz w:val="28"/>
          <w:highlight w:val="none"/>
        </w:rPr>
        <w:t>后续要加强项目监督</w:t>
      </w:r>
      <w:r>
        <w:rPr>
          <w:rFonts w:hint="eastAsia" w:ascii="仿宋_GB2312" w:hAnsi="Times New Roman" w:eastAsia="仿宋_GB2312" w:cs="Times New Roman"/>
          <w:sz w:val="28"/>
          <w:highlight w:val="none"/>
          <w:lang w:val="en-US" w:eastAsia="zh-CN"/>
        </w:rPr>
        <w:t>管理</w:t>
      </w:r>
      <w:r>
        <w:rPr>
          <w:rFonts w:hint="eastAsia" w:ascii="仿宋_GB2312" w:hAnsi="Times New Roman" w:eastAsia="仿宋_GB2312" w:cs="Times New Roman"/>
          <w:sz w:val="28"/>
          <w:highlight w:val="none"/>
        </w:rPr>
        <w:t>力度，严格执行乡村振兴项目管理制度，确保乡村振兴项目正常运行。建立健全资产管理体制和运行机制，持续发挥资产扶持效益，确保资产运行安全，管理高效；为构建长效稳定的乡村振兴环境奠定物质基础。</w:t>
      </w:r>
    </w:p>
    <w:p w14:paraId="7CA528BD">
      <w:pPr>
        <w:spacing w:line="560" w:lineRule="exact"/>
        <w:ind w:firstLine="562" w:firstLineChars="200"/>
        <w:rPr>
          <w:rStyle w:val="21"/>
          <w:rFonts w:ascii="楷体_GB2312"/>
          <w:sz w:val="28"/>
          <w:highlight w:val="none"/>
        </w:rPr>
      </w:pPr>
      <w:r>
        <w:rPr>
          <w:rStyle w:val="21"/>
          <w:rFonts w:hint="eastAsia" w:ascii="楷体_GB2312"/>
          <w:sz w:val="28"/>
          <w:highlight w:val="none"/>
        </w:rPr>
        <w:t>（六）项目绩效公告公示情况</w:t>
      </w:r>
    </w:p>
    <w:p w14:paraId="48D84AB3">
      <w:pPr>
        <w:pStyle w:val="54"/>
        <w:spacing w:line="560" w:lineRule="exact"/>
        <w:ind w:left="3" w:right="3" w:firstLine="560"/>
        <w:rPr>
          <w:color w:val="auto"/>
          <w:highlight w:val="none"/>
        </w:rPr>
      </w:pPr>
      <w:r>
        <w:rPr>
          <w:rFonts w:hint="eastAsia" w:ascii="仿宋_GB2312"/>
          <w:color w:val="auto"/>
          <w:highlight w:val="none"/>
        </w:rPr>
        <w:t>项目按照项目公告公示规定要求，完成项目前期公开、项目建设期公开，项目竣工后公开，通过</w:t>
      </w:r>
      <w:r>
        <w:rPr>
          <w:rFonts w:hint="eastAsia" w:ascii="仿宋_GB2312"/>
          <w:color w:val="auto"/>
          <w:highlight w:val="none"/>
          <w:lang w:val="en-US" w:eastAsia="zh-CN"/>
        </w:rPr>
        <w:t>张贴</w:t>
      </w:r>
      <w:r>
        <w:rPr>
          <w:rFonts w:hint="eastAsia" w:ascii="仿宋_GB2312"/>
          <w:color w:val="auto"/>
          <w:highlight w:val="none"/>
        </w:rPr>
        <w:t>公示向社会</w:t>
      </w:r>
      <w:r>
        <w:rPr>
          <w:rFonts w:hint="eastAsia" w:ascii="仿宋_GB2312"/>
          <w:color w:val="auto"/>
          <w:highlight w:val="none"/>
          <w:lang w:val="en-US" w:eastAsia="zh-CN"/>
        </w:rPr>
        <w:t>群众</w:t>
      </w:r>
      <w:r>
        <w:rPr>
          <w:rFonts w:hint="eastAsia" w:ascii="仿宋_GB2312"/>
          <w:color w:val="auto"/>
          <w:highlight w:val="none"/>
        </w:rPr>
        <w:t>公开，接受社会</w:t>
      </w:r>
      <w:r>
        <w:rPr>
          <w:rFonts w:hint="eastAsia" w:ascii="仿宋_GB2312"/>
          <w:color w:val="auto"/>
          <w:highlight w:val="none"/>
          <w:lang w:val="en-US" w:eastAsia="zh-CN"/>
        </w:rPr>
        <w:t>群众的</w:t>
      </w:r>
      <w:r>
        <w:rPr>
          <w:rFonts w:hint="eastAsia" w:ascii="仿宋_GB2312"/>
          <w:color w:val="auto"/>
          <w:highlight w:val="none"/>
        </w:rPr>
        <w:t>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大标宋简体">
    <w:altName w:val="微软雅黑"/>
    <w:panose1 w:val="0201060103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sdtPr>
    <w:sdtContent>
      <w:p w14:paraId="20253B68">
        <w:pPr>
          <w:pStyle w:val="15"/>
          <w:jc w:val="center"/>
        </w:pPr>
        <w:r>
          <w:fldChar w:fldCharType="begin"/>
        </w:r>
        <w:r>
          <w:instrText xml:space="preserve">PAGE   \* MERGEFORMAT</w:instrText>
        </w:r>
        <w:r>
          <w:fldChar w:fldCharType="separate"/>
        </w:r>
        <w:r>
          <w:rPr>
            <w:lang w:val="zh-CN"/>
          </w:rPr>
          <w:t>1</w:t>
        </w:r>
        <w:r>
          <w:fldChar w:fldCharType="end"/>
        </w:r>
      </w:p>
    </w:sdtContent>
  </w:sdt>
  <w:p w14:paraId="1E89C660">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EDEBA9">
    <w:pPr>
      <w:pStyle w:val="1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useAltKinsokuLineBreakRules/>
    <w:compatSetting w:name="compatibilityMode" w:uri="http://schemas.microsoft.com/office/word" w:val="14"/>
  </w:compat>
  <w:docVars>
    <w:docVar w:name="commondata" w:val="eyJoZGlkIjoiY2RlOGExMTJjOWFmYjNiZTJjMWUwNDM2NWFmZTM5NmE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3FBF"/>
    <w:rsid w:val="00407329"/>
    <w:rsid w:val="0042774A"/>
    <w:rsid w:val="00433105"/>
    <w:rsid w:val="0043529B"/>
    <w:rsid w:val="00444004"/>
    <w:rsid w:val="004447F6"/>
    <w:rsid w:val="00452A7B"/>
    <w:rsid w:val="004765F9"/>
    <w:rsid w:val="004B2577"/>
    <w:rsid w:val="004D19E3"/>
    <w:rsid w:val="004E156F"/>
    <w:rsid w:val="004F278C"/>
    <w:rsid w:val="004F71F5"/>
    <w:rsid w:val="00502531"/>
    <w:rsid w:val="005033D8"/>
    <w:rsid w:val="00545496"/>
    <w:rsid w:val="005469CF"/>
    <w:rsid w:val="00550BD8"/>
    <w:rsid w:val="00561ADC"/>
    <w:rsid w:val="005B4348"/>
    <w:rsid w:val="005B7749"/>
    <w:rsid w:val="005D7C18"/>
    <w:rsid w:val="005F7D5D"/>
    <w:rsid w:val="00600873"/>
    <w:rsid w:val="00601C6E"/>
    <w:rsid w:val="00607547"/>
    <w:rsid w:val="00642C18"/>
    <w:rsid w:val="00661281"/>
    <w:rsid w:val="00661CC0"/>
    <w:rsid w:val="00696A43"/>
    <w:rsid w:val="006C2EB3"/>
    <w:rsid w:val="006F23BE"/>
    <w:rsid w:val="00702BA4"/>
    <w:rsid w:val="00704F2C"/>
    <w:rsid w:val="00713A95"/>
    <w:rsid w:val="007658DB"/>
    <w:rsid w:val="00783147"/>
    <w:rsid w:val="007C501F"/>
    <w:rsid w:val="007F690F"/>
    <w:rsid w:val="0080022F"/>
    <w:rsid w:val="0081784A"/>
    <w:rsid w:val="008703E2"/>
    <w:rsid w:val="00886219"/>
    <w:rsid w:val="00897839"/>
    <w:rsid w:val="008A3305"/>
    <w:rsid w:val="008A49C0"/>
    <w:rsid w:val="008B044F"/>
    <w:rsid w:val="008B4230"/>
    <w:rsid w:val="008B6B8E"/>
    <w:rsid w:val="008C3F3B"/>
    <w:rsid w:val="0091422D"/>
    <w:rsid w:val="0093300C"/>
    <w:rsid w:val="00941946"/>
    <w:rsid w:val="0094736A"/>
    <w:rsid w:val="0095335C"/>
    <w:rsid w:val="00956D07"/>
    <w:rsid w:val="00995842"/>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B1673"/>
    <w:rsid w:val="00DC00A4"/>
    <w:rsid w:val="00DC00CB"/>
    <w:rsid w:val="00DE5C9F"/>
    <w:rsid w:val="00E20066"/>
    <w:rsid w:val="00E215D5"/>
    <w:rsid w:val="00E231E6"/>
    <w:rsid w:val="00E35D4C"/>
    <w:rsid w:val="00E36AF4"/>
    <w:rsid w:val="00E417AF"/>
    <w:rsid w:val="00E5760D"/>
    <w:rsid w:val="00E62F01"/>
    <w:rsid w:val="00E65E86"/>
    <w:rsid w:val="00E66C44"/>
    <w:rsid w:val="00E70807"/>
    <w:rsid w:val="00E72FF5"/>
    <w:rsid w:val="00E952C7"/>
    <w:rsid w:val="00EB734B"/>
    <w:rsid w:val="00EE2F0B"/>
    <w:rsid w:val="00F326A5"/>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12F0DE1"/>
    <w:rsid w:val="016B51C2"/>
    <w:rsid w:val="01736731"/>
    <w:rsid w:val="01A36CEE"/>
    <w:rsid w:val="023D5371"/>
    <w:rsid w:val="02460244"/>
    <w:rsid w:val="027F63AE"/>
    <w:rsid w:val="0325119A"/>
    <w:rsid w:val="03B40D4F"/>
    <w:rsid w:val="03C15EB9"/>
    <w:rsid w:val="046B096A"/>
    <w:rsid w:val="04BF4CB7"/>
    <w:rsid w:val="04E00A6C"/>
    <w:rsid w:val="04EA72FB"/>
    <w:rsid w:val="05437E33"/>
    <w:rsid w:val="05714AA9"/>
    <w:rsid w:val="05B820E5"/>
    <w:rsid w:val="05C25A64"/>
    <w:rsid w:val="05F873C5"/>
    <w:rsid w:val="06063288"/>
    <w:rsid w:val="0624235D"/>
    <w:rsid w:val="0674200F"/>
    <w:rsid w:val="069350E4"/>
    <w:rsid w:val="06D63663"/>
    <w:rsid w:val="071163A2"/>
    <w:rsid w:val="07612169"/>
    <w:rsid w:val="076B7873"/>
    <w:rsid w:val="07BF6C7B"/>
    <w:rsid w:val="084130A5"/>
    <w:rsid w:val="09122105"/>
    <w:rsid w:val="09320078"/>
    <w:rsid w:val="099A3488"/>
    <w:rsid w:val="0A14277E"/>
    <w:rsid w:val="0A2C3DE4"/>
    <w:rsid w:val="0A7040FF"/>
    <w:rsid w:val="0A740423"/>
    <w:rsid w:val="0ABB04FB"/>
    <w:rsid w:val="0AD23243"/>
    <w:rsid w:val="0AF36AD9"/>
    <w:rsid w:val="0B091BAB"/>
    <w:rsid w:val="0B294A8C"/>
    <w:rsid w:val="0B3D5CBE"/>
    <w:rsid w:val="0B5D0F4E"/>
    <w:rsid w:val="0C9056DF"/>
    <w:rsid w:val="0D3716DE"/>
    <w:rsid w:val="0D6331E6"/>
    <w:rsid w:val="0DA07E8C"/>
    <w:rsid w:val="0DB4343E"/>
    <w:rsid w:val="0DBC6205"/>
    <w:rsid w:val="0DC50F98"/>
    <w:rsid w:val="0F97689C"/>
    <w:rsid w:val="0FA14A05"/>
    <w:rsid w:val="0FB8469B"/>
    <w:rsid w:val="10201226"/>
    <w:rsid w:val="10C57A75"/>
    <w:rsid w:val="11336DD6"/>
    <w:rsid w:val="1151736E"/>
    <w:rsid w:val="11D80923"/>
    <w:rsid w:val="11E73444"/>
    <w:rsid w:val="11F44487"/>
    <w:rsid w:val="12287FF3"/>
    <w:rsid w:val="12866486"/>
    <w:rsid w:val="130532F4"/>
    <w:rsid w:val="130C78FE"/>
    <w:rsid w:val="132976D6"/>
    <w:rsid w:val="135C30B0"/>
    <w:rsid w:val="13A045BD"/>
    <w:rsid w:val="13FD34C4"/>
    <w:rsid w:val="141875ED"/>
    <w:rsid w:val="14406C7F"/>
    <w:rsid w:val="1442443F"/>
    <w:rsid w:val="14523BDA"/>
    <w:rsid w:val="162A5F70"/>
    <w:rsid w:val="16FE3373"/>
    <w:rsid w:val="17526E1E"/>
    <w:rsid w:val="17A84B25"/>
    <w:rsid w:val="17D6183A"/>
    <w:rsid w:val="18B71A64"/>
    <w:rsid w:val="1A234C7E"/>
    <w:rsid w:val="1B62698C"/>
    <w:rsid w:val="1B90020D"/>
    <w:rsid w:val="1BAA5B3D"/>
    <w:rsid w:val="1BC34772"/>
    <w:rsid w:val="1C166DB6"/>
    <w:rsid w:val="1C8658D6"/>
    <w:rsid w:val="1C954FC9"/>
    <w:rsid w:val="1CAA656A"/>
    <w:rsid w:val="1CBB0515"/>
    <w:rsid w:val="1DF256D0"/>
    <w:rsid w:val="1E4725ED"/>
    <w:rsid w:val="1EEB5EFE"/>
    <w:rsid w:val="1F257970"/>
    <w:rsid w:val="1F3504A2"/>
    <w:rsid w:val="1F597D00"/>
    <w:rsid w:val="1F8C05C5"/>
    <w:rsid w:val="1FD0538F"/>
    <w:rsid w:val="1FEE39F6"/>
    <w:rsid w:val="204121A1"/>
    <w:rsid w:val="205125B9"/>
    <w:rsid w:val="206474E1"/>
    <w:rsid w:val="20885025"/>
    <w:rsid w:val="20925BC1"/>
    <w:rsid w:val="21304794"/>
    <w:rsid w:val="21421357"/>
    <w:rsid w:val="21802AB0"/>
    <w:rsid w:val="21A50045"/>
    <w:rsid w:val="21C01FC7"/>
    <w:rsid w:val="22602296"/>
    <w:rsid w:val="231C63E7"/>
    <w:rsid w:val="23377FF5"/>
    <w:rsid w:val="23F863C1"/>
    <w:rsid w:val="24577D9F"/>
    <w:rsid w:val="245B4C98"/>
    <w:rsid w:val="253D3738"/>
    <w:rsid w:val="25943ACA"/>
    <w:rsid w:val="262C5472"/>
    <w:rsid w:val="263E0D0F"/>
    <w:rsid w:val="26AF18CD"/>
    <w:rsid w:val="26FA2A83"/>
    <w:rsid w:val="28135D8C"/>
    <w:rsid w:val="28604CF3"/>
    <w:rsid w:val="2926098E"/>
    <w:rsid w:val="297124F0"/>
    <w:rsid w:val="29A13C47"/>
    <w:rsid w:val="29AF4B8B"/>
    <w:rsid w:val="2A7F41CD"/>
    <w:rsid w:val="2A9E46AE"/>
    <w:rsid w:val="2AB53D53"/>
    <w:rsid w:val="2AB6724A"/>
    <w:rsid w:val="2AC45C7E"/>
    <w:rsid w:val="2AFD4B9D"/>
    <w:rsid w:val="2B016451"/>
    <w:rsid w:val="2B11642F"/>
    <w:rsid w:val="2B483BDB"/>
    <w:rsid w:val="2B803191"/>
    <w:rsid w:val="2BC859FA"/>
    <w:rsid w:val="2BEF7C4A"/>
    <w:rsid w:val="2BFE6C33"/>
    <w:rsid w:val="2C7B5BD1"/>
    <w:rsid w:val="2DA22198"/>
    <w:rsid w:val="2DEC66E8"/>
    <w:rsid w:val="2DF33037"/>
    <w:rsid w:val="2E383E55"/>
    <w:rsid w:val="2E54551A"/>
    <w:rsid w:val="2EAC278D"/>
    <w:rsid w:val="2EC54364"/>
    <w:rsid w:val="2F124362"/>
    <w:rsid w:val="2FED5C8C"/>
    <w:rsid w:val="30043280"/>
    <w:rsid w:val="300656CD"/>
    <w:rsid w:val="30DA0BA0"/>
    <w:rsid w:val="313856CC"/>
    <w:rsid w:val="315B0640"/>
    <w:rsid w:val="31FB7B74"/>
    <w:rsid w:val="320415E3"/>
    <w:rsid w:val="32AF4339"/>
    <w:rsid w:val="32C46296"/>
    <w:rsid w:val="32CF5D35"/>
    <w:rsid w:val="332F3F51"/>
    <w:rsid w:val="335847DE"/>
    <w:rsid w:val="3364758B"/>
    <w:rsid w:val="34156198"/>
    <w:rsid w:val="346409FF"/>
    <w:rsid w:val="353030FF"/>
    <w:rsid w:val="35AA5315"/>
    <w:rsid w:val="35FA357C"/>
    <w:rsid w:val="372F515E"/>
    <w:rsid w:val="37452596"/>
    <w:rsid w:val="375600DD"/>
    <w:rsid w:val="38136AE8"/>
    <w:rsid w:val="382C4F4F"/>
    <w:rsid w:val="38E4611E"/>
    <w:rsid w:val="3919044F"/>
    <w:rsid w:val="3943104E"/>
    <w:rsid w:val="39871296"/>
    <w:rsid w:val="3A06274D"/>
    <w:rsid w:val="3A396B57"/>
    <w:rsid w:val="3A4B3943"/>
    <w:rsid w:val="3B2E21A8"/>
    <w:rsid w:val="3BE92741"/>
    <w:rsid w:val="3BF03DED"/>
    <w:rsid w:val="3C7D70DA"/>
    <w:rsid w:val="3CD3075D"/>
    <w:rsid w:val="3D2402FF"/>
    <w:rsid w:val="3D380530"/>
    <w:rsid w:val="3D5E1131"/>
    <w:rsid w:val="3E0E1B79"/>
    <w:rsid w:val="3E3E55D7"/>
    <w:rsid w:val="3E440598"/>
    <w:rsid w:val="3E982E81"/>
    <w:rsid w:val="3EB850CA"/>
    <w:rsid w:val="3F7F3BE4"/>
    <w:rsid w:val="3FEA3A2F"/>
    <w:rsid w:val="400C2C7D"/>
    <w:rsid w:val="408849DF"/>
    <w:rsid w:val="40AD5A2A"/>
    <w:rsid w:val="40D64F3C"/>
    <w:rsid w:val="40DE591A"/>
    <w:rsid w:val="4133059C"/>
    <w:rsid w:val="413E720B"/>
    <w:rsid w:val="416A6F9C"/>
    <w:rsid w:val="4174622E"/>
    <w:rsid w:val="41D01D50"/>
    <w:rsid w:val="41D51F7A"/>
    <w:rsid w:val="426A289B"/>
    <w:rsid w:val="42726E7A"/>
    <w:rsid w:val="42994447"/>
    <w:rsid w:val="432F5109"/>
    <w:rsid w:val="43317288"/>
    <w:rsid w:val="436E06D9"/>
    <w:rsid w:val="43870367"/>
    <w:rsid w:val="43AD0DDB"/>
    <w:rsid w:val="43E64511"/>
    <w:rsid w:val="44F11970"/>
    <w:rsid w:val="44FD32E9"/>
    <w:rsid w:val="450C05A0"/>
    <w:rsid w:val="46AB12E9"/>
    <w:rsid w:val="46B143FB"/>
    <w:rsid w:val="48137443"/>
    <w:rsid w:val="489F355F"/>
    <w:rsid w:val="490C5A11"/>
    <w:rsid w:val="492D3872"/>
    <w:rsid w:val="49886878"/>
    <w:rsid w:val="49A3515D"/>
    <w:rsid w:val="4A363275"/>
    <w:rsid w:val="4B092D88"/>
    <w:rsid w:val="4BBC6310"/>
    <w:rsid w:val="4C330C89"/>
    <w:rsid w:val="4C434013"/>
    <w:rsid w:val="4CB35B87"/>
    <w:rsid w:val="4DD80699"/>
    <w:rsid w:val="4E9B2184"/>
    <w:rsid w:val="4ECA68F0"/>
    <w:rsid w:val="4EEC1441"/>
    <w:rsid w:val="4EEC5350"/>
    <w:rsid w:val="4F026A9E"/>
    <w:rsid w:val="4F0E4EA3"/>
    <w:rsid w:val="4F870A0B"/>
    <w:rsid w:val="4FB4646E"/>
    <w:rsid w:val="4FC25E39"/>
    <w:rsid w:val="4FF12795"/>
    <w:rsid w:val="500D03F4"/>
    <w:rsid w:val="501F2FAD"/>
    <w:rsid w:val="50493837"/>
    <w:rsid w:val="50C93585"/>
    <w:rsid w:val="50D45F86"/>
    <w:rsid w:val="50E524A7"/>
    <w:rsid w:val="51970DCF"/>
    <w:rsid w:val="52AE56BC"/>
    <w:rsid w:val="53A91B52"/>
    <w:rsid w:val="53E26203"/>
    <w:rsid w:val="54174C1E"/>
    <w:rsid w:val="54694136"/>
    <w:rsid w:val="55AB4CFC"/>
    <w:rsid w:val="565B5AC3"/>
    <w:rsid w:val="56667281"/>
    <w:rsid w:val="566A57D0"/>
    <w:rsid w:val="56BC14CC"/>
    <w:rsid w:val="57040EC7"/>
    <w:rsid w:val="57473256"/>
    <w:rsid w:val="57B40121"/>
    <w:rsid w:val="57D16450"/>
    <w:rsid w:val="57FC3477"/>
    <w:rsid w:val="58541C04"/>
    <w:rsid w:val="5A346B49"/>
    <w:rsid w:val="5A3C6825"/>
    <w:rsid w:val="5A442951"/>
    <w:rsid w:val="5B3102DC"/>
    <w:rsid w:val="5B5D3CAE"/>
    <w:rsid w:val="5BC91F40"/>
    <w:rsid w:val="5C52219D"/>
    <w:rsid w:val="5C7D248A"/>
    <w:rsid w:val="5CE74F49"/>
    <w:rsid w:val="5D1C416C"/>
    <w:rsid w:val="5D4C56C2"/>
    <w:rsid w:val="5D5440F0"/>
    <w:rsid w:val="5E4C5D05"/>
    <w:rsid w:val="5EE27760"/>
    <w:rsid w:val="5EFF3C47"/>
    <w:rsid w:val="5F4D1074"/>
    <w:rsid w:val="5F8B0AD9"/>
    <w:rsid w:val="5FB243FD"/>
    <w:rsid w:val="5FF86F82"/>
    <w:rsid w:val="608A742D"/>
    <w:rsid w:val="60E362C3"/>
    <w:rsid w:val="611C73D6"/>
    <w:rsid w:val="612E12B4"/>
    <w:rsid w:val="614C3496"/>
    <w:rsid w:val="615C0468"/>
    <w:rsid w:val="61AF63F1"/>
    <w:rsid w:val="61B55E70"/>
    <w:rsid w:val="62374AB0"/>
    <w:rsid w:val="62DE41A9"/>
    <w:rsid w:val="631244BB"/>
    <w:rsid w:val="63325C32"/>
    <w:rsid w:val="63AE6093"/>
    <w:rsid w:val="63D85922"/>
    <w:rsid w:val="64001A54"/>
    <w:rsid w:val="647916AD"/>
    <w:rsid w:val="64A50F41"/>
    <w:rsid w:val="64D20838"/>
    <w:rsid w:val="64EF6A61"/>
    <w:rsid w:val="64FA1955"/>
    <w:rsid w:val="65014E41"/>
    <w:rsid w:val="655734E6"/>
    <w:rsid w:val="657168A7"/>
    <w:rsid w:val="65F904C7"/>
    <w:rsid w:val="66D43F30"/>
    <w:rsid w:val="671E15B5"/>
    <w:rsid w:val="676807E1"/>
    <w:rsid w:val="67B12F99"/>
    <w:rsid w:val="67C866DE"/>
    <w:rsid w:val="68592339"/>
    <w:rsid w:val="68912E4E"/>
    <w:rsid w:val="694614B9"/>
    <w:rsid w:val="69E934E8"/>
    <w:rsid w:val="69E97C41"/>
    <w:rsid w:val="6A0A5868"/>
    <w:rsid w:val="6A6569CA"/>
    <w:rsid w:val="6A665AA7"/>
    <w:rsid w:val="6A7E2834"/>
    <w:rsid w:val="6ABF37C0"/>
    <w:rsid w:val="6B2230D1"/>
    <w:rsid w:val="6B4822F6"/>
    <w:rsid w:val="6BE95382"/>
    <w:rsid w:val="6C2B4D8F"/>
    <w:rsid w:val="6CD67BA3"/>
    <w:rsid w:val="6D046BC7"/>
    <w:rsid w:val="6D13641E"/>
    <w:rsid w:val="6D40564D"/>
    <w:rsid w:val="6D5C581C"/>
    <w:rsid w:val="6DC55050"/>
    <w:rsid w:val="6DC67C57"/>
    <w:rsid w:val="6DED7F18"/>
    <w:rsid w:val="6DF73EA8"/>
    <w:rsid w:val="6E2F6E97"/>
    <w:rsid w:val="6E39648E"/>
    <w:rsid w:val="6E4938EE"/>
    <w:rsid w:val="6EB44C48"/>
    <w:rsid w:val="6F077459"/>
    <w:rsid w:val="6F570900"/>
    <w:rsid w:val="701461CD"/>
    <w:rsid w:val="70150897"/>
    <w:rsid w:val="704571D3"/>
    <w:rsid w:val="706C5DBD"/>
    <w:rsid w:val="70A252BC"/>
    <w:rsid w:val="71BA7F04"/>
    <w:rsid w:val="72177DC8"/>
    <w:rsid w:val="72660665"/>
    <w:rsid w:val="72E865A1"/>
    <w:rsid w:val="72EF04C8"/>
    <w:rsid w:val="73A07546"/>
    <w:rsid w:val="73DB01FA"/>
    <w:rsid w:val="74281D94"/>
    <w:rsid w:val="7435749E"/>
    <w:rsid w:val="74366F62"/>
    <w:rsid w:val="74702F2D"/>
    <w:rsid w:val="74B05A0E"/>
    <w:rsid w:val="74E813F3"/>
    <w:rsid w:val="750900E2"/>
    <w:rsid w:val="75181DF9"/>
    <w:rsid w:val="752641FD"/>
    <w:rsid w:val="75603B4D"/>
    <w:rsid w:val="756C1C47"/>
    <w:rsid w:val="75767500"/>
    <w:rsid w:val="75D95B02"/>
    <w:rsid w:val="75FA38CB"/>
    <w:rsid w:val="76035AD7"/>
    <w:rsid w:val="763871F0"/>
    <w:rsid w:val="7742427D"/>
    <w:rsid w:val="779305BF"/>
    <w:rsid w:val="77DF1A43"/>
    <w:rsid w:val="78403E44"/>
    <w:rsid w:val="78711370"/>
    <w:rsid w:val="794762A8"/>
    <w:rsid w:val="79BB114F"/>
    <w:rsid w:val="7A1C3932"/>
    <w:rsid w:val="7B38751A"/>
    <w:rsid w:val="7B6E3383"/>
    <w:rsid w:val="7B866E43"/>
    <w:rsid w:val="7BD608AD"/>
    <w:rsid w:val="7CDB3907"/>
    <w:rsid w:val="7CE52B42"/>
    <w:rsid w:val="7D20786B"/>
    <w:rsid w:val="7D2A4AB7"/>
    <w:rsid w:val="7DEC3FDC"/>
    <w:rsid w:val="7E173876"/>
    <w:rsid w:val="7EA2479F"/>
    <w:rsid w:val="7F00709B"/>
    <w:rsid w:val="7F1722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楷体_GB2312" w:asciiTheme="minorHAnsi" w:hAnsiTheme="minorHAnsi" w:cstheme="minorBidi"/>
      <w:kern w:val="2"/>
      <w:sz w:val="32"/>
      <w:szCs w:val="22"/>
      <w:lang w:val="en-US" w:eastAsia="zh-CN" w:bidi="ar-SA"/>
    </w:rPr>
  </w:style>
  <w:style w:type="paragraph" w:styleId="4">
    <w:name w:val="heading 1"/>
    <w:basedOn w:val="1"/>
    <w:next w:val="1"/>
    <w:link w:val="23"/>
    <w:qFormat/>
    <w:uiPriority w:val="9"/>
    <w:pPr>
      <w:keepNext/>
      <w:keepLines/>
      <w:spacing w:before="340" w:after="330" w:line="576" w:lineRule="auto"/>
      <w:outlineLvl w:val="0"/>
    </w:pPr>
    <w:rPr>
      <w:rFonts w:cs="宋体"/>
      <w:b/>
      <w:bCs/>
      <w:kern w:val="44"/>
      <w:sz w:val="44"/>
      <w:szCs w:val="44"/>
    </w:rPr>
  </w:style>
  <w:style w:type="paragraph" w:styleId="5">
    <w:name w:val="heading 2"/>
    <w:basedOn w:val="1"/>
    <w:next w:val="1"/>
    <w:link w:val="24"/>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6">
    <w:name w:val="heading 3"/>
    <w:basedOn w:val="1"/>
    <w:next w:val="1"/>
    <w:link w:val="25"/>
    <w:qFormat/>
    <w:uiPriority w:val="9"/>
    <w:pPr>
      <w:keepNext/>
      <w:keepLines/>
      <w:spacing w:before="260" w:after="260" w:line="415" w:lineRule="auto"/>
      <w:outlineLvl w:val="2"/>
    </w:pPr>
    <w:rPr>
      <w:rFonts w:cs="宋体"/>
      <w:b/>
      <w:bCs/>
      <w:szCs w:val="32"/>
    </w:rPr>
  </w:style>
  <w:style w:type="paragraph" w:styleId="7">
    <w:name w:val="heading 4"/>
    <w:basedOn w:val="1"/>
    <w:next w:val="1"/>
    <w:link w:val="26"/>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8">
    <w:name w:val="heading 5"/>
    <w:basedOn w:val="1"/>
    <w:next w:val="1"/>
    <w:link w:val="27"/>
    <w:qFormat/>
    <w:uiPriority w:val="9"/>
    <w:pPr>
      <w:keepNext/>
      <w:keepLines/>
      <w:spacing w:before="280" w:after="290" w:line="374" w:lineRule="auto"/>
      <w:outlineLvl w:val="4"/>
    </w:pPr>
    <w:rPr>
      <w:rFonts w:cs="宋体"/>
      <w:b/>
      <w:bCs/>
      <w:sz w:val="28"/>
      <w:szCs w:val="28"/>
    </w:rPr>
  </w:style>
  <w:style w:type="paragraph" w:styleId="9">
    <w:name w:val="heading 6"/>
    <w:basedOn w:val="1"/>
    <w:next w:val="1"/>
    <w:link w:val="38"/>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10">
    <w:name w:val="heading 7"/>
    <w:basedOn w:val="1"/>
    <w:next w:val="1"/>
    <w:link w:val="64"/>
    <w:qFormat/>
    <w:uiPriority w:val="9"/>
    <w:pPr>
      <w:keepNext/>
      <w:keepLines/>
      <w:spacing w:before="240" w:after="64" w:line="320" w:lineRule="auto"/>
      <w:outlineLvl w:val="6"/>
    </w:pPr>
    <w:rPr>
      <w:b/>
      <w:bCs/>
      <w:sz w:val="24"/>
      <w:szCs w:val="24"/>
    </w:rPr>
  </w:style>
  <w:style w:type="paragraph" w:styleId="11">
    <w:name w:val="heading 8"/>
    <w:basedOn w:val="1"/>
    <w:next w:val="1"/>
    <w:link w:val="65"/>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2">
    <w:name w:val="heading 9"/>
    <w:basedOn w:val="1"/>
    <w:next w:val="1"/>
    <w:link w:val="66"/>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customStyle="1" w:styleId="2">
    <w:name w:val="正文首行缩进 21"/>
    <w:basedOn w:val="3"/>
    <w:qFormat/>
    <w:uiPriority w:val="0"/>
    <w:pPr>
      <w:ind w:firstLine="420" w:firstLineChars="200"/>
    </w:pPr>
  </w:style>
  <w:style w:type="paragraph" w:customStyle="1" w:styleId="3">
    <w:name w:val="正文文本缩进1"/>
    <w:basedOn w:val="1"/>
    <w:qFormat/>
    <w:uiPriority w:val="0"/>
    <w:pPr>
      <w:spacing w:after="120"/>
      <w:ind w:left="420" w:leftChars="200"/>
    </w:pPr>
  </w:style>
  <w:style w:type="paragraph" w:styleId="13">
    <w:name w:val="annotation text"/>
    <w:basedOn w:val="1"/>
    <w:link w:val="69"/>
    <w:semiHidden/>
    <w:unhideWhenUsed/>
    <w:qFormat/>
    <w:uiPriority w:val="99"/>
    <w:pPr>
      <w:jc w:val="left"/>
    </w:pPr>
  </w:style>
  <w:style w:type="paragraph" w:styleId="14">
    <w:name w:val="Balloon Text"/>
    <w:basedOn w:val="1"/>
    <w:link w:val="71"/>
    <w:semiHidden/>
    <w:unhideWhenUsed/>
    <w:qFormat/>
    <w:uiPriority w:val="99"/>
    <w:rPr>
      <w:sz w:val="18"/>
      <w:szCs w:val="18"/>
    </w:rPr>
  </w:style>
  <w:style w:type="paragraph" w:styleId="15">
    <w:name w:val="footer"/>
    <w:basedOn w:val="1"/>
    <w:link w:val="68"/>
    <w:unhideWhenUsed/>
    <w:qFormat/>
    <w:uiPriority w:val="99"/>
    <w:pPr>
      <w:tabs>
        <w:tab w:val="center" w:pos="4153"/>
        <w:tab w:val="right" w:pos="8306"/>
      </w:tabs>
      <w:snapToGrid w:val="0"/>
      <w:jc w:val="left"/>
    </w:pPr>
    <w:rPr>
      <w:sz w:val="18"/>
      <w:szCs w:val="18"/>
    </w:rPr>
  </w:style>
  <w:style w:type="paragraph" w:styleId="16">
    <w:name w:val="header"/>
    <w:basedOn w:val="1"/>
    <w:link w:val="67"/>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8">
    <w:name w:val="annotation subject"/>
    <w:basedOn w:val="13"/>
    <w:next w:val="13"/>
    <w:link w:val="70"/>
    <w:semiHidden/>
    <w:unhideWhenUsed/>
    <w:qFormat/>
    <w:uiPriority w:val="99"/>
    <w:rPr>
      <w:b/>
      <w:bCs/>
    </w:rPr>
  </w:style>
  <w:style w:type="character" w:styleId="21">
    <w:name w:val="Strong"/>
    <w:basedOn w:val="20"/>
    <w:qFormat/>
    <w:uiPriority w:val="0"/>
    <w:rPr>
      <w:b/>
      <w:bCs/>
    </w:rPr>
  </w:style>
  <w:style w:type="character" w:styleId="22">
    <w:name w:val="annotation reference"/>
    <w:basedOn w:val="20"/>
    <w:semiHidden/>
    <w:unhideWhenUsed/>
    <w:qFormat/>
    <w:uiPriority w:val="99"/>
    <w:rPr>
      <w:sz w:val="21"/>
      <w:szCs w:val="21"/>
    </w:rPr>
  </w:style>
  <w:style w:type="character" w:customStyle="1" w:styleId="23">
    <w:name w:val="标题 1 字符"/>
    <w:basedOn w:val="20"/>
    <w:link w:val="4"/>
    <w:qFormat/>
    <w:locked/>
    <w:uiPriority w:val="9"/>
    <w:rPr>
      <w:b/>
      <w:bCs/>
      <w:kern w:val="44"/>
      <w:sz w:val="44"/>
      <w:szCs w:val="44"/>
    </w:rPr>
  </w:style>
  <w:style w:type="character" w:customStyle="1" w:styleId="24">
    <w:name w:val="标题 2 字符"/>
    <w:basedOn w:val="20"/>
    <w:link w:val="5"/>
    <w:semiHidden/>
    <w:qFormat/>
    <w:locked/>
    <w:uiPriority w:val="9"/>
    <w:rPr>
      <w:rFonts w:hint="eastAsia" w:asciiTheme="majorHAnsi" w:hAnsiTheme="majorHAnsi" w:eastAsiaTheme="majorEastAsia" w:cstheme="majorBidi"/>
      <w:b/>
      <w:bCs/>
      <w:sz w:val="32"/>
      <w:szCs w:val="32"/>
    </w:rPr>
  </w:style>
  <w:style w:type="character" w:customStyle="1" w:styleId="25">
    <w:name w:val="标题 3 字符"/>
    <w:basedOn w:val="20"/>
    <w:link w:val="6"/>
    <w:semiHidden/>
    <w:qFormat/>
    <w:locked/>
    <w:uiPriority w:val="9"/>
    <w:rPr>
      <w:b/>
      <w:bCs/>
      <w:sz w:val="32"/>
      <w:szCs w:val="32"/>
    </w:rPr>
  </w:style>
  <w:style w:type="character" w:customStyle="1" w:styleId="26">
    <w:name w:val="标题 4 字符"/>
    <w:basedOn w:val="20"/>
    <w:link w:val="7"/>
    <w:semiHidden/>
    <w:qFormat/>
    <w:locked/>
    <w:uiPriority w:val="9"/>
    <w:rPr>
      <w:rFonts w:hint="eastAsia" w:asciiTheme="majorHAnsi" w:hAnsiTheme="majorHAnsi" w:eastAsiaTheme="majorEastAsia" w:cstheme="majorBidi"/>
      <w:b/>
      <w:bCs/>
      <w:sz w:val="28"/>
      <w:szCs w:val="28"/>
    </w:rPr>
  </w:style>
  <w:style w:type="character" w:customStyle="1" w:styleId="27">
    <w:name w:val="标题 5 字符"/>
    <w:basedOn w:val="20"/>
    <w:link w:val="8"/>
    <w:semiHidden/>
    <w:qFormat/>
    <w:locked/>
    <w:uiPriority w:val="9"/>
    <w:rPr>
      <w:b/>
      <w:bCs/>
      <w:sz w:val="28"/>
      <w:szCs w:val="28"/>
    </w:rPr>
  </w:style>
  <w:style w:type="character" w:customStyle="1" w:styleId="28">
    <w:name w:val="FZ标题1 字符"/>
    <w:basedOn w:val="20"/>
    <w:link w:val="29"/>
    <w:qFormat/>
    <w:locked/>
    <w:uiPriority w:val="0"/>
    <w:rPr>
      <w:rFonts w:hint="eastAsia" w:ascii="宋体" w:hAnsi="宋体" w:eastAsia="宋体"/>
      <w:b/>
      <w:color w:val="000000"/>
      <w:sz w:val="32"/>
    </w:rPr>
  </w:style>
  <w:style w:type="paragraph" w:customStyle="1" w:styleId="29">
    <w:name w:val="FZ标题1"/>
    <w:basedOn w:val="4"/>
    <w:link w:val="28"/>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30">
    <w:name w:val="FZ标题2 字符"/>
    <w:basedOn w:val="20"/>
    <w:link w:val="31"/>
    <w:qFormat/>
    <w:locked/>
    <w:uiPriority w:val="0"/>
    <w:rPr>
      <w:rFonts w:eastAsia="黑体"/>
      <w:b/>
      <w:bCs/>
      <w:color w:val="000000"/>
      <w:kern w:val="2"/>
      <w:sz w:val="28"/>
      <w:szCs w:val="44"/>
    </w:rPr>
  </w:style>
  <w:style w:type="paragraph" w:customStyle="1" w:styleId="31">
    <w:name w:val="FZ标题2"/>
    <w:basedOn w:val="5"/>
    <w:link w:val="30"/>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2">
    <w:name w:val="FZ标题3 字符"/>
    <w:basedOn w:val="20"/>
    <w:link w:val="33"/>
    <w:qFormat/>
    <w:locked/>
    <w:uiPriority w:val="0"/>
    <w:rPr>
      <w:rFonts w:eastAsia="仿宋_GB2312" w:cstheme="majorBidi"/>
      <w:b/>
      <w:bCs/>
      <w:color w:val="000000"/>
      <w:kern w:val="2"/>
      <w:sz w:val="28"/>
      <w:szCs w:val="32"/>
    </w:rPr>
  </w:style>
  <w:style w:type="paragraph" w:customStyle="1" w:styleId="33">
    <w:name w:val="FZ标题3"/>
    <w:basedOn w:val="6"/>
    <w:link w:val="32"/>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4">
    <w:name w:val="FZ标题4 字符"/>
    <w:basedOn w:val="20"/>
    <w:link w:val="35"/>
    <w:qFormat/>
    <w:locked/>
    <w:uiPriority w:val="0"/>
    <w:rPr>
      <w:rFonts w:ascii="仿宋_GB2312" w:eastAsia="仿宋_GB2312"/>
      <w:bCs/>
      <w:color w:val="000000"/>
      <w:kern w:val="2"/>
      <w:sz w:val="28"/>
      <w:szCs w:val="32"/>
    </w:rPr>
  </w:style>
  <w:style w:type="paragraph" w:customStyle="1" w:styleId="35">
    <w:name w:val="FZ标题4"/>
    <w:basedOn w:val="7"/>
    <w:link w:val="34"/>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6">
    <w:name w:val="FZ标题5 字符"/>
    <w:basedOn w:val="20"/>
    <w:link w:val="37"/>
    <w:qFormat/>
    <w:locked/>
    <w:uiPriority w:val="0"/>
    <w:rPr>
      <w:rFonts w:hint="eastAsia" w:ascii="宋体" w:hAnsi="宋体" w:eastAsia="宋体" w:cstheme="majorBidi"/>
      <w:bCs/>
      <w:color w:val="000000"/>
      <w:szCs w:val="28"/>
    </w:rPr>
  </w:style>
  <w:style w:type="paragraph" w:customStyle="1" w:styleId="37">
    <w:name w:val="FZ标题5"/>
    <w:basedOn w:val="8"/>
    <w:link w:val="36"/>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8">
    <w:name w:val="标题 6 字符"/>
    <w:basedOn w:val="20"/>
    <w:link w:val="9"/>
    <w:semiHidden/>
    <w:qFormat/>
    <w:uiPriority w:val="9"/>
    <w:rPr>
      <w:rFonts w:asciiTheme="majorHAnsi" w:hAnsiTheme="majorHAnsi" w:eastAsiaTheme="majorEastAsia" w:cstheme="majorBidi"/>
      <w:b/>
      <w:bCs/>
      <w:kern w:val="2"/>
      <w:sz w:val="24"/>
      <w:szCs w:val="24"/>
    </w:rPr>
  </w:style>
  <w:style w:type="character" w:customStyle="1" w:styleId="39">
    <w:name w:val="FZ标题6 字符"/>
    <w:basedOn w:val="20"/>
    <w:link w:val="40"/>
    <w:qFormat/>
    <w:locked/>
    <w:uiPriority w:val="0"/>
    <w:rPr>
      <w:rFonts w:hint="eastAsia" w:ascii="宋体" w:hAnsi="宋体" w:eastAsia="宋体"/>
      <w:bCs/>
      <w:color w:val="000000"/>
      <w:szCs w:val="28"/>
    </w:rPr>
  </w:style>
  <w:style w:type="paragraph" w:customStyle="1" w:styleId="40">
    <w:name w:val="FZ标题6"/>
    <w:basedOn w:val="9"/>
    <w:link w:val="39"/>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41">
    <w:name w:val="FZ表格标题行首列 字符"/>
    <w:basedOn w:val="20"/>
    <w:link w:val="42"/>
    <w:qFormat/>
    <w:locked/>
    <w:uiPriority w:val="0"/>
    <w:rPr>
      <w:rFonts w:hint="eastAsia" w:ascii="宋体" w:hAnsi="宋体" w:eastAsia="宋体"/>
      <w:color w:val="000000"/>
      <w:sz w:val="18"/>
    </w:rPr>
  </w:style>
  <w:style w:type="paragraph" w:customStyle="1" w:styleId="42">
    <w:name w:val="FZ表格标题行首列"/>
    <w:basedOn w:val="1"/>
    <w:link w:val="41"/>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3">
    <w:name w:val="FZ表格标题行 字符"/>
    <w:basedOn w:val="20"/>
    <w:link w:val="44"/>
    <w:qFormat/>
    <w:locked/>
    <w:uiPriority w:val="0"/>
    <w:rPr>
      <w:rFonts w:hint="eastAsia" w:ascii="宋体" w:hAnsi="宋体" w:eastAsia="宋体"/>
      <w:color w:val="000000"/>
      <w:sz w:val="18"/>
    </w:rPr>
  </w:style>
  <w:style w:type="paragraph" w:customStyle="1" w:styleId="44">
    <w:name w:val="FZ表格标题行"/>
    <w:basedOn w:val="1"/>
    <w:link w:val="43"/>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5">
    <w:name w:val="FZ表格正文行首列 字符"/>
    <w:basedOn w:val="20"/>
    <w:link w:val="46"/>
    <w:qFormat/>
    <w:locked/>
    <w:uiPriority w:val="0"/>
    <w:rPr>
      <w:rFonts w:hint="eastAsia" w:ascii="宋体" w:hAnsi="宋体" w:eastAsia="宋体"/>
      <w:color w:val="000000"/>
      <w:sz w:val="18"/>
    </w:rPr>
  </w:style>
  <w:style w:type="paragraph" w:customStyle="1" w:styleId="46">
    <w:name w:val="FZ表格正文行首列"/>
    <w:basedOn w:val="1"/>
    <w:link w:val="45"/>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7">
    <w:name w:val="FZ表格正文行 字符"/>
    <w:basedOn w:val="20"/>
    <w:link w:val="48"/>
    <w:qFormat/>
    <w:locked/>
    <w:uiPriority w:val="0"/>
    <w:rPr>
      <w:rFonts w:hint="eastAsia" w:ascii="宋体" w:hAnsi="宋体" w:eastAsia="宋体"/>
      <w:color w:val="000000"/>
      <w:sz w:val="18"/>
    </w:rPr>
  </w:style>
  <w:style w:type="paragraph" w:customStyle="1" w:styleId="48">
    <w:name w:val="FZ表格正文行"/>
    <w:basedOn w:val="1"/>
    <w:link w:val="47"/>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9">
    <w:name w:val="FZ表格合计行首列 字符"/>
    <w:basedOn w:val="20"/>
    <w:link w:val="50"/>
    <w:qFormat/>
    <w:locked/>
    <w:uiPriority w:val="0"/>
    <w:rPr>
      <w:rFonts w:hint="eastAsia" w:ascii="宋体" w:hAnsi="宋体" w:eastAsia="宋体"/>
      <w:color w:val="000000"/>
      <w:sz w:val="18"/>
    </w:rPr>
  </w:style>
  <w:style w:type="paragraph" w:customStyle="1" w:styleId="50">
    <w:name w:val="FZ表格合计行首列"/>
    <w:basedOn w:val="1"/>
    <w:link w:val="49"/>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51">
    <w:name w:val="FZ表格合计行 字符"/>
    <w:basedOn w:val="20"/>
    <w:link w:val="52"/>
    <w:qFormat/>
    <w:locked/>
    <w:uiPriority w:val="0"/>
    <w:rPr>
      <w:rFonts w:hint="eastAsia" w:ascii="宋体" w:hAnsi="宋体" w:eastAsia="宋体"/>
      <w:color w:val="000000"/>
      <w:sz w:val="18"/>
    </w:rPr>
  </w:style>
  <w:style w:type="paragraph" w:customStyle="1" w:styleId="52">
    <w:name w:val="FZ表格合计行"/>
    <w:basedOn w:val="1"/>
    <w:link w:val="51"/>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3">
    <w:name w:val="FZ正文 字符"/>
    <w:basedOn w:val="20"/>
    <w:link w:val="54"/>
    <w:qFormat/>
    <w:locked/>
    <w:uiPriority w:val="0"/>
    <w:rPr>
      <w:rFonts w:ascii="Times New Roman" w:hAnsi="Times New Roman" w:eastAsia="仿宋_GB2312" w:cs="Times New Roman"/>
      <w:color w:val="000000"/>
      <w:kern w:val="2"/>
      <w:sz w:val="28"/>
      <w:szCs w:val="22"/>
    </w:rPr>
  </w:style>
  <w:style w:type="paragraph" w:customStyle="1" w:styleId="54">
    <w:name w:val="FZ正文"/>
    <w:basedOn w:val="1"/>
    <w:link w:val="53"/>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5">
    <w:name w:val="FZ副标题 字符"/>
    <w:basedOn w:val="20"/>
    <w:link w:val="56"/>
    <w:qFormat/>
    <w:locked/>
    <w:uiPriority w:val="0"/>
    <w:rPr>
      <w:rFonts w:hint="eastAsia" w:ascii="宋体" w:hAnsi="宋体" w:eastAsia="宋体"/>
      <w:color w:val="000000"/>
    </w:rPr>
  </w:style>
  <w:style w:type="paragraph" w:customStyle="1" w:styleId="56">
    <w:name w:val="FZ副标题"/>
    <w:basedOn w:val="1"/>
    <w:link w:val="55"/>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7">
    <w:name w:val="FZ落款 字符"/>
    <w:basedOn w:val="20"/>
    <w:link w:val="58"/>
    <w:qFormat/>
    <w:locked/>
    <w:uiPriority w:val="0"/>
    <w:rPr>
      <w:rFonts w:hint="eastAsia" w:ascii="宋体" w:hAnsi="宋体" w:eastAsia="宋体"/>
      <w:color w:val="000000"/>
    </w:rPr>
  </w:style>
  <w:style w:type="paragraph" w:customStyle="1" w:styleId="58">
    <w:name w:val="FZ落款"/>
    <w:basedOn w:val="1"/>
    <w:link w:val="57"/>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9">
    <w:name w:val="FZ注释 字符"/>
    <w:basedOn w:val="20"/>
    <w:link w:val="60"/>
    <w:qFormat/>
    <w:locked/>
    <w:uiPriority w:val="0"/>
    <w:rPr>
      <w:rFonts w:hint="eastAsia" w:ascii="宋体" w:hAnsi="宋体" w:eastAsia="宋体"/>
      <w:color w:val="000000"/>
      <w:sz w:val="18"/>
    </w:rPr>
  </w:style>
  <w:style w:type="paragraph" w:customStyle="1" w:styleId="60">
    <w:name w:val="FZ注释"/>
    <w:basedOn w:val="1"/>
    <w:link w:val="59"/>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61">
    <w:name w:val="FZ小标题 字符"/>
    <w:basedOn w:val="20"/>
    <w:link w:val="62"/>
    <w:qFormat/>
    <w:locked/>
    <w:uiPriority w:val="0"/>
    <w:rPr>
      <w:rFonts w:hint="eastAsia" w:ascii="宋体" w:hAnsi="宋体" w:eastAsia="宋体"/>
      <w:color w:val="000000"/>
      <w:sz w:val="18"/>
    </w:rPr>
  </w:style>
  <w:style w:type="paragraph" w:customStyle="1" w:styleId="62">
    <w:name w:val="FZ小标题"/>
    <w:basedOn w:val="1"/>
    <w:link w:val="61"/>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3">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4">
    <w:name w:val="标题 7 字符"/>
    <w:basedOn w:val="20"/>
    <w:link w:val="10"/>
    <w:semiHidden/>
    <w:uiPriority w:val="9"/>
    <w:rPr>
      <w:rFonts w:asciiTheme="minorHAnsi" w:hAnsiTheme="minorHAnsi" w:eastAsiaTheme="minorEastAsia"/>
      <w:b/>
      <w:bCs/>
      <w:kern w:val="2"/>
      <w:sz w:val="24"/>
      <w:szCs w:val="24"/>
    </w:rPr>
  </w:style>
  <w:style w:type="character" w:customStyle="1" w:styleId="65">
    <w:name w:val="标题 8 字符"/>
    <w:basedOn w:val="20"/>
    <w:link w:val="11"/>
    <w:semiHidden/>
    <w:qFormat/>
    <w:uiPriority w:val="9"/>
    <w:rPr>
      <w:rFonts w:asciiTheme="majorHAnsi" w:hAnsiTheme="majorHAnsi" w:eastAsiaTheme="majorEastAsia" w:cstheme="majorBidi"/>
      <w:kern w:val="2"/>
      <w:sz w:val="24"/>
      <w:szCs w:val="24"/>
    </w:rPr>
  </w:style>
  <w:style w:type="character" w:customStyle="1" w:styleId="66">
    <w:name w:val="标题 9 字符"/>
    <w:basedOn w:val="20"/>
    <w:link w:val="12"/>
    <w:semiHidden/>
    <w:uiPriority w:val="9"/>
    <w:rPr>
      <w:rFonts w:asciiTheme="majorHAnsi" w:hAnsiTheme="majorHAnsi" w:eastAsiaTheme="majorEastAsia" w:cstheme="majorBidi"/>
      <w:kern w:val="2"/>
      <w:sz w:val="21"/>
      <w:szCs w:val="21"/>
    </w:rPr>
  </w:style>
  <w:style w:type="character" w:customStyle="1" w:styleId="67">
    <w:name w:val="页眉 字符"/>
    <w:basedOn w:val="20"/>
    <w:link w:val="16"/>
    <w:uiPriority w:val="99"/>
    <w:rPr>
      <w:rFonts w:asciiTheme="minorHAnsi" w:hAnsiTheme="minorHAnsi" w:eastAsiaTheme="minorEastAsia"/>
      <w:kern w:val="2"/>
      <w:sz w:val="18"/>
      <w:szCs w:val="18"/>
    </w:rPr>
  </w:style>
  <w:style w:type="character" w:customStyle="1" w:styleId="68">
    <w:name w:val="页脚 字符"/>
    <w:basedOn w:val="20"/>
    <w:link w:val="15"/>
    <w:uiPriority w:val="99"/>
    <w:rPr>
      <w:rFonts w:asciiTheme="minorHAnsi" w:hAnsiTheme="minorHAnsi" w:eastAsiaTheme="minorEastAsia"/>
      <w:kern w:val="2"/>
      <w:sz w:val="18"/>
      <w:szCs w:val="18"/>
    </w:rPr>
  </w:style>
  <w:style w:type="character" w:customStyle="1" w:styleId="69">
    <w:name w:val="批注文字 字符"/>
    <w:basedOn w:val="20"/>
    <w:link w:val="13"/>
    <w:semiHidden/>
    <w:uiPriority w:val="99"/>
    <w:rPr>
      <w:rFonts w:asciiTheme="minorHAnsi" w:hAnsiTheme="minorHAnsi" w:eastAsiaTheme="minorEastAsia"/>
      <w:kern w:val="2"/>
      <w:sz w:val="21"/>
      <w:szCs w:val="22"/>
    </w:rPr>
  </w:style>
  <w:style w:type="character" w:customStyle="1" w:styleId="70">
    <w:name w:val="批注主题 字符"/>
    <w:basedOn w:val="69"/>
    <w:link w:val="18"/>
    <w:semiHidden/>
    <w:uiPriority w:val="99"/>
    <w:rPr>
      <w:rFonts w:asciiTheme="minorHAnsi" w:hAnsiTheme="minorHAnsi" w:eastAsiaTheme="minorEastAsia"/>
      <w:b/>
      <w:bCs/>
      <w:kern w:val="2"/>
      <w:sz w:val="21"/>
      <w:szCs w:val="22"/>
    </w:rPr>
  </w:style>
  <w:style w:type="character" w:customStyle="1" w:styleId="71">
    <w:name w:val="批注框文本 字符"/>
    <w:basedOn w:val="20"/>
    <w:link w:val="14"/>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C000-EECB-4647-9479-F9BF12E6FD60}">
  <ds:schemaRefs/>
</ds:datastoreItem>
</file>

<file path=docProps/app.xml><?xml version="1.0" encoding="utf-8"?>
<Properties xmlns="http://schemas.openxmlformats.org/officeDocument/2006/extended-properties" xmlns:vt="http://schemas.openxmlformats.org/officeDocument/2006/docPropsVTypes">
  <Template>Normal</Template>
  <Pages>13</Pages>
  <Words>1284</Words>
  <Characters>7319</Characters>
  <Lines>60</Lines>
  <Paragraphs>17</Paragraphs>
  <TotalTime>1</TotalTime>
  <ScaleCrop>false</ScaleCrop>
  <LinksUpToDate>false</LinksUpToDate>
  <CharactersWithSpaces>8586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Administrator</cp:lastModifiedBy>
  <dcterms:modified xsi:type="dcterms:W3CDTF">2025-12-15T10:14:22Z</dcterms:modified>
  <dc:title>C:\Users\Xueyang\Desktop\170号自评报告\57.艾力西湖镇巴扎（10）村花卉生产基地配套建设项目绩效自评报告.xlsx</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D8042D538B4E4757846D3CB2238C52CD_12</vt:lpwstr>
  </property>
</Properties>
</file>