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9248D3">
      <w:pPr>
        <w:spacing w:before="120" w:after="120" w:line="480" w:lineRule="auto"/>
        <w:ind w:firstLine="883" w:firstLineChars="200"/>
        <w:jc w:val="center"/>
        <w:outlineLvl w:val="0"/>
        <w:rPr>
          <w:rFonts w:ascii="仿宋_GB2312" w:hAnsi="Arial"/>
          <w:b/>
          <w:color w:val="auto"/>
          <w:sz w:val="44"/>
          <w:szCs w:val="44"/>
          <w:highlight w:val="none"/>
        </w:rPr>
      </w:pPr>
    </w:p>
    <w:p w14:paraId="05C706C2">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5B2EB810">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0C708556">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3C8E1246">
      <w:pPr>
        <w:spacing w:line="540" w:lineRule="exact"/>
        <w:ind w:firstLine="600" w:firstLineChars="200"/>
        <w:jc w:val="center"/>
        <w:rPr>
          <w:rFonts w:hAnsi="宋体" w:cs="宋体"/>
          <w:color w:val="auto"/>
          <w:kern w:val="0"/>
          <w:sz w:val="30"/>
          <w:szCs w:val="30"/>
          <w:highlight w:val="none"/>
        </w:rPr>
      </w:pPr>
    </w:p>
    <w:p w14:paraId="5019DB2C">
      <w:pPr>
        <w:spacing w:line="540" w:lineRule="exact"/>
        <w:ind w:firstLine="600" w:firstLineChars="200"/>
        <w:jc w:val="center"/>
        <w:rPr>
          <w:rFonts w:hAnsi="宋体" w:cs="宋体"/>
          <w:color w:val="auto"/>
          <w:kern w:val="0"/>
          <w:sz w:val="30"/>
          <w:szCs w:val="30"/>
          <w:highlight w:val="none"/>
        </w:rPr>
      </w:pPr>
    </w:p>
    <w:p w14:paraId="01157BD6">
      <w:pPr>
        <w:spacing w:line="540" w:lineRule="exact"/>
        <w:ind w:firstLine="600" w:firstLineChars="200"/>
        <w:jc w:val="center"/>
        <w:rPr>
          <w:rFonts w:hAnsi="宋体" w:cs="宋体"/>
          <w:color w:val="auto"/>
          <w:kern w:val="0"/>
          <w:sz w:val="30"/>
          <w:szCs w:val="30"/>
          <w:highlight w:val="none"/>
        </w:rPr>
      </w:pPr>
    </w:p>
    <w:p w14:paraId="7A05D622">
      <w:pPr>
        <w:spacing w:line="540" w:lineRule="exact"/>
        <w:ind w:firstLine="600" w:firstLineChars="200"/>
        <w:jc w:val="center"/>
        <w:rPr>
          <w:rFonts w:hAnsi="宋体" w:cs="宋体"/>
          <w:color w:val="auto"/>
          <w:kern w:val="0"/>
          <w:sz w:val="30"/>
          <w:szCs w:val="30"/>
          <w:highlight w:val="none"/>
        </w:rPr>
      </w:pPr>
    </w:p>
    <w:p w14:paraId="553DE789">
      <w:pPr>
        <w:spacing w:line="540" w:lineRule="exact"/>
        <w:ind w:firstLine="600" w:firstLineChars="200"/>
        <w:rPr>
          <w:rFonts w:hAnsi="宋体" w:cs="宋体"/>
          <w:color w:val="auto"/>
          <w:kern w:val="0"/>
          <w:sz w:val="30"/>
          <w:szCs w:val="30"/>
          <w:highlight w:val="none"/>
        </w:rPr>
      </w:pPr>
    </w:p>
    <w:p w14:paraId="0DC3B365">
      <w:pPr>
        <w:spacing w:line="540" w:lineRule="exact"/>
        <w:ind w:firstLine="600" w:firstLineChars="200"/>
        <w:rPr>
          <w:rFonts w:hAnsi="宋体" w:cs="宋体"/>
          <w:color w:val="auto"/>
          <w:kern w:val="0"/>
          <w:sz w:val="30"/>
          <w:szCs w:val="30"/>
          <w:highlight w:val="none"/>
        </w:rPr>
      </w:pPr>
    </w:p>
    <w:p w14:paraId="71ABC3DC">
      <w:pPr>
        <w:spacing w:line="360" w:lineRule="auto"/>
        <w:ind w:left="640" w:leftChars="200" w:firstLine="640" w:firstLineChars="200"/>
        <w:rPr>
          <w:rFonts w:ascii="仿宋" w:hAnsi="仿宋" w:eastAsia="仿宋" w:cs="仿宋"/>
          <w:color w:val="auto"/>
          <w:szCs w:val="32"/>
          <w:highlight w:val="none"/>
        </w:rPr>
      </w:pPr>
    </w:p>
    <w:p w14:paraId="3E686610">
      <w:pPr>
        <w:spacing w:line="360" w:lineRule="auto"/>
        <w:ind w:left="640" w:leftChars="200" w:firstLine="640" w:firstLineChars="200"/>
        <w:rPr>
          <w:rFonts w:ascii="仿宋" w:hAnsi="仿宋" w:eastAsia="仿宋" w:cs="仿宋"/>
          <w:color w:val="auto"/>
          <w:szCs w:val="32"/>
          <w:highlight w:val="none"/>
        </w:rPr>
      </w:pPr>
    </w:p>
    <w:p w14:paraId="1FFA0E58">
      <w:pPr>
        <w:spacing w:line="560" w:lineRule="exact"/>
        <w:ind w:left="640" w:leftChars="200" w:firstLine="640" w:firstLineChars="200"/>
        <w:rPr>
          <w:rFonts w:ascii="仿宋" w:hAnsi="仿宋" w:eastAsia="仿宋" w:cs="仿宋"/>
          <w:color w:val="auto"/>
          <w:szCs w:val="32"/>
          <w:highlight w:val="none"/>
        </w:rPr>
      </w:pPr>
    </w:p>
    <w:p w14:paraId="65F0D72C">
      <w:pPr>
        <w:spacing w:line="560" w:lineRule="exact"/>
        <w:ind w:left="3200" w:leftChars="200" w:hanging="2560" w:hangingChars="8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  目  名  称</w:t>
      </w:r>
      <w:r>
        <w:rPr>
          <w:rFonts w:hint="eastAsia" w:ascii="仿宋" w:hAnsi="仿宋" w:eastAsia="仿宋" w:cs="仿宋"/>
          <w:color w:val="auto"/>
          <w:szCs w:val="32"/>
          <w:highlight w:val="none"/>
          <w:lang w:eastAsia="zh-CN"/>
        </w:rPr>
        <w:t>：于田县2024年到户产业以奖代补项目</w:t>
      </w:r>
    </w:p>
    <w:p w14:paraId="6ADD1D42">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eastAsia="zh-CN"/>
        </w:rPr>
        <w:t>于田县乡村振兴局</w:t>
      </w:r>
    </w:p>
    <w:p w14:paraId="327E702E">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eastAsia="zh-CN"/>
        </w:rPr>
        <w:t>于田县乡村振兴局</w:t>
      </w:r>
    </w:p>
    <w:p w14:paraId="17EA4682">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项目负责人(签章):冉占伟</w:t>
      </w:r>
    </w:p>
    <w:p w14:paraId="174A67C8">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26</w:t>
      </w:r>
      <w:r>
        <w:rPr>
          <w:rFonts w:ascii="仿宋" w:hAnsi="仿宋" w:eastAsia="仿宋" w:cs="仿宋"/>
          <w:color w:val="auto"/>
          <w:szCs w:val="32"/>
          <w:highlight w:val="none"/>
        </w:rPr>
        <w:t>日</w:t>
      </w:r>
    </w:p>
    <w:p w14:paraId="5EC0A4E9">
      <w:pPr>
        <w:spacing w:line="560" w:lineRule="exact"/>
        <w:ind w:firstLine="640" w:firstLineChars="200"/>
        <w:rPr>
          <w:rFonts w:ascii="仿宋_GB2312" w:hAnsi="仿宋_GB2312" w:cs="仿宋_GB2312"/>
          <w:kern w:val="0"/>
          <w:szCs w:val="32"/>
          <w:highlight w:val="none"/>
          <w:lang w:bidi="en-US"/>
        </w:rPr>
      </w:pPr>
    </w:p>
    <w:p w14:paraId="6C685D56">
      <w:pPr>
        <w:spacing w:line="560" w:lineRule="exact"/>
        <w:ind w:firstLine="640" w:firstLineChars="200"/>
        <w:rPr>
          <w:rFonts w:ascii="仿宋_GB2312" w:hAnsi="仿宋_GB2312" w:cs="仿宋_GB2312"/>
          <w:kern w:val="0"/>
          <w:szCs w:val="32"/>
          <w:highlight w:val="none"/>
          <w:lang w:bidi="en-US"/>
        </w:rPr>
      </w:pPr>
    </w:p>
    <w:p w14:paraId="04BCE669">
      <w:pPr>
        <w:spacing w:line="360" w:lineRule="auto"/>
        <w:ind w:firstLine="627" w:firstLineChars="200"/>
        <w:rPr>
          <w:rStyle w:val="21"/>
          <w:rFonts w:ascii="黑体" w:hAnsi="黑体" w:eastAsia="黑体" w:cs="Times New Roman"/>
          <w:spacing w:val="-4"/>
          <w:szCs w:val="32"/>
          <w:highlight w:val="none"/>
        </w:rPr>
      </w:pPr>
    </w:p>
    <w:p w14:paraId="2A6A4911">
      <w:pPr>
        <w:spacing w:line="360" w:lineRule="auto"/>
        <w:ind w:firstLine="627" w:firstLineChars="200"/>
        <w:rPr>
          <w:rStyle w:val="21"/>
          <w:rFonts w:ascii="黑体" w:hAnsi="黑体" w:eastAsia="黑体" w:cs="Times New Roman"/>
          <w:spacing w:val="-4"/>
          <w:szCs w:val="32"/>
          <w:highlight w:val="none"/>
        </w:rPr>
      </w:pPr>
      <w:r>
        <w:rPr>
          <w:rStyle w:val="21"/>
          <w:rFonts w:hint="eastAsia" w:ascii="黑体" w:hAnsi="黑体" w:eastAsia="黑体" w:cs="Times New Roman"/>
          <w:spacing w:val="-4"/>
          <w:szCs w:val="32"/>
          <w:highlight w:val="none"/>
        </w:rPr>
        <w:t>一、绩效目标分解下达情况</w:t>
      </w:r>
    </w:p>
    <w:p w14:paraId="30F56CF4">
      <w:pPr>
        <w:spacing w:line="360" w:lineRule="auto"/>
        <w:ind w:firstLine="546" w:firstLineChars="200"/>
        <w:rPr>
          <w:highlight w:val="none"/>
        </w:rPr>
      </w:pPr>
      <w:r>
        <w:rPr>
          <w:rFonts w:hint="eastAsia" w:ascii="楷体_GB2312" w:hAnsi="楷体" w:cs="Times New Roman"/>
          <w:b/>
          <w:spacing w:val="-4"/>
          <w:sz w:val="28"/>
          <w:szCs w:val="32"/>
          <w:highlight w:val="none"/>
        </w:rPr>
        <w:t>（一）财政专项乡村振兴衔接资金下达预算及项目情况</w:t>
      </w:r>
    </w:p>
    <w:p w14:paraId="3124702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70B75358">
      <w:pPr>
        <w:pStyle w:val="54"/>
        <w:ind w:left="3" w:right="3" w:firstLine="560"/>
        <w:rPr>
          <w:rFonts w:ascii="仿宋_GB2312"/>
          <w:color w:val="auto"/>
          <w:szCs w:val="32"/>
          <w:highlight w:val="none"/>
        </w:rPr>
      </w:pPr>
      <w:r>
        <w:rPr>
          <w:rFonts w:hint="eastAsia" w:ascii="仿宋_GB2312"/>
          <w:color w:val="auto"/>
          <w:szCs w:val="32"/>
          <w:highlight w:val="none"/>
        </w:rPr>
        <w:t>本项目</w:t>
      </w:r>
      <w:bookmarkStart w:id="0" w:name="OLE_LINK4"/>
      <w:r>
        <w:rPr>
          <w:rFonts w:hint="eastAsia" w:ascii="仿宋_GB2312"/>
          <w:color w:val="auto"/>
          <w:szCs w:val="32"/>
          <w:highlight w:val="none"/>
        </w:rPr>
        <w:t>根据</w:t>
      </w:r>
      <w:r>
        <w:rPr>
          <w:rFonts w:hint="eastAsia" w:ascii="仿宋_GB2312"/>
          <w:color w:val="auto"/>
          <w:szCs w:val="32"/>
          <w:highlight w:val="none"/>
          <w:lang w:eastAsia="zh-CN"/>
        </w:rPr>
        <w:t>于田县乡村振兴局、</w:t>
      </w:r>
      <w:r>
        <w:rPr>
          <w:rFonts w:hint="eastAsia" w:ascii="仿宋_GB2312"/>
          <w:color w:val="auto"/>
          <w:szCs w:val="32"/>
          <w:highlight w:val="none"/>
        </w:rPr>
        <w:t>于田县财政局</w:t>
      </w:r>
      <w:r>
        <w:rPr>
          <w:rFonts w:hint="eastAsia" w:ascii="仿宋_GB2312"/>
          <w:color w:val="auto"/>
          <w:szCs w:val="32"/>
          <w:highlight w:val="none"/>
          <w:lang w:eastAsia="zh-CN"/>
        </w:rPr>
        <w:t>、</w:t>
      </w:r>
      <w:r>
        <w:rPr>
          <w:rFonts w:hint="eastAsia" w:ascii="仿宋_GB2312"/>
          <w:color w:val="auto"/>
          <w:szCs w:val="32"/>
          <w:highlight w:val="none"/>
          <w:lang w:val="en-US" w:eastAsia="zh-CN"/>
        </w:rPr>
        <w:t>于田县人社局、于田县市场监督管理局、于田县林草局、于田县农业农村局</w:t>
      </w:r>
      <w:r>
        <w:rPr>
          <w:rFonts w:hint="eastAsia" w:ascii="仿宋_GB2312"/>
          <w:color w:val="auto"/>
          <w:szCs w:val="32"/>
          <w:highlight w:val="none"/>
        </w:rPr>
        <w:t>联合下发的《关于</w:t>
      </w:r>
      <w:r>
        <w:rPr>
          <w:rFonts w:hint="eastAsia" w:ascii="仿宋_GB2312"/>
          <w:color w:val="auto"/>
          <w:szCs w:val="32"/>
          <w:highlight w:val="none"/>
          <w:lang w:eastAsia="zh-CN"/>
        </w:rPr>
        <w:t>于田县2024年到户产业以奖代补项目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乡振局字</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2</w:t>
      </w:r>
      <w:r>
        <w:rPr>
          <w:rFonts w:hint="eastAsia" w:ascii="仿宋_GB2312"/>
          <w:color w:val="auto"/>
          <w:szCs w:val="32"/>
          <w:highlight w:val="none"/>
        </w:rPr>
        <w:t>号）</w:t>
      </w:r>
      <w:bookmarkEnd w:id="0"/>
      <w:r>
        <w:rPr>
          <w:rFonts w:hint="eastAsia" w:ascii="仿宋_GB2312"/>
          <w:color w:val="auto"/>
          <w:szCs w:val="32"/>
          <w:highlight w:val="none"/>
        </w:rPr>
        <w:t>文批复立项实施，</w:t>
      </w:r>
      <w:r>
        <w:rPr>
          <w:rFonts w:hint="eastAsia" w:ascii="仿宋_GB2312"/>
          <w:color w:val="auto"/>
          <w:szCs w:val="32"/>
          <w:highlight w:val="none"/>
          <w:lang w:eastAsia="zh-CN"/>
        </w:rPr>
        <w:t>于田县2024年到户产业以奖代补项目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15443.12</w:t>
      </w:r>
      <w:r>
        <w:rPr>
          <w:rFonts w:hint="eastAsia" w:ascii="仿宋_GB2312"/>
          <w:color w:val="auto"/>
          <w:szCs w:val="32"/>
          <w:highlight w:val="none"/>
        </w:rPr>
        <w:t>万元，其中：以乡村振兴衔接资金</w:t>
      </w:r>
      <w:r>
        <w:rPr>
          <w:rFonts w:hint="eastAsia" w:ascii="仿宋_GB2312" w:eastAsia="楷体_GB2312"/>
          <w:color w:val="auto"/>
          <w:szCs w:val="32"/>
          <w:highlight w:val="none"/>
          <w:lang w:val="en-US" w:eastAsia="zh-CN"/>
        </w:rPr>
        <w:t>15443.12</w:t>
      </w:r>
      <w:r>
        <w:rPr>
          <w:rFonts w:hint="eastAsia" w:ascii="仿宋_GB2312"/>
          <w:color w:val="auto"/>
          <w:szCs w:val="32"/>
          <w:highlight w:val="none"/>
        </w:rPr>
        <w:t>万元。预算资金到位率为100.00%。</w:t>
      </w:r>
    </w:p>
    <w:p w14:paraId="0D641D19">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32DCE6B5">
      <w:pPr>
        <w:spacing w:line="560" w:lineRule="exact"/>
        <w:ind w:firstLine="560" w:firstLineChars="200"/>
        <w:rPr>
          <w:rFonts w:hint="eastAsia" w:ascii="仿宋_GB2312" w:hAnsi="Times New Roman" w:eastAsia="仿宋_GB2312" w:cs="Times New Roman"/>
          <w:sz w:val="28"/>
          <w:szCs w:val="32"/>
          <w:highlight w:val="none"/>
          <w:lang w:eastAsia="zh-CN"/>
        </w:rPr>
      </w:pPr>
      <w:r>
        <w:rPr>
          <w:rFonts w:hint="eastAsia" w:ascii="仿宋_GB2312" w:hAnsi="Times New Roman" w:eastAsia="仿宋_GB2312" w:cs="Times New Roman"/>
          <w:sz w:val="28"/>
          <w:szCs w:val="32"/>
          <w:highlight w:val="none"/>
          <w:lang w:eastAsia="zh-CN"/>
        </w:rPr>
        <w:t>以习近平新时代中国特色社会主义思想为指导，深入贯彻党的决策部署，坚持以人民为中心的发展思想，践行可持续性发展理念，以激发引导脱贫户自主发展产业，刺激脱贫户的内生动力，增加获得感，动员各方力量，整合各种资源，强化各项举措，加快补齐短板，全面提高农村家庭收入水平。根据《于田县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lang w:eastAsia="zh-CN"/>
        </w:rPr>
        <w:t>年巩固扩展脱贫攻坚成果到户以奖代补工作实施方案》文件精神，对符合要求的监测户、脱贫户和万元以下户进行奖补，并形成以政府奖补为引导，以村民自愿出工出力为基础，以充分发挥基层民主作用为动力，逐步建立奖补结合、多方投入的乡村建设项目新机制，为巩固全乡脱贫攻坚成果，全面推进乡村振兴提供有力支撑。</w:t>
      </w:r>
    </w:p>
    <w:p w14:paraId="32C7621E">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w:t>
      </w:r>
      <w:r>
        <w:rPr>
          <w:rFonts w:hint="eastAsia" w:ascii="仿宋_GB2312" w:hAnsi="Times New Roman" w:eastAsia="仿宋_GB2312" w:cs="Times New Roman"/>
          <w:sz w:val="28"/>
          <w:szCs w:val="32"/>
          <w:highlight w:val="none"/>
          <w:lang w:eastAsia="zh-CN"/>
        </w:rPr>
        <w:t>于田县2024年到户产业以奖代补项目</w:t>
      </w:r>
      <w:r>
        <w:rPr>
          <w:rFonts w:hint="eastAsia" w:ascii="仿宋_GB2312" w:hAnsi="Times New Roman" w:eastAsia="仿宋_GB2312" w:cs="Times New Roman"/>
          <w:sz w:val="28"/>
          <w:szCs w:val="32"/>
          <w:highlight w:val="none"/>
        </w:rPr>
        <w:t>，本项目由</w:t>
      </w:r>
      <w:r>
        <w:rPr>
          <w:rFonts w:hint="eastAsia" w:ascii="仿宋_GB2312" w:hAnsi="Times New Roman" w:eastAsia="仿宋_GB2312" w:cs="Times New Roman"/>
          <w:sz w:val="28"/>
          <w:szCs w:val="32"/>
          <w:highlight w:val="none"/>
          <w:lang w:eastAsia="zh-CN"/>
        </w:rPr>
        <w:t>于田县乡村振兴局</w:t>
      </w:r>
      <w:r>
        <w:rPr>
          <w:rFonts w:hint="eastAsia" w:ascii="仿宋_GB2312" w:hAnsi="Times New Roman" w:eastAsia="仿宋_GB2312" w:cs="Times New Roman"/>
          <w:sz w:val="28"/>
          <w:szCs w:val="32"/>
          <w:highlight w:val="none"/>
        </w:rPr>
        <w:t>监管，</w:t>
      </w:r>
      <w:r>
        <w:rPr>
          <w:rFonts w:hint="eastAsia" w:ascii="仿宋_GB2312" w:hAnsi="Times New Roman" w:eastAsia="仿宋_GB2312" w:cs="Times New Roman"/>
          <w:sz w:val="28"/>
          <w:szCs w:val="32"/>
          <w:highlight w:val="none"/>
          <w:lang w:eastAsia="zh-CN"/>
        </w:rPr>
        <w:t>于田县乡村振兴局</w:t>
      </w:r>
      <w:r>
        <w:rPr>
          <w:rFonts w:hint="eastAsia" w:ascii="仿宋_GB2312" w:hAnsi="Times New Roman" w:eastAsia="仿宋_GB2312" w:cs="Times New Roman"/>
          <w:sz w:val="28"/>
          <w:szCs w:val="32"/>
          <w:highlight w:val="none"/>
        </w:rPr>
        <w:t>负责实施，项目施工期为202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月-202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12</w:t>
      </w:r>
      <w:r>
        <w:rPr>
          <w:rFonts w:hint="eastAsia" w:ascii="仿宋_GB2312" w:hAnsi="Times New Roman" w:eastAsia="仿宋_GB2312" w:cs="Times New Roman"/>
          <w:sz w:val="28"/>
          <w:szCs w:val="32"/>
          <w:highlight w:val="none"/>
        </w:rPr>
        <w:t>月。</w:t>
      </w:r>
      <w:r>
        <w:rPr>
          <w:rFonts w:hint="eastAsia" w:ascii="仿宋_GB2312" w:hAnsi="Times New Roman" w:eastAsia="仿宋_GB2312" w:cs="Times New Roman"/>
          <w:sz w:val="28"/>
          <w:szCs w:val="32"/>
          <w:highlight w:val="none"/>
          <w:lang w:eastAsia="zh-CN"/>
        </w:rPr>
        <w:t>实施以奖代补推进特色产业扶持，是根据中央的决策部署，脱贫攻坚取得胜利后要坚决守住脱贫攻坚成果，做好巩固拓展脱贫攻坚成果同乡村振兴有效衔接，工作不留空档，政策不留空白。建立各级财政衔接推进乡村振兴补助资金、统筹整合涉农资金等引导激励脱贫户自主发展产业，有利于激发脱贫户的内生动力，增强获得感；有利于聚焦脱贫户精准发力，巩固脱贫成果；有利于规避资金风险，杜绝直接发钱发物；有利于提高特色产业组织化、规模化水平，形成推动特色产业健康发展的长效机制</w:t>
      </w:r>
      <w:r>
        <w:rPr>
          <w:rFonts w:hint="eastAsia" w:ascii="仿宋_GB2312" w:hAnsi="Times New Roman" w:eastAsia="仿宋_GB2312" w:cs="Times New Roman"/>
          <w:sz w:val="28"/>
          <w:szCs w:val="32"/>
          <w:highlight w:val="none"/>
        </w:rPr>
        <w:t>。</w:t>
      </w:r>
    </w:p>
    <w:p w14:paraId="398C9607">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3</w:t>
      </w:r>
      <w:r>
        <w:rPr>
          <w:rFonts w:hint="eastAsia" w:ascii="仿宋_GB2312" w:hAnsi="Times New Roman" w:eastAsia="仿宋_GB2312" w:cs="Times New Roman"/>
          <w:b/>
          <w:bCs/>
          <w:sz w:val="28"/>
          <w:szCs w:val="32"/>
          <w:highlight w:val="none"/>
        </w:rPr>
        <w:t>、项目实施依据及范围</w:t>
      </w:r>
    </w:p>
    <w:p w14:paraId="11E7A7C4">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于田县2024年到户产业以奖代补项目</w:t>
      </w:r>
      <w:r>
        <w:rPr>
          <w:rFonts w:hint="eastAsia" w:ascii="仿宋_GB2312" w:hAnsi="Times New Roman" w:eastAsia="仿宋_GB2312" w:cs="Times New Roman"/>
          <w:sz w:val="28"/>
          <w:szCs w:val="32"/>
          <w:highlight w:val="none"/>
        </w:rPr>
        <w:t>，</w:t>
      </w:r>
      <w:r>
        <w:rPr>
          <w:rFonts w:hint="eastAsia" w:ascii="仿宋_GB2312" w:hAnsi="Times New Roman" w:eastAsia="仿宋_GB2312" w:cs="Times New Roman"/>
          <w:sz w:val="28"/>
          <w:szCs w:val="32"/>
          <w:highlight w:val="none"/>
          <w:lang w:val="en-US" w:eastAsia="zh-CN"/>
        </w:rPr>
        <w:t>根据于田县乡村振兴局、于田县财政局、于田县人社局、于田县市场监督管理局、于田县林草局、于田县农业农村局联合下发的《关于于田县2024年到户产业以奖代补项目实施方案的批复》（于乡振局字[2024]2号）</w:t>
      </w:r>
      <w:r>
        <w:rPr>
          <w:rFonts w:hint="eastAsia" w:ascii="仿宋_GB2312" w:hAnsi="Times New Roman" w:eastAsia="仿宋_GB2312" w:cs="Times New Roman"/>
          <w:sz w:val="28"/>
          <w:szCs w:val="32"/>
          <w:highlight w:val="none"/>
        </w:rPr>
        <w:t>，实施范围涉</w:t>
      </w:r>
      <w:r>
        <w:rPr>
          <w:rFonts w:hint="eastAsia" w:ascii="仿宋_GB2312" w:hAnsi="Times New Roman" w:eastAsia="仿宋_GB2312" w:cs="Times New Roman"/>
          <w:sz w:val="28"/>
          <w:szCs w:val="32"/>
          <w:highlight w:val="none"/>
          <w:lang w:val="en-US" w:eastAsia="zh-CN"/>
        </w:rPr>
        <w:t>及于田县19个乡镇场实施到户产业以奖代补，包括种植业、畜牧业、林果业、庭院经济、就业创业</w:t>
      </w:r>
      <w:r>
        <w:rPr>
          <w:rFonts w:hint="eastAsia" w:ascii="仿宋_GB2312" w:hAnsi="Times New Roman" w:eastAsia="仿宋_GB2312" w:cs="Times New Roman"/>
          <w:sz w:val="28"/>
          <w:szCs w:val="32"/>
          <w:highlight w:val="none"/>
        </w:rPr>
        <w:t>。</w:t>
      </w:r>
    </w:p>
    <w:p w14:paraId="6090F5C5">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4</w:t>
      </w:r>
      <w:r>
        <w:rPr>
          <w:rFonts w:hint="eastAsia" w:ascii="仿宋_GB2312" w:hAnsi="Times New Roman" w:eastAsia="仿宋_GB2312" w:cs="Times New Roman"/>
          <w:b/>
          <w:bCs/>
          <w:sz w:val="28"/>
          <w:szCs w:val="32"/>
          <w:highlight w:val="none"/>
        </w:rPr>
        <w:t>、项目基本性质及类别</w:t>
      </w:r>
    </w:p>
    <w:p w14:paraId="5A5B803B">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于田县2024年到户产业以奖代补项目</w:t>
      </w:r>
      <w:r>
        <w:rPr>
          <w:rFonts w:hint="eastAsia" w:ascii="仿宋_GB2312" w:hAnsi="Times New Roman" w:eastAsia="仿宋_GB2312" w:cs="Times New Roman"/>
          <w:sz w:val="28"/>
          <w:szCs w:val="32"/>
          <w:highlight w:val="none"/>
        </w:rPr>
        <w:t>性质为</w:t>
      </w:r>
      <w:r>
        <w:rPr>
          <w:rFonts w:hint="eastAsia" w:ascii="仿宋_GB2312" w:hAnsi="Times New Roman" w:eastAsia="仿宋_GB2312" w:cs="Times New Roman"/>
          <w:sz w:val="28"/>
          <w:szCs w:val="32"/>
          <w:highlight w:val="none"/>
          <w:lang w:val="en-US" w:eastAsia="zh-CN"/>
        </w:rPr>
        <w:t>农业补助</w:t>
      </w:r>
      <w:r>
        <w:rPr>
          <w:rFonts w:hint="eastAsia" w:ascii="仿宋_GB2312" w:hAnsi="Times New Roman" w:eastAsia="仿宋_GB2312" w:cs="Times New Roman"/>
          <w:sz w:val="28"/>
          <w:szCs w:val="32"/>
          <w:highlight w:val="none"/>
        </w:rPr>
        <w:t>建设项目，属于乡村振兴衔接资金项目。</w:t>
      </w:r>
    </w:p>
    <w:p w14:paraId="667131D5">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（二）财政专项乡村振兴衔接资金项目绩效目标设定情况</w:t>
      </w:r>
    </w:p>
    <w:p w14:paraId="5D838098">
      <w:pPr>
        <w:spacing w:line="560" w:lineRule="exact"/>
        <w:ind w:firstLine="562" w:firstLineChars="200"/>
        <w:rPr>
          <w:rFonts w:ascii="仿宋_GB2312" w:hAnsi="Times New Roman" w:eastAsia="仿宋_GB2312" w:cs="Times New Roman"/>
          <w:b/>
          <w:bCs/>
          <w:sz w:val="28"/>
          <w:szCs w:val="32"/>
          <w:highlight w:val="none"/>
        </w:rPr>
      </w:pPr>
      <w:r>
        <w:rPr>
          <w:rFonts w:hint="eastAsia" w:ascii="仿宋_GB2312" w:hAnsi="Times New Roman" w:eastAsia="仿宋_GB2312" w:cs="Times New Roman"/>
          <w:b/>
          <w:bCs/>
          <w:sz w:val="28"/>
          <w:szCs w:val="32"/>
          <w:highlight w:val="none"/>
        </w:rPr>
        <w:t>1.项目绩效总体目标</w:t>
      </w:r>
    </w:p>
    <w:p w14:paraId="232B6BBE">
      <w:pPr>
        <w:pStyle w:val="54"/>
        <w:spacing w:line="560" w:lineRule="exact"/>
        <w:ind w:left="3" w:right="3" w:firstLine="560"/>
        <w:rPr>
          <w:rFonts w:hint="eastAsia" w:ascii="仿宋_GB2312"/>
          <w:color w:val="auto"/>
          <w:szCs w:val="32"/>
          <w:highlight w:val="none"/>
          <w:lang w:val="en-US" w:eastAsia="zh-CN"/>
        </w:rPr>
      </w:pPr>
      <w:r>
        <w:rPr>
          <w:rFonts w:hint="eastAsia" w:ascii="仿宋" w:hAnsi="仿宋" w:eastAsia="仿宋" w:cs="仿宋"/>
          <w:bCs/>
          <w:color w:val="auto"/>
          <w:kern w:val="0"/>
          <w:highlight w:val="none"/>
          <w:lang w:eastAsia="zh-CN"/>
        </w:rPr>
        <w:t>于田县2024年到户产业以奖代补项目</w:t>
      </w:r>
      <w:r>
        <w:rPr>
          <w:rFonts w:hint="eastAsia" w:ascii="仿宋_GB2312"/>
          <w:color w:val="auto"/>
          <w:szCs w:val="32"/>
          <w:highlight w:val="none"/>
        </w:rPr>
        <w:t>总投资</w:t>
      </w:r>
      <w:r>
        <w:rPr>
          <w:rFonts w:hint="eastAsia" w:ascii="仿宋_GB2312"/>
          <w:color w:val="auto"/>
          <w:szCs w:val="32"/>
          <w:highlight w:val="none"/>
          <w:lang w:val="en-US" w:eastAsia="zh-CN"/>
        </w:rPr>
        <w:t>15443.12</w:t>
      </w:r>
      <w:r>
        <w:rPr>
          <w:rFonts w:hint="eastAsia" w:ascii="仿宋_GB2312"/>
          <w:color w:val="auto"/>
          <w:szCs w:val="32"/>
          <w:highlight w:val="none"/>
        </w:rPr>
        <w:t>万元，全部申请以乡村振兴衔接资金。主要内容为：</w:t>
      </w:r>
      <w:r>
        <w:rPr>
          <w:rFonts w:hint="eastAsia" w:ascii="仿宋_GB2312"/>
          <w:color w:val="auto"/>
          <w:szCs w:val="32"/>
          <w:highlight w:val="none"/>
          <w:lang w:val="en-US" w:eastAsia="zh-CN"/>
        </w:rPr>
        <w:t>对于田县19个乡镇场实施到户产业以奖代补，包括种植业、畜牧业、林果业、庭院经济、就业创业。</w:t>
      </w:r>
    </w:p>
    <w:p w14:paraId="36E2F415">
      <w:pPr>
        <w:pStyle w:val="54"/>
        <w:spacing w:line="560" w:lineRule="exact"/>
        <w:ind w:left="3" w:right="3" w:firstLine="560"/>
        <w:rPr>
          <w:rFonts w:ascii="仿宋_GB2312"/>
          <w:color w:val="auto"/>
          <w:szCs w:val="32"/>
          <w:highlight w:val="none"/>
        </w:rPr>
      </w:pPr>
      <w:r>
        <w:rPr>
          <w:rFonts w:hint="eastAsia" w:ascii="仿宋_GB2312"/>
          <w:color w:val="auto"/>
          <w:szCs w:val="32"/>
          <w:highlight w:val="none"/>
          <w:lang w:val="en-US" w:eastAsia="zh-CN"/>
        </w:rPr>
        <w:t>通过以奖代补项目实施，调整农村经济结构，带动农户提高生产技术、丰富劳动技能、拓宽发展思路、建立市场意识；不断增强自我发展意识，完善自我发展能力，改善当地群众生产生活条件，提高各组人民生活质量水平</w:t>
      </w:r>
      <w:r>
        <w:rPr>
          <w:rFonts w:hint="eastAsia" w:ascii="仿宋_GB2312"/>
          <w:color w:val="auto"/>
          <w:szCs w:val="32"/>
          <w:highlight w:val="none"/>
        </w:rPr>
        <w:t>。</w:t>
      </w:r>
    </w:p>
    <w:p w14:paraId="66FDD77C">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33440E42">
      <w:pPr>
        <w:pStyle w:val="54"/>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w:t>
      </w:r>
      <w:r>
        <w:rPr>
          <w:rFonts w:hint="eastAsia" w:ascii="仿宋_GB2312"/>
          <w:color w:val="auto"/>
          <w:szCs w:val="32"/>
          <w:highlight w:val="none"/>
          <w:lang w:val="en-US" w:eastAsia="zh-CN"/>
        </w:rPr>
        <w:t>26</w:t>
      </w:r>
      <w:r>
        <w:rPr>
          <w:rFonts w:hint="eastAsia" w:ascii="仿宋_GB2312"/>
          <w:color w:val="auto"/>
          <w:szCs w:val="32"/>
          <w:highlight w:val="none"/>
        </w:rPr>
        <w:t>个。</w:t>
      </w:r>
    </w:p>
    <w:p w14:paraId="23753C71">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4FF7D3DD">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（一）绩效自评工作开展范围</w:t>
      </w:r>
    </w:p>
    <w:p w14:paraId="1AEC91EF">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7BDAF1AD">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（二）绩效自评工作对象</w:t>
      </w:r>
    </w:p>
    <w:p w14:paraId="00081145">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 w:hAnsi="仿宋" w:eastAsia="仿宋" w:cs="仿宋"/>
          <w:bCs/>
          <w:color w:val="auto"/>
          <w:kern w:val="0"/>
          <w:highlight w:val="none"/>
          <w:lang w:eastAsia="zh-CN"/>
        </w:rPr>
        <w:t>于田县2024年到户产业以奖代补项目</w:t>
      </w:r>
      <w:r>
        <w:rPr>
          <w:color w:val="auto"/>
          <w:highlight w:val="none"/>
        </w:rPr>
        <w:t>资金的使用管理、项目产出、综合效益等进行评价。</w:t>
      </w:r>
    </w:p>
    <w:p w14:paraId="4A28BB8D">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（三）绩效自评工作方式</w:t>
      </w:r>
    </w:p>
    <w:p w14:paraId="13FF8C98">
      <w:pPr>
        <w:pStyle w:val="35"/>
        <w:rPr>
          <w:color w:val="auto"/>
          <w:highlight w:val="none"/>
        </w:rPr>
      </w:pPr>
      <w:r>
        <w:rPr>
          <w:rFonts w:hint="eastAsia"/>
          <w:color w:val="auto"/>
          <w:highlight w:val="none"/>
        </w:rPr>
        <w:t>1.前期准备</w:t>
      </w:r>
    </w:p>
    <w:p w14:paraId="5AB40077">
      <w:pPr>
        <w:pStyle w:val="54"/>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29077F7E">
      <w:pPr>
        <w:pStyle w:val="54"/>
        <w:spacing w:line="540" w:lineRule="exact"/>
        <w:ind w:left="3" w:right="3" w:firstLine="560"/>
        <w:rPr>
          <w:rFonts w:hint="eastAsia"/>
          <w:color w:val="auto"/>
          <w:highlight w:val="none"/>
          <w:lang w:val="en-US" w:eastAsia="zh-CN"/>
        </w:rPr>
      </w:pPr>
      <w:r>
        <w:rPr>
          <w:rFonts w:hint="eastAsia"/>
          <w:color w:val="auto"/>
          <w:highlight w:val="none"/>
        </w:rPr>
        <w:t xml:space="preserve">组     </w:t>
      </w:r>
      <w:r>
        <w:rPr>
          <w:rFonts w:hint="eastAsia"/>
          <w:color w:val="auto"/>
          <w:highlight w:val="none"/>
          <w:lang w:val="en-US" w:eastAsia="zh-CN"/>
        </w:rPr>
        <w:t>长</w:t>
      </w:r>
      <w:r>
        <w:rPr>
          <w:rFonts w:hint="eastAsia"/>
          <w:color w:val="auto"/>
          <w:highlight w:val="none"/>
        </w:rPr>
        <w:t xml:space="preserve">：冉占伟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bookmarkStart w:id="1" w:name="OLE_LINK2"/>
      <w:r>
        <w:rPr>
          <w:rFonts w:hint="eastAsia"/>
          <w:color w:val="auto"/>
          <w:highlight w:val="none"/>
          <w:lang w:val="en-US" w:eastAsia="zh-CN"/>
        </w:rPr>
        <w:t>乡村振兴局科</w:t>
      </w:r>
      <w:bookmarkEnd w:id="1"/>
      <w:r>
        <w:rPr>
          <w:rFonts w:hint="eastAsia"/>
          <w:color w:val="auto"/>
          <w:highlight w:val="none"/>
          <w:lang w:val="en-US" w:eastAsia="zh-CN"/>
        </w:rPr>
        <w:t>长</w:t>
      </w:r>
    </w:p>
    <w:p w14:paraId="0A4DEF0B">
      <w:pPr>
        <w:pStyle w:val="54"/>
        <w:spacing w:line="540" w:lineRule="exact"/>
        <w:ind w:left="3" w:right="3" w:firstLine="560"/>
        <w:rPr>
          <w:rFonts w:hint="default"/>
          <w:color w:val="auto"/>
          <w:highlight w:val="none"/>
          <w:lang w:val="en-US" w:eastAsia="zh-CN"/>
        </w:rPr>
      </w:pPr>
      <w:r>
        <w:rPr>
          <w:rFonts w:hint="eastAsia"/>
          <w:color w:val="auto"/>
          <w:highlight w:val="none"/>
          <w:lang w:val="en-US" w:eastAsia="zh-CN"/>
        </w:rPr>
        <w:t>组     员：吾布力卡斯木·艾则孜               乡村振兴局科员</w:t>
      </w:r>
    </w:p>
    <w:p w14:paraId="1C5278D8">
      <w:pPr>
        <w:pStyle w:val="54"/>
        <w:spacing w:line="560" w:lineRule="exact"/>
        <w:ind w:left="3" w:right="3" w:firstLine="560"/>
        <w:rPr>
          <w:color w:val="auto"/>
          <w:highlight w:val="none"/>
        </w:rPr>
      </w:pPr>
      <w:r>
        <w:rPr>
          <w:rFonts w:hint="eastAsia"/>
          <w:color w:val="auto"/>
          <w:highlight w:val="none"/>
          <w:lang w:val="en-US" w:eastAsia="zh-CN"/>
        </w:rPr>
        <w:t>项目</w:t>
      </w:r>
      <w:r>
        <w:rPr>
          <w:rFonts w:hint="eastAsia"/>
          <w:color w:val="auto"/>
          <w:highlight w:val="none"/>
        </w:rPr>
        <w:t>办负责项目的计划制定、实施，督查、指导相关单位共同做好项目管理工作。切实把该项目作为</w:t>
      </w:r>
      <w:r>
        <w:rPr>
          <w:rFonts w:hint="eastAsia"/>
          <w:color w:val="auto"/>
          <w:highlight w:val="none"/>
          <w:lang w:val="en-US" w:eastAsia="zh-CN"/>
        </w:rPr>
        <w:t>乡村补助</w:t>
      </w:r>
      <w:r>
        <w:rPr>
          <w:rFonts w:hint="eastAsia"/>
          <w:color w:val="auto"/>
          <w:highlight w:val="none"/>
        </w:rPr>
        <w:t>建设的重要举措来抓，加强领导，明确分工，落实责任，密切配合，形成合力，推动该项目顺利实施。由</w:t>
      </w:r>
      <w:r>
        <w:rPr>
          <w:rFonts w:hint="eastAsia"/>
          <w:color w:val="auto"/>
          <w:highlight w:val="none"/>
          <w:lang w:val="en-US" w:eastAsia="zh-CN"/>
        </w:rPr>
        <w:t>于田县乡村振兴局</w:t>
      </w:r>
      <w:r>
        <w:rPr>
          <w:rFonts w:hint="eastAsia"/>
          <w:color w:val="auto"/>
          <w:highlight w:val="none"/>
        </w:rPr>
        <w:t>牵头，负责整个项目的统筹安排和经费使用管理工作，实现分级管理制度。</w:t>
      </w:r>
    </w:p>
    <w:p w14:paraId="3D60F389">
      <w:pPr>
        <w:pStyle w:val="35"/>
        <w:rPr>
          <w:color w:val="auto"/>
          <w:highlight w:val="none"/>
        </w:rPr>
      </w:pPr>
      <w:r>
        <w:rPr>
          <w:rFonts w:hint="eastAsia"/>
          <w:color w:val="auto"/>
          <w:highlight w:val="none"/>
        </w:rPr>
        <w:t>2.组织实施</w:t>
      </w:r>
    </w:p>
    <w:p w14:paraId="5FDFC8BB">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78C4D244">
      <w:pPr>
        <w:pStyle w:val="35"/>
        <w:rPr>
          <w:color w:val="auto"/>
          <w:highlight w:val="none"/>
        </w:rPr>
      </w:pPr>
      <w:r>
        <w:rPr>
          <w:rFonts w:hint="eastAsia"/>
          <w:color w:val="auto"/>
          <w:highlight w:val="none"/>
        </w:rPr>
        <w:t>3.分析评价。</w:t>
      </w:r>
    </w:p>
    <w:p w14:paraId="122908F3">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72A54757">
      <w:pPr>
        <w:pStyle w:val="54"/>
        <w:spacing w:line="560" w:lineRule="exact"/>
        <w:ind w:left="3" w:right="3" w:firstLine="560"/>
        <w:rPr>
          <w:color w:val="auto"/>
          <w:highlight w:val="none"/>
        </w:rPr>
      </w:pPr>
      <w:r>
        <w:rPr>
          <w:color w:val="auto"/>
          <w:highlight w:val="none"/>
        </w:rPr>
        <w:t>（1）绩效自评指标体系</w:t>
      </w:r>
    </w:p>
    <w:p w14:paraId="5674B70E">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3</w:t>
      </w:r>
      <w:r>
        <w:rPr>
          <w:color w:val="auto"/>
          <w:highlight w:val="none"/>
        </w:rPr>
        <w:t>分、质量指标</w:t>
      </w:r>
      <w:r>
        <w:rPr>
          <w:rFonts w:hint="eastAsia"/>
          <w:color w:val="auto"/>
          <w:highlight w:val="none"/>
          <w:lang w:val="en-US" w:eastAsia="zh-CN"/>
        </w:rPr>
        <w:t>3</w:t>
      </w:r>
      <w:r>
        <w:rPr>
          <w:color w:val="auto"/>
          <w:highlight w:val="none"/>
        </w:rPr>
        <w:t>分，时效指标</w:t>
      </w:r>
      <w:r>
        <w:rPr>
          <w:rFonts w:hint="eastAsia"/>
          <w:color w:val="auto"/>
          <w:highlight w:val="none"/>
          <w:lang w:val="en-US" w:eastAsia="zh-CN"/>
        </w:rPr>
        <w:t>6</w:t>
      </w:r>
      <w:r>
        <w:rPr>
          <w:color w:val="auto"/>
          <w:highlight w:val="none"/>
        </w:rPr>
        <w:t>分、成本指标</w:t>
      </w:r>
      <w:r>
        <w:rPr>
          <w:rFonts w:hint="eastAsia"/>
          <w:color w:val="auto"/>
          <w:highlight w:val="none"/>
          <w:lang w:val="en-US" w:eastAsia="zh-CN"/>
        </w:rPr>
        <w:t>38</w:t>
      </w:r>
      <w:r>
        <w:rPr>
          <w:color w:val="auto"/>
          <w:highlight w:val="none"/>
        </w:rPr>
        <w:t>分、效益指标</w:t>
      </w:r>
      <w:r>
        <w:rPr>
          <w:rFonts w:hint="eastAsia"/>
          <w:color w:val="auto"/>
          <w:highlight w:val="none"/>
          <w:lang w:val="en-US" w:eastAsia="zh-CN"/>
        </w:rPr>
        <w:t>30</w:t>
      </w:r>
      <w:r>
        <w:rPr>
          <w:color w:val="auto"/>
          <w:highlight w:val="none"/>
        </w:rPr>
        <w:t>分、</w:t>
      </w:r>
      <w:r>
        <w:rPr>
          <w:rFonts w:hint="eastAsia"/>
          <w:color w:val="auto"/>
          <w:highlight w:val="none"/>
          <w:lang w:val="en-US" w:eastAsia="zh-CN"/>
        </w:rPr>
        <w:t>服务对象</w:t>
      </w:r>
      <w:r>
        <w:rPr>
          <w:color w:val="auto"/>
          <w:highlight w:val="none"/>
        </w:rPr>
        <w:t>满意度指标1</w:t>
      </w:r>
      <w:r>
        <w:rPr>
          <w:rFonts w:hint="eastAsia"/>
          <w:color w:val="auto"/>
          <w:highlight w:val="none"/>
          <w:lang w:val="en-US" w:eastAsia="zh-CN"/>
        </w:rPr>
        <w:t>0</w:t>
      </w:r>
      <w:r>
        <w:rPr>
          <w:color w:val="auto"/>
          <w:highlight w:val="none"/>
        </w:rPr>
        <w:t>分、预算资金执行率10分，满分100分。</w:t>
      </w:r>
    </w:p>
    <w:p w14:paraId="50D34CB9">
      <w:pPr>
        <w:pStyle w:val="54"/>
        <w:spacing w:line="560" w:lineRule="exact"/>
        <w:ind w:left="3" w:right="3" w:firstLine="560"/>
        <w:rPr>
          <w:color w:val="auto"/>
          <w:highlight w:val="none"/>
        </w:rPr>
      </w:pPr>
      <w:r>
        <w:rPr>
          <w:color w:val="auto"/>
          <w:highlight w:val="none"/>
        </w:rPr>
        <w:t>（2）绩效自评方法</w:t>
      </w:r>
    </w:p>
    <w:p w14:paraId="1E04B8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1022960C">
      <w:pPr>
        <w:pStyle w:val="54"/>
        <w:spacing w:line="560" w:lineRule="exact"/>
        <w:ind w:left="3" w:right="3" w:firstLine="560"/>
        <w:rPr>
          <w:color w:val="auto"/>
          <w:highlight w:val="none"/>
        </w:rPr>
      </w:pPr>
      <w:r>
        <w:rPr>
          <w:color w:val="auto"/>
          <w:highlight w:val="none"/>
        </w:rPr>
        <w:t>（3）绩效自评标准</w:t>
      </w:r>
    </w:p>
    <w:p w14:paraId="68696C33">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DF9039B">
      <w:pPr>
        <w:pStyle w:val="54"/>
        <w:spacing w:line="560" w:lineRule="exact"/>
        <w:ind w:left="3" w:right="3" w:firstLine="560"/>
        <w:rPr>
          <w:color w:val="auto"/>
          <w:highlight w:val="none"/>
        </w:rPr>
      </w:pPr>
      <w:r>
        <w:rPr>
          <w:color w:val="auto"/>
          <w:highlight w:val="none"/>
        </w:rPr>
        <w:t>（4）绩效自评等级</w:t>
      </w:r>
    </w:p>
    <w:p w14:paraId="706FCA8D">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175D2058">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026F4E86">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（一）资金投入情况分析</w:t>
      </w:r>
    </w:p>
    <w:p w14:paraId="380CE02C">
      <w:pPr>
        <w:pStyle w:val="35"/>
        <w:rPr>
          <w:color w:val="auto"/>
          <w:highlight w:val="none"/>
        </w:rPr>
      </w:pPr>
      <w:r>
        <w:rPr>
          <w:rFonts w:hint="eastAsia"/>
          <w:color w:val="auto"/>
          <w:highlight w:val="none"/>
        </w:rPr>
        <w:t>1.项目资金到位情况分析</w:t>
      </w:r>
    </w:p>
    <w:p w14:paraId="04BBCE3A">
      <w:pPr>
        <w:pStyle w:val="54"/>
        <w:spacing w:line="560" w:lineRule="exact"/>
        <w:ind w:left="0" w:leftChars="0" w:right="3" w:firstLine="560"/>
        <w:rPr>
          <w:color w:val="auto"/>
          <w:highlight w:val="none"/>
        </w:rPr>
      </w:pPr>
      <w:r>
        <w:rPr>
          <w:rFonts w:hint="eastAsia"/>
          <w:color w:val="auto"/>
          <w:highlight w:val="none"/>
          <w:lang w:eastAsia="zh-CN"/>
        </w:rPr>
        <w:t>于田县2024年到户产业以奖代补项目</w:t>
      </w:r>
      <w:r>
        <w:rPr>
          <w:rFonts w:hint="eastAsia"/>
          <w:color w:val="auto"/>
          <w:highlight w:val="none"/>
        </w:rPr>
        <w:t>预算安排总额为</w:t>
      </w:r>
      <w:r>
        <w:rPr>
          <w:rFonts w:hint="eastAsia"/>
          <w:color w:val="auto"/>
          <w:highlight w:val="none"/>
          <w:lang w:val="en-US" w:eastAsia="zh-CN"/>
        </w:rPr>
        <w:t>15443.12</w:t>
      </w:r>
      <w:r>
        <w:rPr>
          <w:rFonts w:hint="eastAsia"/>
          <w:color w:val="auto"/>
          <w:highlight w:val="none"/>
        </w:rPr>
        <w:t>万元，其中：以乡村振兴衔接资金</w:t>
      </w:r>
      <w:r>
        <w:rPr>
          <w:rFonts w:hint="eastAsia" w:eastAsia="楷体_GB2312"/>
          <w:color w:val="auto"/>
          <w:highlight w:val="none"/>
          <w:lang w:val="en-US" w:eastAsia="zh-CN"/>
        </w:rPr>
        <w:t>15443.12</w:t>
      </w:r>
      <w:r>
        <w:rPr>
          <w:rFonts w:hint="eastAsia"/>
          <w:color w:val="auto"/>
          <w:highlight w:val="none"/>
        </w:rPr>
        <w:t>万元。预算资金到位率为100%。</w:t>
      </w:r>
    </w:p>
    <w:p w14:paraId="44F929B7">
      <w:pPr>
        <w:pStyle w:val="54"/>
        <w:spacing w:line="560" w:lineRule="exact"/>
        <w:ind w:left="0" w:leftChars="0" w:right="3" w:firstLine="562"/>
        <w:rPr>
          <w:b w:val="0"/>
          <w:bCs/>
          <w:color w:val="auto"/>
          <w:highlight w:val="none"/>
        </w:rPr>
      </w:pPr>
      <w:r>
        <w:rPr>
          <w:rFonts w:hint="eastAsia"/>
          <w:b w:val="0"/>
          <w:bCs/>
          <w:color w:val="auto"/>
          <w:highlight w:val="none"/>
        </w:rPr>
        <w:t>2.项目资金执行情况分析</w:t>
      </w:r>
    </w:p>
    <w:p w14:paraId="28EE6B6A">
      <w:pPr>
        <w:pStyle w:val="54"/>
        <w:spacing w:line="560" w:lineRule="exact"/>
        <w:ind w:left="0" w:leftChars="0" w:right="3" w:firstLine="560"/>
        <w:rPr>
          <w:color w:val="auto"/>
          <w:highlight w:val="none"/>
        </w:rPr>
      </w:pPr>
      <w:r>
        <w:rPr>
          <w:rFonts w:hint="eastAsia" w:ascii="Times New Roman" w:hAnsi="Times New Roman" w:cs="Times New Roman"/>
          <w:color w:val="auto"/>
          <w:highlight w:val="none"/>
          <w:lang w:eastAsia="zh-CN"/>
        </w:rPr>
        <w:t>于田县2024年到户产业以奖代补项目预算投入资金</w:t>
      </w:r>
      <w:r>
        <w:rPr>
          <w:rFonts w:hint="eastAsia" w:cs="Times New Roman"/>
          <w:color w:val="auto"/>
          <w:highlight w:val="none"/>
          <w:lang w:val="en-US" w:eastAsia="zh-CN"/>
        </w:rPr>
        <w:t>15443.12</w:t>
      </w:r>
      <w:r>
        <w:rPr>
          <w:rFonts w:hint="eastAsia" w:ascii="Times New Roman" w:hAnsi="Times New Roman" w:cs="Times New Roman"/>
          <w:color w:val="auto"/>
          <w:highlight w:val="none"/>
          <w:lang w:eastAsia="zh-CN"/>
        </w:rPr>
        <w:t>万元，实际完成</w:t>
      </w:r>
      <w:r>
        <w:rPr>
          <w:rFonts w:hint="eastAsia" w:ascii="Times New Roman" w:hAnsi="Times New Roman" w:cs="Times New Roman"/>
          <w:color w:val="auto"/>
          <w:highlight w:val="none"/>
          <w:lang w:val="en-US" w:eastAsia="zh-CN"/>
        </w:rPr>
        <w:t>补助资金</w:t>
      </w:r>
      <w:r>
        <w:rPr>
          <w:rFonts w:hint="eastAsia" w:ascii="Times New Roman" w:hAnsi="Times New Roman" w:cs="Times New Roman"/>
          <w:color w:val="auto"/>
          <w:highlight w:val="none"/>
          <w:lang w:eastAsia="zh-CN"/>
        </w:rPr>
        <w:t>14432.18万元，截至2024年12月3</w:t>
      </w:r>
      <w:r>
        <w:rPr>
          <w:rFonts w:hint="eastAsia" w:ascii="Times New Roman" w:hAnsi="Times New Roman" w:cs="Times New Roman"/>
          <w:color w:val="auto"/>
          <w:highlight w:val="none"/>
          <w:lang w:val="en-US" w:eastAsia="zh-CN"/>
        </w:rPr>
        <w:t>1</w:t>
      </w:r>
      <w:r>
        <w:rPr>
          <w:rFonts w:hint="eastAsia" w:ascii="Times New Roman" w:hAnsi="Times New Roman" w:cs="Times New Roman"/>
          <w:color w:val="auto"/>
          <w:highlight w:val="none"/>
          <w:lang w:eastAsia="zh-CN"/>
        </w:rPr>
        <w:t>日，实际支出14432.18万元，预算资金执行率</w:t>
      </w:r>
      <w:r>
        <w:rPr>
          <w:rFonts w:hint="eastAsia" w:ascii="Times New Roman" w:hAnsi="Times New Roman" w:cs="Times New Roman"/>
          <w:color w:val="auto"/>
          <w:highlight w:val="none"/>
          <w:lang w:val="en-US" w:eastAsia="zh-CN"/>
        </w:rPr>
        <w:t>93.45</w:t>
      </w:r>
      <w:r>
        <w:rPr>
          <w:rFonts w:hint="eastAsia" w:ascii="Times New Roman" w:hAnsi="Times New Roman" w:cs="Times New Roman"/>
          <w:color w:val="auto"/>
          <w:highlight w:val="none"/>
          <w:lang w:eastAsia="zh-CN"/>
        </w:rPr>
        <w:t>%。</w:t>
      </w:r>
    </w:p>
    <w:p w14:paraId="6BF27429">
      <w:pPr>
        <w:pStyle w:val="35"/>
        <w:rPr>
          <w:color w:val="auto"/>
          <w:highlight w:val="none"/>
        </w:rPr>
      </w:pPr>
      <w:r>
        <w:rPr>
          <w:rFonts w:hint="eastAsia"/>
          <w:color w:val="auto"/>
          <w:highlight w:val="none"/>
        </w:rPr>
        <w:t>3.项目资金管理情况分析</w:t>
      </w:r>
    </w:p>
    <w:p w14:paraId="05FE0375">
      <w:pPr>
        <w:pStyle w:val="54"/>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180FF755">
      <w:pPr>
        <w:pStyle w:val="54"/>
        <w:spacing w:line="560" w:lineRule="exact"/>
        <w:ind w:leftChars="0" w:right="3" w:firstLine="562"/>
        <w:rPr>
          <w:b/>
          <w:color w:val="auto"/>
          <w:highlight w:val="none"/>
        </w:rPr>
      </w:pPr>
      <w:r>
        <w:rPr>
          <w:rFonts w:hint="eastAsia"/>
          <w:b/>
          <w:color w:val="auto"/>
          <w:highlight w:val="none"/>
        </w:rPr>
        <w:t>4.项目管理情况分析</w:t>
      </w:r>
    </w:p>
    <w:p w14:paraId="347FE81E">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于田县乡村振兴局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F370482">
      <w:pPr>
        <w:spacing w:line="58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（二）绩效目标完成情况分析</w:t>
      </w:r>
    </w:p>
    <w:p w14:paraId="53B31DC0">
      <w:pPr>
        <w:pStyle w:val="54"/>
        <w:spacing w:line="580" w:lineRule="exact"/>
        <w:ind w:left="3" w:right="3" w:firstLine="560"/>
        <w:rPr>
          <w:rFonts w:hint="eastAsia"/>
          <w:color w:val="auto"/>
          <w:highlight w:val="none"/>
          <w:lang w:val="en-US" w:eastAsia="zh-CN"/>
        </w:rPr>
      </w:pPr>
      <w:r>
        <w:rPr>
          <w:color w:val="auto"/>
          <w:highlight w:val="none"/>
        </w:rPr>
        <w:t>本项目在20</w:t>
      </w:r>
      <w:r>
        <w:rPr>
          <w:rFonts w:hint="eastAsia"/>
          <w:color w:val="auto"/>
          <w:highlight w:val="none"/>
          <w:lang w:val="en-US" w:eastAsia="zh-CN"/>
        </w:rPr>
        <w:t>24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w:t>
      </w:r>
      <w:r>
        <w:rPr>
          <w:rFonts w:hint="eastAsia"/>
          <w:color w:val="auto"/>
          <w:highlight w:val="none"/>
          <w:lang w:val="en-US" w:eastAsia="zh-CN"/>
        </w:rPr>
        <w:t>项目已完成于田县19个乡镇场实施到户产业以奖代补，包括种植业、畜牧业、林果业、庭院经济、就业创业。</w:t>
      </w:r>
    </w:p>
    <w:p w14:paraId="590444AA">
      <w:pPr>
        <w:pStyle w:val="54"/>
        <w:spacing w:line="580" w:lineRule="exact"/>
        <w:ind w:left="3" w:right="3" w:firstLine="560"/>
        <w:rPr>
          <w:color w:val="auto"/>
          <w:highlight w:val="none"/>
        </w:rPr>
      </w:pPr>
      <w:r>
        <w:rPr>
          <w:rFonts w:hint="eastAsia"/>
          <w:color w:val="auto"/>
          <w:highlight w:val="none"/>
          <w:lang w:val="en-US" w:eastAsia="zh-CN"/>
        </w:rPr>
        <w:t>项目的实施，调整农村经济结构，带动农户提高生产技术、丰富劳动技能、拓宽发展思路、建立市场意识；不断增强自我发展意识，完善自我发展能力，改善当地群众生产生活条件，提高各组人民生活质量水平。</w:t>
      </w:r>
      <w:r>
        <w:rPr>
          <w:rFonts w:hint="eastAsia"/>
          <w:color w:val="auto"/>
          <w:highlight w:val="none"/>
        </w:rPr>
        <w:t>。</w:t>
      </w:r>
    </w:p>
    <w:p w14:paraId="5F5FB504">
      <w:pPr>
        <w:pStyle w:val="54"/>
        <w:spacing w:line="580" w:lineRule="exact"/>
        <w:ind w:left="3" w:right="3" w:firstLine="560"/>
        <w:rPr>
          <w:rFonts w:ascii="Times New Roman" w:hAnsi="Times New Roman" w:cs="Times New Roman"/>
          <w:color w:val="auto"/>
          <w:highlight w:val="none"/>
        </w:rPr>
      </w:pPr>
      <w:r>
        <w:rPr>
          <w:rFonts w:ascii="Times New Roman" w:hAnsi="Times New Roman" w:cs="Times New Roman"/>
          <w:color w:val="auto"/>
          <w:highlight w:val="none"/>
        </w:rPr>
        <w:t>本</w:t>
      </w:r>
      <w:r>
        <w:rPr>
          <w:rFonts w:hint="eastAsia" w:ascii="Times New Roman" w:hAnsi="Times New Roman" w:cs="Times New Roman"/>
          <w:color w:val="auto"/>
          <w:highlight w:val="none"/>
        </w:rPr>
        <w:t>项目共设置一级指标3个，二级指标</w:t>
      </w:r>
      <w:r>
        <w:rPr>
          <w:rFonts w:hint="eastAsia" w:ascii="Times New Roman" w:hAnsi="Times New Roman" w:cs="Times New Roman"/>
          <w:color w:val="auto"/>
          <w:highlight w:val="none"/>
          <w:lang w:val="en-US" w:eastAsia="zh-CN"/>
        </w:rPr>
        <w:t>7</w:t>
      </w:r>
      <w:r>
        <w:rPr>
          <w:rFonts w:hint="eastAsia" w:ascii="Times New Roman" w:hAnsi="Times New Roman" w:cs="Times New Roman"/>
          <w:color w:val="auto"/>
          <w:highlight w:val="none"/>
        </w:rPr>
        <w:t>个，三级指标</w:t>
      </w:r>
      <w:r>
        <w:rPr>
          <w:rFonts w:hint="eastAsia" w:ascii="Times New Roman" w:hAnsi="Times New Roman" w:cs="Times New Roman"/>
          <w:color w:val="auto"/>
          <w:highlight w:val="none"/>
          <w:lang w:val="en-US" w:eastAsia="zh-CN"/>
        </w:rPr>
        <w:t>26</w:t>
      </w:r>
      <w:r>
        <w:rPr>
          <w:rFonts w:hint="eastAsia" w:ascii="Times New Roman" w:hAnsi="Times New Roman" w:cs="Times New Roman"/>
          <w:color w:val="auto"/>
          <w:highlight w:val="none"/>
        </w:rPr>
        <w:t>个，指标完成率为</w:t>
      </w:r>
      <w:r>
        <w:rPr>
          <w:rFonts w:hint="eastAsia" w:cs="Times New Roman"/>
          <w:color w:val="auto"/>
          <w:highlight w:val="none"/>
          <w:lang w:val="en-US" w:eastAsia="zh-CN"/>
        </w:rPr>
        <w:t>92.3</w:t>
      </w:r>
      <w:r>
        <w:rPr>
          <w:rFonts w:hint="eastAsia" w:ascii="Times New Roman" w:hAnsi="Times New Roman" w:cs="Times New Roman"/>
          <w:color w:val="auto"/>
          <w:highlight w:val="none"/>
        </w:rPr>
        <w:t>%，指标完成情况分析如下：</w:t>
      </w:r>
    </w:p>
    <w:p w14:paraId="4B9D4BEB">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722F2C3D">
      <w:pPr>
        <w:pStyle w:val="54"/>
        <w:spacing w:line="580" w:lineRule="exact"/>
        <w:ind w:left="0" w:leftChars="0" w:right="0" w:rightChars="0" w:firstLine="560"/>
        <w:rPr>
          <w:rFonts w:ascii="仿宋_GB2312"/>
          <w:color w:val="auto"/>
          <w:highlight w:val="none"/>
        </w:rPr>
      </w:pPr>
      <w:r>
        <w:rPr>
          <w:rFonts w:hint="eastAsia" w:ascii="仿宋_GB2312"/>
          <w:color w:val="auto"/>
          <w:highlight w:val="none"/>
        </w:rPr>
        <w:t>1.项目完成数量</w:t>
      </w:r>
    </w:p>
    <w:p w14:paraId="2DAB4D0E">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项目涉及乡镇数量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19个</w:t>
      </w:r>
      <w:r>
        <w:rPr>
          <w:rFonts w:hint="eastAsia"/>
          <w:color w:val="auto"/>
          <w:highlight w:val="none"/>
        </w:rPr>
        <w:t>，全年实际值为</w:t>
      </w:r>
      <w:r>
        <w:rPr>
          <w:rFonts w:hint="eastAsia"/>
          <w:color w:val="auto"/>
          <w:highlight w:val="none"/>
          <w:lang w:val="en-US" w:eastAsia="zh-CN"/>
        </w:rPr>
        <w:t>19个</w:t>
      </w:r>
      <w:r>
        <w:rPr>
          <w:rFonts w:hint="eastAsia"/>
          <w:color w:val="auto"/>
          <w:highlight w:val="none"/>
        </w:rPr>
        <w:t>，指标完成率为100.00%。所设分值</w:t>
      </w:r>
      <w:r>
        <w:rPr>
          <w:rFonts w:hint="eastAsia"/>
          <w:color w:val="auto"/>
          <w:highlight w:val="none"/>
          <w:lang w:val="en-US" w:eastAsia="zh-CN"/>
        </w:rPr>
        <w:t>3</w:t>
      </w:r>
      <w:r>
        <w:rPr>
          <w:rFonts w:hint="eastAsia"/>
          <w:color w:val="auto"/>
          <w:highlight w:val="none"/>
        </w:rPr>
        <w:t>分，实际得分</w:t>
      </w:r>
      <w:r>
        <w:rPr>
          <w:rFonts w:hint="eastAsia"/>
          <w:color w:val="auto"/>
          <w:highlight w:val="none"/>
          <w:lang w:val="en-US" w:eastAsia="zh-CN"/>
        </w:rPr>
        <w:t>3</w:t>
      </w:r>
      <w:r>
        <w:rPr>
          <w:rFonts w:hint="eastAsia"/>
          <w:color w:val="auto"/>
          <w:highlight w:val="none"/>
        </w:rPr>
        <w:t xml:space="preserve">分。 </w:t>
      </w:r>
      <w:r>
        <w:rPr>
          <w:color w:val="auto"/>
          <w:highlight w:val="none"/>
        </w:rPr>
        <w:t xml:space="preserve">             </w:t>
      </w:r>
    </w:p>
    <w:p w14:paraId="02C70E28">
      <w:pPr>
        <w:pStyle w:val="54"/>
        <w:spacing w:line="560" w:lineRule="exact"/>
        <w:ind w:left="640" w:leftChars="200" w:right="0" w:rightChars="0" w:firstLine="0" w:firstLineChars="0"/>
        <w:rPr>
          <w:color w:val="auto"/>
          <w:highlight w:val="none"/>
        </w:rPr>
      </w:pPr>
      <w:r>
        <w:rPr>
          <w:rFonts w:hint="eastAsia"/>
          <w:color w:val="auto"/>
          <w:highlight w:val="none"/>
        </w:rPr>
        <w:t>2.</w:t>
      </w:r>
      <w:r>
        <w:rPr>
          <w:color w:val="auto"/>
          <w:highlight w:val="none"/>
        </w:rPr>
        <w:t>项目完成</w:t>
      </w:r>
      <w:r>
        <w:rPr>
          <w:rFonts w:hint="eastAsia"/>
          <w:color w:val="auto"/>
          <w:highlight w:val="none"/>
        </w:rPr>
        <w:t>质量</w:t>
      </w:r>
    </w:p>
    <w:p w14:paraId="483A3798">
      <w:pPr>
        <w:pStyle w:val="54"/>
        <w:spacing w:line="560" w:lineRule="exact"/>
        <w:ind w:left="0" w:leftChars="0" w:right="0" w:rightChars="0" w:firstLine="560"/>
        <w:rPr>
          <w:rFonts w:hint="default" w:eastAsia="仿宋_GB2312"/>
          <w:color w:val="auto"/>
          <w:highlight w:val="none"/>
          <w:lang w:val="en-US" w:eastAsia="zh-CN"/>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”指标，预期指标值为100%,全年实际值为100% ，指标完成率为100%。所设分值</w:t>
      </w:r>
      <w:r>
        <w:rPr>
          <w:rFonts w:hint="eastAsia"/>
          <w:color w:val="auto"/>
          <w:highlight w:val="none"/>
          <w:lang w:val="en-US" w:eastAsia="zh-CN"/>
        </w:rPr>
        <w:t>3</w:t>
      </w:r>
      <w:r>
        <w:rPr>
          <w:rFonts w:hint="eastAsia"/>
          <w:color w:val="auto"/>
          <w:highlight w:val="none"/>
        </w:rPr>
        <w:t>分，实际得分</w:t>
      </w:r>
      <w:r>
        <w:rPr>
          <w:rFonts w:hint="eastAsia"/>
          <w:color w:val="auto"/>
          <w:highlight w:val="none"/>
          <w:lang w:val="en-US" w:eastAsia="zh-CN"/>
        </w:rPr>
        <w:t>3</w:t>
      </w:r>
      <w:r>
        <w:rPr>
          <w:rFonts w:hint="eastAsia"/>
          <w:color w:val="auto"/>
          <w:highlight w:val="none"/>
        </w:rPr>
        <w:t>分。</w:t>
      </w:r>
    </w:p>
    <w:p w14:paraId="584EF7C7">
      <w:pPr>
        <w:pStyle w:val="54"/>
        <w:spacing w:line="560" w:lineRule="exact"/>
        <w:ind w:left="0" w:leftChars="0" w:right="0" w:rightChars="0" w:firstLine="560"/>
        <w:rPr>
          <w:color w:val="auto"/>
          <w:highlight w:val="none"/>
        </w:rPr>
      </w:pPr>
      <w:r>
        <w:rPr>
          <w:rFonts w:hint="eastAsia"/>
          <w:color w:val="auto"/>
          <w:highlight w:val="none"/>
        </w:rPr>
        <w:t>3.项目完成时效</w:t>
      </w:r>
    </w:p>
    <w:p w14:paraId="681E9502">
      <w:pPr>
        <w:pStyle w:val="54"/>
        <w:spacing w:line="560" w:lineRule="exact"/>
        <w:ind w:left="0" w:leftChars="0" w:right="0" w:rightChars="0" w:firstLine="560"/>
        <w:rPr>
          <w:color w:val="auto"/>
          <w:highlight w:val="none"/>
        </w:rPr>
      </w:pPr>
      <w:r>
        <w:rPr>
          <w:rFonts w:hint="eastAsia"/>
          <w:color w:val="auto"/>
          <w:highlight w:val="none"/>
        </w:rPr>
        <w:t>“资金支付及时率”指标，预期指标值为100%,全年实际值为100% ，指标完成率为100%。所设分值</w:t>
      </w:r>
      <w:r>
        <w:rPr>
          <w:rFonts w:hint="eastAsia"/>
          <w:color w:val="auto"/>
          <w:highlight w:val="none"/>
          <w:lang w:val="en-US" w:eastAsia="zh-CN"/>
        </w:rPr>
        <w:t>3</w:t>
      </w:r>
      <w:r>
        <w:rPr>
          <w:rFonts w:hint="eastAsia"/>
          <w:color w:val="auto"/>
          <w:highlight w:val="none"/>
        </w:rPr>
        <w:t>分，实际得分</w:t>
      </w:r>
      <w:r>
        <w:rPr>
          <w:rFonts w:hint="eastAsia"/>
          <w:color w:val="auto"/>
          <w:highlight w:val="none"/>
          <w:lang w:val="en-US" w:eastAsia="zh-CN"/>
        </w:rPr>
        <w:t>3</w:t>
      </w:r>
      <w:r>
        <w:rPr>
          <w:rFonts w:hint="eastAsia"/>
          <w:color w:val="auto"/>
          <w:highlight w:val="none"/>
        </w:rPr>
        <w:t>分。</w:t>
      </w:r>
    </w:p>
    <w:p w14:paraId="424DB40A">
      <w:pPr>
        <w:pStyle w:val="54"/>
        <w:spacing w:line="560" w:lineRule="exact"/>
        <w:ind w:left="0" w:leftChars="0" w:right="0" w:rightChars="0" w:firstLine="560"/>
        <w:rPr>
          <w:color w:val="auto"/>
          <w:highlight w:val="none"/>
        </w:rPr>
      </w:pPr>
      <w:r>
        <w:rPr>
          <w:rFonts w:hint="eastAsia"/>
          <w:color w:val="auto"/>
          <w:highlight w:val="none"/>
        </w:rPr>
        <w:t>“项目完成时间”指标，预期指标值为202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3</w:t>
      </w:r>
      <w:r>
        <w:rPr>
          <w:rFonts w:hint="eastAsia"/>
          <w:color w:val="auto"/>
          <w:highlight w:val="none"/>
        </w:rPr>
        <w:t>分，实际得分</w:t>
      </w:r>
      <w:r>
        <w:rPr>
          <w:rFonts w:hint="eastAsia"/>
          <w:color w:val="auto"/>
          <w:highlight w:val="none"/>
          <w:lang w:val="en-US" w:eastAsia="zh-CN"/>
        </w:rPr>
        <w:t>3</w:t>
      </w:r>
      <w:r>
        <w:rPr>
          <w:rFonts w:hint="eastAsia"/>
          <w:color w:val="auto"/>
          <w:highlight w:val="none"/>
        </w:rPr>
        <w:t>分。</w:t>
      </w:r>
    </w:p>
    <w:p w14:paraId="75703CFE">
      <w:pPr>
        <w:pStyle w:val="54"/>
        <w:spacing w:line="560" w:lineRule="exact"/>
        <w:ind w:left="0" w:leftChars="0" w:right="0" w:rightChars="0" w:firstLine="560"/>
        <w:rPr>
          <w:color w:val="auto"/>
          <w:highlight w:val="none"/>
        </w:rPr>
      </w:pPr>
      <w:r>
        <w:rPr>
          <w:rFonts w:hint="eastAsia"/>
          <w:color w:val="auto"/>
          <w:highlight w:val="none"/>
        </w:rPr>
        <w:t>4.项目完成成本</w:t>
      </w:r>
    </w:p>
    <w:p w14:paraId="30E8D50D">
      <w:pPr>
        <w:pStyle w:val="54"/>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为有效控制项目实施成本，我单位在实施项目前就该项目设定了成本控制指标，实施过程中我单位有效降低了项目执行成本，具体指标设置及完成情况如下：</w:t>
      </w:r>
    </w:p>
    <w:p w14:paraId="62B7DEBA">
      <w:pPr>
        <w:pStyle w:val="35"/>
        <w:rPr>
          <w:rFonts w:hint="eastAsia"/>
          <w:color w:val="auto"/>
          <w:highlight w:val="none"/>
        </w:rPr>
      </w:pPr>
      <w:bookmarkStart w:id="2" w:name="OLE_LINK1"/>
      <w:r>
        <w:rPr>
          <w:rFonts w:hint="eastAsia"/>
          <w:color w:val="auto"/>
          <w:highlight w:val="none"/>
        </w:rPr>
        <w:t>“阿羌乡以奖代补成本”指标，预期指标值为</w:t>
      </w:r>
      <w:r>
        <w:rPr>
          <w:rFonts w:hint="eastAsia"/>
          <w:color w:val="auto"/>
          <w:highlight w:val="none"/>
          <w:lang w:eastAsia="zh-CN"/>
        </w:rPr>
        <w:t>小于等于</w:t>
      </w:r>
      <w:r>
        <w:rPr>
          <w:rFonts w:hint="eastAsia"/>
          <w:color w:val="auto"/>
          <w:highlight w:val="none"/>
          <w:lang w:val="en-US" w:eastAsia="zh-CN"/>
        </w:rPr>
        <w:t>549.27万元</w:t>
      </w:r>
      <w:r>
        <w:rPr>
          <w:rFonts w:hint="eastAsia"/>
          <w:color w:val="auto"/>
          <w:highlight w:val="none"/>
        </w:rPr>
        <w:t>, 全年实际值为549.27万元，指标完成率为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bookmarkEnd w:id="2"/>
    </w:p>
    <w:p w14:paraId="055355BD">
      <w:pPr>
        <w:pStyle w:val="35"/>
        <w:rPr>
          <w:rFonts w:hint="eastAsia"/>
          <w:color w:val="auto"/>
          <w:highlight w:val="none"/>
        </w:rPr>
      </w:pPr>
      <w:r>
        <w:rPr>
          <w:rFonts w:hint="eastAsia"/>
          <w:color w:val="auto"/>
          <w:highlight w:val="none"/>
        </w:rPr>
        <w:t>“阿热勒乡以奖代补成本”指标，预期指标值为</w:t>
      </w:r>
      <w:r>
        <w:rPr>
          <w:rFonts w:hint="eastAsia"/>
          <w:color w:val="auto"/>
          <w:highlight w:val="none"/>
          <w:lang w:eastAsia="zh-CN"/>
        </w:rPr>
        <w:t>小于等于</w:t>
      </w:r>
      <w:r>
        <w:rPr>
          <w:rFonts w:hint="eastAsia"/>
          <w:color w:val="auto"/>
          <w:highlight w:val="none"/>
          <w:lang w:val="en-US" w:eastAsia="zh-CN"/>
        </w:rPr>
        <w:t>1121.34万元</w:t>
      </w:r>
      <w:r>
        <w:rPr>
          <w:rFonts w:hint="eastAsia"/>
          <w:color w:val="auto"/>
          <w:highlight w:val="none"/>
        </w:rPr>
        <w:t>, 全年实际值为1121.34万元，指标完成率为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586F1CE6">
      <w:pPr>
        <w:pStyle w:val="35"/>
        <w:rPr>
          <w:rFonts w:hint="eastAsia"/>
          <w:color w:val="auto"/>
          <w:highlight w:val="none"/>
        </w:rPr>
      </w:pPr>
      <w:r>
        <w:rPr>
          <w:rFonts w:hint="eastAsia"/>
          <w:color w:val="auto"/>
          <w:highlight w:val="none"/>
        </w:rPr>
        <w:t>“阿日希乡以奖代补成本”指标，预期指标值为</w:t>
      </w:r>
      <w:r>
        <w:rPr>
          <w:rFonts w:hint="eastAsia"/>
          <w:color w:val="auto"/>
          <w:highlight w:val="none"/>
          <w:lang w:eastAsia="zh-CN"/>
        </w:rPr>
        <w:t>小于等于</w:t>
      </w:r>
      <w:r>
        <w:rPr>
          <w:rFonts w:hint="eastAsia"/>
          <w:color w:val="auto"/>
          <w:highlight w:val="none"/>
          <w:lang w:val="en-US" w:eastAsia="zh-CN"/>
        </w:rPr>
        <w:t>709.37万元</w:t>
      </w:r>
      <w:r>
        <w:rPr>
          <w:rFonts w:hint="eastAsia"/>
          <w:color w:val="auto"/>
          <w:highlight w:val="none"/>
        </w:rPr>
        <w:t>, 全年实际值为709.37万元，指标完成率为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510DC1D3">
      <w:pPr>
        <w:pStyle w:val="35"/>
        <w:rPr>
          <w:rFonts w:hint="eastAsia"/>
          <w:color w:val="auto"/>
          <w:highlight w:val="none"/>
        </w:rPr>
      </w:pPr>
      <w:r>
        <w:rPr>
          <w:rFonts w:hint="eastAsia"/>
          <w:color w:val="auto"/>
          <w:highlight w:val="none"/>
        </w:rPr>
        <w:t>“奥依托格拉克乡以奖代补成本”指标，预期指标值为</w:t>
      </w:r>
      <w:r>
        <w:rPr>
          <w:rFonts w:hint="eastAsia"/>
          <w:color w:val="auto"/>
          <w:highlight w:val="none"/>
          <w:lang w:eastAsia="zh-CN"/>
        </w:rPr>
        <w:t>小于等于</w:t>
      </w:r>
      <w:r>
        <w:rPr>
          <w:rFonts w:hint="eastAsia"/>
          <w:color w:val="auto"/>
          <w:highlight w:val="none"/>
          <w:lang w:val="en-US" w:eastAsia="zh-CN"/>
        </w:rPr>
        <w:t>545.91万元</w:t>
      </w:r>
      <w:r>
        <w:rPr>
          <w:rFonts w:hint="eastAsia"/>
          <w:color w:val="auto"/>
          <w:highlight w:val="none"/>
        </w:rPr>
        <w:t>, 全年实际值为545.91万元，指标完成率为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34F8BBAB">
      <w:pPr>
        <w:pStyle w:val="35"/>
        <w:rPr>
          <w:rFonts w:hint="eastAsia"/>
          <w:color w:val="auto"/>
          <w:highlight w:val="none"/>
        </w:rPr>
      </w:pPr>
      <w:r>
        <w:rPr>
          <w:rFonts w:hint="eastAsia"/>
          <w:color w:val="auto"/>
          <w:highlight w:val="none"/>
        </w:rPr>
        <w:t>“达里雅布依乡以奖代补成本”指标，预期指标值为</w:t>
      </w:r>
      <w:r>
        <w:rPr>
          <w:rFonts w:hint="eastAsia"/>
          <w:color w:val="auto"/>
          <w:highlight w:val="none"/>
          <w:lang w:eastAsia="zh-CN"/>
        </w:rPr>
        <w:t>小于等于</w:t>
      </w:r>
      <w:r>
        <w:rPr>
          <w:rFonts w:hint="eastAsia"/>
          <w:color w:val="auto"/>
          <w:highlight w:val="none"/>
          <w:lang w:val="en-US" w:eastAsia="zh-CN"/>
        </w:rPr>
        <w:t>161.32万元</w:t>
      </w:r>
      <w:r>
        <w:rPr>
          <w:rFonts w:hint="eastAsia"/>
          <w:color w:val="auto"/>
          <w:highlight w:val="none"/>
        </w:rPr>
        <w:t>, 全年实际值为161.32万元，指标完成率为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0BA3123B">
      <w:pPr>
        <w:pStyle w:val="35"/>
        <w:rPr>
          <w:rFonts w:hint="eastAsia"/>
          <w:color w:val="auto"/>
          <w:highlight w:val="none"/>
        </w:rPr>
      </w:pPr>
      <w:r>
        <w:rPr>
          <w:rFonts w:hint="eastAsia"/>
          <w:color w:val="auto"/>
          <w:highlight w:val="none"/>
        </w:rPr>
        <w:t>“加依乡以奖代补成本”指标，预期指标值为</w:t>
      </w:r>
      <w:r>
        <w:rPr>
          <w:rFonts w:hint="eastAsia"/>
          <w:color w:val="auto"/>
          <w:highlight w:val="none"/>
          <w:lang w:eastAsia="zh-CN"/>
        </w:rPr>
        <w:t>小于等于</w:t>
      </w:r>
      <w:r>
        <w:rPr>
          <w:rFonts w:hint="eastAsia"/>
          <w:color w:val="auto"/>
          <w:highlight w:val="none"/>
          <w:lang w:val="en-US" w:eastAsia="zh-CN"/>
        </w:rPr>
        <w:t>1031.77万元</w:t>
      </w:r>
      <w:r>
        <w:rPr>
          <w:rFonts w:hint="eastAsia"/>
          <w:color w:val="auto"/>
          <w:highlight w:val="none"/>
        </w:rPr>
        <w:t>, 全年实际值为1031.77万元，指标完成率为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52D90EAA">
      <w:pPr>
        <w:pStyle w:val="35"/>
        <w:rPr>
          <w:rFonts w:hint="eastAsia"/>
          <w:color w:val="auto"/>
          <w:highlight w:val="none"/>
        </w:rPr>
      </w:pPr>
      <w:r>
        <w:rPr>
          <w:rFonts w:hint="eastAsia"/>
          <w:color w:val="auto"/>
          <w:highlight w:val="none"/>
        </w:rPr>
        <w:t>“喀拉克尔乡以奖代补成本”指标，预期指标值为</w:t>
      </w:r>
      <w:r>
        <w:rPr>
          <w:rFonts w:hint="eastAsia"/>
          <w:color w:val="auto"/>
          <w:highlight w:val="none"/>
          <w:lang w:eastAsia="zh-CN"/>
        </w:rPr>
        <w:t>小于等于</w:t>
      </w:r>
      <w:r>
        <w:rPr>
          <w:rFonts w:hint="eastAsia"/>
          <w:color w:val="auto"/>
          <w:highlight w:val="none"/>
          <w:lang w:val="en-US" w:eastAsia="zh-CN"/>
        </w:rPr>
        <w:t>1098.05万元</w:t>
      </w:r>
      <w:r>
        <w:rPr>
          <w:rFonts w:hint="eastAsia"/>
          <w:color w:val="auto"/>
          <w:highlight w:val="none"/>
        </w:rPr>
        <w:t>, 全年实际值为1098.05万元，指标完成率为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2FC0958A">
      <w:pPr>
        <w:pStyle w:val="35"/>
        <w:rPr>
          <w:rFonts w:hint="eastAsia"/>
          <w:color w:val="auto"/>
          <w:highlight w:val="none"/>
        </w:rPr>
      </w:pPr>
      <w:r>
        <w:rPr>
          <w:rFonts w:hint="eastAsia"/>
          <w:color w:val="auto"/>
          <w:highlight w:val="none"/>
        </w:rPr>
        <w:t>“科克亚乡以奖代补成本”指标，预期指标值为</w:t>
      </w:r>
      <w:r>
        <w:rPr>
          <w:rFonts w:hint="eastAsia"/>
          <w:color w:val="auto"/>
          <w:highlight w:val="none"/>
          <w:lang w:eastAsia="zh-CN"/>
        </w:rPr>
        <w:t>小于等于</w:t>
      </w:r>
      <w:r>
        <w:rPr>
          <w:rFonts w:hint="eastAsia"/>
          <w:color w:val="auto"/>
          <w:highlight w:val="none"/>
          <w:lang w:val="en-US" w:eastAsia="zh-CN"/>
        </w:rPr>
        <w:t>1487.74万元</w:t>
      </w:r>
      <w:r>
        <w:rPr>
          <w:rFonts w:hint="eastAsia"/>
          <w:color w:val="auto"/>
          <w:highlight w:val="none"/>
        </w:rPr>
        <w:t>, 全年实际值为1474.03万元，指标完成率为</w:t>
      </w:r>
      <w:r>
        <w:rPr>
          <w:rFonts w:hint="eastAsia"/>
          <w:color w:val="auto"/>
          <w:highlight w:val="none"/>
          <w:lang w:val="en-US" w:eastAsia="zh-CN"/>
        </w:rPr>
        <w:t>99.08</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1.98</w:t>
      </w:r>
      <w:r>
        <w:rPr>
          <w:rFonts w:hint="eastAsia"/>
          <w:color w:val="auto"/>
          <w:highlight w:val="none"/>
        </w:rPr>
        <w:t>分。偏差原因：有退款。改进措施：加强项目管理</w:t>
      </w:r>
    </w:p>
    <w:p w14:paraId="2A665CC8">
      <w:pPr>
        <w:pStyle w:val="35"/>
        <w:rPr>
          <w:rFonts w:hint="eastAsia"/>
          <w:color w:val="auto"/>
          <w:highlight w:val="none"/>
        </w:rPr>
      </w:pPr>
      <w:r>
        <w:rPr>
          <w:rFonts w:hint="eastAsia"/>
          <w:color w:val="auto"/>
          <w:highlight w:val="none"/>
        </w:rPr>
        <w:t>“兰干博孜亚农场以奖代补成本”指标，预期指标值为</w:t>
      </w:r>
      <w:r>
        <w:rPr>
          <w:rFonts w:hint="eastAsia"/>
          <w:color w:val="auto"/>
          <w:highlight w:val="none"/>
          <w:lang w:eastAsia="zh-CN"/>
        </w:rPr>
        <w:t>小于等于</w:t>
      </w:r>
      <w:r>
        <w:rPr>
          <w:rFonts w:hint="eastAsia"/>
          <w:color w:val="auto"/>
          <w:highlight w:val="none"/>
          <w:lang w:val="en-US" w:eastAsia="zh-CN"/>
        </w:rPr>
        <w:t>247.71万元</w:t>
      </w:r>
      <w:r>
        <w:rPr>
          <w:rFonts w:hint="eastAsia"/>
          <w:color w:val="auto"/>
          <w:highlight w:val="none"/>
        </w:rPr>
        <w:t>, 全年实际值为247.71万元，指标完成率为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71592C73">
      <w:pPr>
        <w:pStyle w:val="35"/>
        <w:rPr>
          <w:rFonts w:hint="eastAsia"/>
          <w:color w:val="auto"/>
          <w:highlight w:val="none"/>
        </w:rPr>
      </w:pPr>
      <w:r>
        <w:rPr>
          <w:rFonts w:hint="eastAsia"/>
          <w:color w:val="auto"/>
          <w:highlight w:val="none"/>
        </w:rPr>
        <w:t>“兰干乡以奖代补成本”指标，预期指标值为</w:t>
      </w:r>
      <w:r>
        <w:rPr>
          <w:rFonts w:hint="eastAsia"/>
          <w:color w:val="auto"/>
          <w:highlight w:val="none"/>
          <w:lang w:eastAsia="zh-CN"/>
        </w:rPr>
        <w:t>小于等于</w:t>
      </w:r>
      <w:r>
        <w:rPr>
          <w:rFonts w:hint="eastAsia"/>
          <w:color w:val="auto"/>
          <w:highlight w:val="none"/>
          <w:lang w:val="en-US" w:eastAsia="zh-CN"/>
        </w:rPr>
        <w:t>1004.76万元</w:t>
      </w:r>
      <w:r>
        <w:rPr>
          <w:rFonts w:hint="eastAsia"/>
          <w:color w:val="auto"/>
          <w:highlight w:val="none"/>
        </w:rPr>
        <w:t>, 全年实际值为1004.76万元，指标完成率为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0BA59A7E">
      <w:pPr>
        <w:pStyle w:val="35"/>
        <w:rPr>
          <w:rFonts w:hint="eastAsia"/>
          <w:color w:val="auto"/>
          <w:highlight w:val="none"/>
        </w:rPr>
      </w:pPr>
      <w:r>
        <w:rPr>
          <w:rFonts w:hint="eastAsia"/>
          <w:color w:val="auto"/>
          <w:highlight w:val="none"/>
        </w:rPr>
        <w:t>“老城区街道办事处以奖代补成本”指标，预期指标值为</w:t>
      </w:r>
      <w:r>
        <w:rPr>
          <w:rFonts w:hint="eastAsia"/>
          <w:color w:val="auto"/>
          <w:highlight w:val="none"/>
          <w:lang w:eastAsia="zh-CN"/>
        </w:rPr>
        <w:t>小于等于</w:t>
      </w:r>
      <w:r>
        <w:rPr>
          <w:rFonts w:hint="eastAsia"/>
          <w:color w:val="auto"/>
          <w:highlight w:val="none"/>
          <w:lang w:val="en-US" w:eastAsia="zh-CN"/>
        </w:rPr>
        <w:t>50.67万元</w:t>
      </w:r>
      <w:r>
        <w:rPr>
          <w:rFonts w:hint="eastAsia"/>
          <w:color w:val="auto"/>
          <w:highlight w:val="none"/>
        </w:rPr>
        <w:t>, 全年实际值为50.67万元，指标完成率为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30A6970E">
      <w:pPr>
        <w:pStyle w:val="35"/>
        <w:rPr>
          <w:rFonts w:hint="eastAsia"/>
          <w:color w:val="auto"/>
          <w:highlight w:val="none"/>
        </w:rPr>
      </w:pPr>
      <w:r>
        <w:rPr>
          <w:rFonts w:hint="eastAsia"/>
          <w:color w:val="auto"/>
          <w:highlight w:val="none"/>
        </w:rPr>
        <w:t>“玫瑰小镇以奖代补成本”指标，预期指标值为</w:t>
      </w:r>
      <w:r>
        <w:rPr>
          <w:rFonts w:hint="eastAsia"/>
          <w:color w:val="auto"/>
          <w:highlight w:val="none"/>
          <w:lang w:eastAsia="zh-CN"/>
        </w:rPr>
        <w:t>小于等于</w:t>
      </w:r>
      <w:r>
        <w:rPr>
          <w:rFonts w:hint="eastAsia"/>
          <w:color w:val="auto"/>
          <w:highlight w:val="none"/>
          <w:lang w:val="en-US" w:eastAsia="zh-CN"/>
        </w:rPr>
        <w:t>64.22万元</w:t>
      </w:r>
      <w:r>
        <w:rPr>
          <w:rFonts w:hint="eastAsia"/>
          <w:color w:val="auto"/>
          <w:highlight w:val="none"/>
        </w:rPr>
        <w:t>, 全年实际值为64.22万元，指标完成率为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684FC780">
      <w:pPr>
        <w:pStyle w:val="35"/>
        <w:rPr>
          <w:rFonts w:hint="eastAsia"/>
          <w:color w:val="auto"/>
          <w:highlight w:val="none"/>
        </w:rPr>
      </w:pPr>
      <w:r>
        <w:rPr>
          <w:rFonts w:hint="eastAsia"/>
          <w:color w:val="auto"/>
          <w:highlight w:val="none"/>
        </w:rPr>
        <w:t>“木尕拉镇以奖代补成本”指标，预期指标值为</w:t>
      </w:r>
      <w:r>
        <w:rPr>
          <w:rFonts w:hint="eastAsia"/>
          <w:color w:val="auto"/>
          <w:highlight w:val="none"/>
          <w:lang w:eastAsia="zh-CN"/>
        </w:rPr>
        <w:t>小于等于</w:t>
      </w:r>
      <w:r>
        <w:rPr>
          <w:rFonts w:hint="eastAsia"/>
          <w:color w:val="auto"/>
          <w:highlight w:val="none"/>
          <w:lang w:val="en-US" w:eastAsia="zh-CN"/>
        </w:rPr>
        <w:t>1200.27万元</w:t>
      </w:r>
      <w:r>
        <w:rPr>
          <w:rFonts w:hint="eastAsia"/>
          <w:color w:val="auto"/>
          <w:highlight w:val="none"/>
        </w:rPr>
        <w:t>, 全年实际值为1200.27万元，指标完成率为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67F38F56">
      <w:pPr>
        <w:pStyle w:val="35"/>
        <w:rPr>
          <w:rFonts w:hint="eastAsia"/>
          <w:color w:val="auto"/>
          <w:highlight w:val="none"/>
        </w:rPr>
      </w:pPr>
      <w:r>
        <w:rPr>
          <w:rFonts w:hint="eastAsia"/>
          <w:color w:val="auto"/>
          <w:highlight w:val="none"/>
        </w:rPr>
        <w:t>“斯也克乡以奖代补成本”指标，预期指标值为</w:t>
      </w:r>
      <w:r>
        <w:rPr>
          <w:rFonts w:hint="eastAsia"/>
          <w:color w:val="auto"/>
          <w:highlight w:val="none"/>
          <w:lang w:eastAsia="zh-CN"/>
        </w:rPr>
        <w:t>小于等于</w:t>
      </w:r>
      <w:r>
        <w:rPr>
          <w:rFonts w:hint="eastAsia"/>
          <w:color w:val="auto"/>
          <w:highlight w:val="none"/>
          <w:lang w:val="en-US" w:eastAsia="zh-CN"/>
        </w:rPr>
        <w:t>1504.54万元</w:t>
      </w:r>
      <w:r>
        <w:rPr>
          <w:rFonts w:hint="eastAsia"/>
          <w:color w:val="auto"/>
          <w:highlight w:val="none"/>
        </w:rPr>
        <w:t>, 全年实际值为1504.54万元，指标完成率为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271C07C8">
      <w:pPr>
        <w:pStyle w:val="35"/>
        <w:rPr>
          <w:rFonts w:hint="eastAsia"/>
          <w:color w:val="auto"/>
          <w:highlight w:val="none"/>
        </w:rPr>
      </w:pPr>
      <w:r>
        <w:rPr>
          <w:rFonts w:hint="eastAsia"/>
          <w:color w:val="auto"/>
          <w:highlight w:val="none"/>
        </w:rPr>
        <w:t>“托格日尕孜乡以奖代补成本”指标，预期指标值为</w:t>
      </w:r>
      <w:r>
        <w:rPr>
          <w:rFonts w:hint="eastAsia"/>
          <w:color w:val="auto"/>
          <w:highlight w:val="none"/>
          <w:lang w:eastAsia="zh-CN"/>
        </w:rPr>
        <w:t>小于等于</w:t>
      </w:r>
      <w:r>
        <w:rPr>
          <w:rFonts w:hint="eastAsia"/>
          <w:color w:val="auto"/>
          <w:highlight w:val="none"/>
          <w:lang w:val="en-US" w:eastAsia="zh-CN"/>
        </w:rPr>
        <w:t>1142.28万元</w:t>
      </w:r>
      <w:r>
        <w:rPr>
          <w:rFonts w:hint="eastAsia"/>
          <w:color w:val="auto"/>
          <w:highlight w:val="none"/>
        </w:rPr>
        <w:t>, 全年实际值为1142.28万元，指标完成率为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5FF1236F">
      <w:pPr>
        <w:pStyle w:val="35"/>
        <w:rPr>
          <w:rFonts w:hint="eastAsia"/>
          <w:color w:val="auto"/>
          <w:highlight w:val="none"/>
        </w:rPr>
      </w:pPr>
      <w:r>
        <w:rPr>
          <w:rFonts w:hint="eastAsia"/>
          <w:color w:val="auto"/>
          <w:highlight w:val="none"/>
        </w:rPr>
        <w:t>“希吾勒乡以奖代补成本”指标，预期指标值为</w:t>
      </w:r>
      <w:r>
        <w:rPr>
          <w:rFonts w:hint="eastAsia"/>
          <w:color w:val="auto"/>
          <w:highlight w:val="none"/>
          <w:lang w:eastAsia="zh-CN"/>
        </w:rPr>
        <w:t>小于等于</w:t>
      </w:r>
      <w:r>
        <w:rPr>
          <w:rFonts w:hint="eastAsia"/>
          <w:color w:val="auto"/>
          <w:highlight w:val="none"/>
          <w:lang w:val="en-US" w:eastAsia="zh-CN"/>
        </w:rPr>
        <w:t>531.78万元</w:t>
      </w:r>
      <w:r>
        <w:rPr>
          <w:rFonts w:hint="eastAsia"/>
          <w:color w:val="auto"/>
          <w:highlight w:val="none"/>
        </w:rPr>
        <w:t>, 全年实际值为531.78万元，指标完成率为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5C7D242E">
      <w:pPr>
        <w:pStyle w:val="35"/>
        <w:rPr>
          <w:rFonts w:hint="eastAsia"/>
          <w:color w:val="auto"/>
          <w:highlight w:val="none"/>
        </w:rPr>
      </w:pPr>
      <w:r>
        <w:rPr>
          <w:rFonts w:hint="eastAsia"/>
          <w:color w:val="auto"/>
          <w:highlight w:val="none"/>
        </w:rPr>
        <w:t>“先拜巴扎镇以奖代补成本”指标，预期指标值为</w:t>
      </w:r>
      <w:r>
        <w:rPr>
          <w:rFonts w:hint="eastAsia"/>
          <w:color w:val="auto"/>
          <w:highlight w:val="none"/>
          <w:lang w:eastAsia="zh-CN"/>
        </w:rPr>
        <w:t>小于等于</w:t>
      </w:r>
      <w:r>
        <w:rPr>
          <w:rFonts w:hint="eastAsia"/>
          <w:color w:val="auto"/>
          <w:highlight w:val="none"/>
          <w:lang w:val="en-US" w:eastAsia="zh-CN"/>
        </w:rPr>
        <w:t>1181.40万元</w:t>
      </w:r>
      <w:r>
        <w:rPr>
          <w:rFonts w:hint="eastAsia"/>
          <w:color w:val="auto"/>
          <w:highlight w:val="none"/>
        </w:rPr>
        <w:t>, 全年实际值为1181.40万元，指标完成率为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3E99A92B">
      <w:pPr>
        <w:pStyle w:val="35"/>
        <w:rPr>
          <w:rFonts w:hint="eastAsia"/>
          <w:color w:val="auto"/>
          <w:highlight w:val="none"/>
        </w:rPr>
      </w:pPr>
      <w:bookmarkStart w:id="3" w:name="OLE_LINK7"/>
      <w:r>
        <w:rPr>
          <w:rFonts w:hint="eastAsia"/>
          <w:color w:val="auto"/>
          <w:highlight w:val="none"/>
        </w:rPr>
        <w:t>“</w:t>
      </w:r>
      <w:bookmarkStart w:id="4" w:name="OLE_LINK5"/>
      <w:r>
        <w:rPr>
          <w:rFonts w:hint="eastAsia"/>
          <w:color w:val="auto"/>
          <w:highlight w:val="none"/>
        </w:rPr>
        <w:t>新城区街道办事处以奖代补成本”指标，预期指标值为</w:t>
      </w:r>
      <w:r>
        <w:rPr>
          <w:rFonts w:hint="eastAsia"/>
          <w:color w:val="auto"/>
          <w:highlight w:val="none"/>
          <w:lang w:eastAsia="zh-CN"/>
        </w:rPr>
        <w:t>小于等于</w:t>
      </w:r>
      <w:r>
        <w:rPr>
          <w:rFonts w:hint="eastAsia"/>
          <w:color w:val="auto"/>
          <w:highlight w:val="none"/>
          <w:lang w:val="en-US" w:eastAsia="zh-CN"/>
        </w:rPr>
        <w:t>1030.17万元</w:t>
      </w:r>
      <w:r>
        <w:rPr>
          <w:rFonts w:hint="eastAsia"/>
          <w:color w:val="auto"/>
          <w:highlight w:val="none"/>
        </w:rPr>
        <w:t>, 全年实际值为32.94万元，指标完成率为</w:t>
      </w:r>
      <w:r>
        <w:rPr>
          <w:rFonts w:hint="eastAsia"/>
          <w:color w:val="auto"/>
          <w:highlight w:val="none"/>
          <w:lang w:val="en-US" w:eastAsia="zh-CN"/>
        </w:rPr>
        <w:t>3.20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0.06</w:t>
      </w:r>
      <w:r>
        <w:rPr>
          <w:rFonts w:hint="eastAsia"/>
          <w:color w:val="auto"/>
          <w:highlight w:val="none"/>
        </w:rPr>
        <w:t>分。</w:t>
      </w:r>
      <w:bookmarkEnd w:id="4"/>
      <w:r>
        <w:rPr>
          <w:rFonts w:hint="eastAsia"/>
          <w:color w:val="auto"/>
          <w:highlight w:val="none"/>
        </w:rPr>
        <w:t>偏差原因：项目根据实际发放资金减少。改进措施：加强项目预算管理。</w:t>
      </w:r>
    </w:p>
    <w:bookmarkEnd w:id="3"/>
    <w:p w14:paraId="43990AB3">
      <w:pPr>
        <w:pStyle w:val="35"/>
        <w:rPr>
          <w:rFonts w:hint="eastAsia"/>
          <w:color w:val="auto"/>
          <w:highlight w:val="none"/>
        </w:rPr>
      </w:pPr>
      <w:r>
        <w:rPr>
          <w:rFonts w:hint="eastAsia"/>
          <w:color w:val="auto"/>
          <w:highlight w:val="none"/>
        </w:rPr>
        <w:t>“英巴格乡以奖代补成本”指标，预期指标值为</w:t>
      </w:r>
      <w:r>
        <w:rPr>
          <w:rFonts w:hint="eastAsia"/>
          <w:color w:val="auto"/>
          <w:highlight w:val="none"/>
          <w:lang w:eastAsia="zh-CN"/>
        </w:rPr>
        <w:t>小于等于</w:t>
      </w:r>
      <w:r>
        <w:rPr>
          <w:rFonts w:hint="eastAsia"/>
          <w:color w:val="auto"/>
          <w:highlight w:val="none"/>
          <w:lang w:val="en-US" w:eastAsia="zh-CN"/>
        </w:rPr>
        <w:t>780.55万元</w:t>
      </w:r>
      <w:r>
        <w:rPr>
          <w:rFonts w:hint="eastAsia"/>
          <w:color w:val="auto"/>
          <w:highlight w:val="none"/>
        </w:rPr>
        <w:t>, 全年实际值为780.55万元，指标完成率为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2</w:t>
      </w:r>
      <w:r>
        <w:rPr>
          <w:rFonts w:hint="eastAsia"/>
          <w:color w:val="auto"/>
          <w:highlight w:val="none"/>
        </w:rPr>
        <w:t>分，实际得</w:t>
      </w:r>
      <w:r>
        <w:rPr>
          <w:rFonts w:hint="eastAsia"/>
          <w:color w:val="auto"/>
          <w:highlight w:val="none"/>
          <w:lang w:val="en-US" w:eastAsia="zh-CN"/>
        </w:rPr>
        <w:t>2</w:t>
      </w:r>
      <w:r>
        <w:rPr>
          <w:rFonts w:hint="eastAsia"/>
          <w:color w:val="auto"/>
          <w:highlight w:val="none"/>
        </w:rPr>
        <w:t>分。</w:t>
      </w:r>
    </w:p>
    <w:p w14:paraId="3C0B0198">
      <w:pPr>
        <w:pStyle w:val="54"/>
        <w:spacing w:line="580" w:lineRule="exact"/>
        <w:ind w:left="0" w:leftChars="0" w:right="0" w:rightChars="0" w:firstLine="562"/>
        <w:rPr>
          <w:rFonts w:hint="eastAsia"/>
          <w:b/>
          <w:color w:val="auto"/>
          <w:highlight w:val="none"/>
        </w:rPr>
      </w:pPr>
      <w:r>
        <w:rPr>
          <w:rFonts w:hint="eastAsia"/>
          <w:b/>
          <w:color w:val="auto"/>
          <w:highlight w:val="none"/>
        </w:rPr>
        <w:t>2.效益指标完成情况分析</w:t>
      </w:r>
    </w:p>
    <w:p w14:paraId="1D7D9F48">
      <w:pPr>
        <w:pStyle w:val="54"/>
        <w:spacing w:line="560" w:lineRule="exact"/>
        <w:ind w:left="0" w:leftChars="0" w:right="0" w:rightChars="0" w:firstLine="560"/>
        <w:rPr>
          <w:color w:val="auto"/>
          <w:highlight w:val="none"/>
        </w:rPr>
      </w:pPr>
      <w:r>
        <w:rPr>
          <w:rFonts w:hint="eastAsia"/>
          <w:color w:val="auto"/>
          <w:highlight w:val="none"/>
          <w:lang w:val="en-US" w:eastAsia="zh-CN"/>
        </w:rPr>
        <w:t>2.1</w:t>
      </w:r>
      <w:bookmarkStart w:id="5" w:name="OLE_LINK6"/>
      <w:r>
        <w:rPr>
          <w:color w:val="auto"/>
          <w:highlight w:val="none"/>
        </w:rPr>
        <w:t>项目实施的</w:t>
      </w:r>
      <w:r>
        <w:rPr>
          <w:rFonts w:hint="eastAsia"/>
          <w:color w:val="auto"/>
          <w:highlight w:val="none"/>
        </w:rPr>
        <w:t>社会效益</w:t>
      </w:r>
      <w:r>
        <w:rPr>
          <w:color w:val="auto"/>
          <w:highlight w:val="none"/>
        </w:rPr>
        <w:t>分析</w:t>
      </w:r>
    </w:p>
    <w:p w14:paraId="3907E233">
      <w:pPr>
        <w:pStyle w:val="54"/>
        <w:spacing w:line="560" w:lineRule="exact"/>
        <w:ind w:left="0" w:leftChars="0" w:right="0" w:rightChars="0" w:firstLine="560"/>
        <w:rPr>
          <w:rFonts w:hint="eastAsia"/>
          <w:color w:val="auto"/>
          <w:highlight w:val="none"/>
        </w:rPr>
      </w:pPr>
      <w:r>
        <w:rPr>
          <w:rFonts w:hint="eastAsia"/>
          <w:color w:val="auto"/>
          <w:highlight w:val="none"/>
        </w:rPr>
        <w:t>“改善当地群众生产生活条件”指标，指标预期值为</w:t>
      </w:r>
      <w:r>
        <w:rPr>
          <w:rFonts w:hint="eastAsia"/>
          <w:color w:val="auto"/>
          <w:highlight w:val="none"/>
          <w:lang w:val="en-US" w:eastAsia="zh-CN"/>
        </w:rPr>
        <w:t>有效改善</w:t>
      </w:r>
      <w:r>
        <w:rPr>
          <w:rFonts w:hint="eastAsia"/>
          <w:color w:val="auto"/>
          <w:highlight w:val="none"/>
        </w:rPr>
        <w:t>，实际完成值为</w:t>
      </w:r>
      <w:r>
        <w:rPr>
          <w:rFonts w:hint="eastAsia"/>
          <w:color w:val="auto"/>
          <w:highlight w:val="none"/>
          <w:lang w:val="en-US" w:eastAsia="zh-CN"/>
        </w:rPr>
        <w:t>有效改善</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bookmarkEnd w:id="5"/>
    </w:p>
    <w:p w14:paraId="1484B027">
      <w:pPr>
        <w:pStyle w:val="54"/>
        <w:spacing w:line="560" w:lineRule="exact"/>
        <w:ind w:left="0" w:leftChars="0" w:right="0" w:rightChars="0" w:firstLine="560"/>
        <w:rPr>
          <w:color w:val="auto"/>
          <w:highlight w:val="none"/>
        </w:rPr>
      </w:pPr>
      <w:r>
        <w:rPr>
          <w:rFonts w:hint="eastAsia"/>
          <w:color w:val="auto"/>
          <w:highlight w:val="none"/>
          <w:lang w:val="en-US" w:eastAsia="zh-CN"/>
        </w:rPr>
        <w:t>2.2</w:t>
      </w:r>
      <w:r>
        <w:rPr>
          <w:color w:val="auto"/>
          <w:highlight w:val="none"/>
        </w:rPr>
        <w:t>项目实施的</w:t>
      </w:r>
      <w:r>
        <w:rPr>
          <w:rFonts w:hint="eastAsia"/>
          <w:color w:val="auto"/>
          <w:highlight w:val="none"/>
          <w:lang w:val="en-US" w:eastAsia="zh-CN"/>
        </w:rPr>
        <w:t>经济</w:t>
      </w:r>
      <w:r>
        <w:rPr>
          <w:rFonts w:hint="eastAsia"/>
          <w:color w:val="auto"/>
          <w:highlight w:val="none"/>
        </w:rPr>
        <w:t>效益</w:t>
      </w:r>
      <w:r>
        <w:rPr>
          <w:color w:val="auto"/>
          <w:highlight w:val="none"/>
        </w:rPr>
        <w:t>分析</w:t>
      </w:r>
    </w:p>
    <w:p w14:paraId="04BD93C0">
      <w:pPr>
        <w:pStyle w:val="54"/>
        <w:spacing w:line="560" w:lineRule="exact"/>
        <w:ind w:left="0" w:leftChars="0" w:right="0" w:rightChars="0" w:firstLine="560"/>
        <w:rPr>
          <w:rFonts w:hint="eastAsia"/>
          <w:color w:val="auto"/>
          <w:highlight w:val="none"/>
        </w:rPr>
      </w:pPr>
      <w:r>
        <w:rPr>
          <w:rFonts w:hint="eastAsia"/>
          <w:color w:val="auto"/>
          <w:highlight w:val="none"/>
        </w:rPr>
        <w:t>“带动增加脱贫人口全年总收入”指标，指标预期值为</w:t>
      </w:r>
      <w:r>
        <w:rPr>
          <w:rFonts w:hint="eastAsia"/>
          <w:color w:val="auto"/>
          <w:highlight w:val="none"/>
          <w:lang w:val="en-US" w:eastAsia="zh-CN"/>
        </w:rPr>
        <w:t>大于等于709.37万元</w:t>
      </w:r>
      <w:r>
        <w:rPr>
          <w:rFonts w:hint="eastAsia"/>
          <w:color w:val="auto"/>
          <w:highlight w:val="none"/>
        </w:rPr>
        <w:t>，实际完成值为</w:t>
      </w:r>
      <w:r>
        <w:rPr>
          <w:rFonts w:hint="eastAsia"/>
          <w:color w:val="auto"/>
          <w:highlight w:val="none"/>
          <w:lang w:val="en-US" w:eastAsia="zh-CN"/>
        </w:rPr>
        <w:t>709.37万元</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0D463641">
      <w:pPr>
        <w:pStyle w:val="35"/>
        <w:rPr>
          <w:color w:val="auto"/>
          <w:highlight w:val="none"/>
        </w:rPr>
      </w:pPr>
      <w:r>
        <w:rPr>
          <w:rFonts w:hint="eastAsia" w:ascii="Times New Roman" w:hAnsi="Times New Roman" w:eastAsia="仿宋_GB2312" w:cs="Times New Roman"/>
          <w:b/>
          <w:color w:val="auto"/>
          <w:kern w:val="2"/>
          <w:sz w:val="28"/>
          <w:szCs w:val="22"/>
          <w:highlight w:val="none"/>
          <w:lang w:val="en-US" w:eastAsia="zh-CN" w:bidi="ar-SA"/>
        </w:rPr>
        <w:t>3.满意度指标完成情况分析</w:t>
      </w:r>
    </w:p>
    <w:p w14:paraId="6EA2BBEF">
      <w:pPr>
        <w:spacing w:line="560" w:lineRule="exact"/>
        <w:ind w:firstLine="544" w:firstLineChars="200"/>
        <w:rPr>
          <w:rFonts w:ascii="仿宋_GB2312" w:hAnsi="Times New Roman" w:eastAsia="仿宋_GB2312" w:cs="Times New Roman"/>
          <w:bCs/>
          <w:spacing w:val="-4"/>
          <w:sz w:val="28"/>
          <w:szCs w:val="28"/>
          <w:highlight w:val="none"/>
        </w:rPr>
      </w:pPr>
      <w:r>
        <w:rPr>
          <w:rFonts w:hint="eastAsia" w:ascii="仿宋_GB2312" w:hAnsi="Times New Roman" w:eastAsia="仿宋_GB2312" w:cs="Times New Roman"/>
          <w:bCs/>
          <w:spacing w:val="-4"/>
          <w:sz w:val="28"/>
          <w:szCs w:val="28"/>
          <w:highlight w:val="none"/>
        </w:rPr>
        <w:t>“受益人口满意度”指标，指标预期指标值为</w:t>
      </w:r>
      <w:r>
        <w:rPr>
          <w:rFonts w:hint="eastAsia" w:ascii="仿宋_GB2312" w:hAnsi="Times New Roman" w:eastAsia="仿宋_GB2312" w:cs="Times New Roman"/>
          <w:bCs/>
          <w:spacing w:val="-4"/>
          <w:sz w:val="28"/>
          <w:szCs w:val="28"/>
          <w:highlight w:val="none"/>
          <w:lang w:eastAsia="zh-CN"/>
        </w:rPr>
        <w:t>大于等于</w:t>
      </w:r>
      <w:r>
        <w:rPr>
          <w:rFonts w:hint="eastAsia" w:ascii="仿宋_GB2312" w:hAnsi="Times New Roman" w:eastAsia="仿宋_GB2312" w:cs="Times New Roman"/>
          <w:bCs/>
          <w:spacing w:val="-4"/>
          <w:sz w:val="28"/>
          <w:szCs w:val="28"/>
          <w:highlight w:val="none"/>
        </w:rPr>
        <w:t>95%，实际完成值为95%，指标完成率为100.00%。所设分值10分，实际得分10分。</w:t>
      </w:r>
    </w:p>
    <w:p w14:paraId="704BA57D">
      <w:pPr>
        <w:pStyle w:val="31"/>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14:paraId="30A75DD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684C053D">
      <w:pPr>
        <w:pStyle w:val="35"/>
        <w:rPr>
          <w:rFonts w:hint="eastAsia"/>
          <w:color w:val="auto"/>
          <w:highlight w:val="none"/>
        </w:rPr>
      </w:pPr>
      <w:r>
        <w:rPr>
          <w:rFonts w:hint="eastAsia" w:ascii="仿宋_GB2312"/>
          <w:color w:val="auto"/>
          <w:spacing w:val="-4"/>
          <w:szCs w:val="32"/>
          <w:highlight w:val="none"/>
        </w:rPr>
        <w:t>1.</w:t>
      </w:r>
      <w:r>
        <w:rPr>
          <w:rFonts w:hint="eastAsia"/>
          <w:color w:val="auto"/>
          <w:spacing w:val="-4"/>
          <w:szCs w:val="32"/>
          <w:highlight w:val="none"/>
          <w:lang w:val="en-US" w:eastAsia="zh-CN"/>
        </w:rPr>
        <w:t>成本指标-</w:t>
      </w:r>
      <w:r>
        <w:rPr>
          <w:rFonts w:hint="eastAsia"/>
          <w:color w:val="auto"/>
          <w:highlight w:val="none"/>
        </w:rPr>
        <w:t>“新城区街道办事处以奖代补成本”指标，预期指标值为</w:t>
      </w:r>
      <w:r>
        <w:rPr>
          <w:rFonts w:hint="eastAsia"/>
          <w:color w:val="auto"/>
          <w:highlight w:val="none"/>
          <w:lang w:eastAsia="zh-CN"/>
        </w:rPr>
        <w:t>小于等于</w:t>
      </w:r>
      <w:r>
        <w:rPr>
          <w:rFonts w:hint="eastAsia"/>
          <w:color w:val="auto"/>
          <w:highlight w:val="none"/>
          <w:lang w:val="en-US" w:eastAsia="zh-CN"/>
        </w:rPr>
        <w:t>1031.2万元</w:t>
      </w:r>
      <w:r>
        <w:rPr>
          <w:rFonts w:hint="eastAsia"/>
          <w:color w:val="auto"/>
          <w:highlight w:val="none"/>
        </w:rPr>
        <w:t>, 全年实际值为32.94万元。</w:t>
      </w:r>
    </w:p>
    <w:p w14:paraId="6D613C92">
      <w:pPr>
        <w:pStyle w:val="35"/>
        <w:rPr>
          <w:rFonts w:hint="eastAsia"/>
          <w:color w:val="auto"/>
          <w:highlight w:val="none"/>
        </w:rPr>
      </w:pPr>
      <w:r>
        <w:rPr>
          <w:rFonts w:hint="eastAsia"/>
          <w:color w:val="auto"/>
          <w:highlight w:val="none"/>
        </w:rPr>
        <w:t>偏差原因：项目根据实际发放资金减少。</w:t>
      </w:r>
    </w:p>
    <w:p w14:paraId="45E78C4B">
      <w:pPr>
        <w:pStyle w:val="35"/>
        <w:rPr>
          <w:rFonts w:hint="eastAsia"/>
          <w:color w:val="auto"/>
          <w:highlight w:val="none"/>
        </w:rPr>
      </w:pPr>
      <w:r>
        <w:rPr>
          <w:rFonts w:hint="eastAsia"/>
          <w:color w:val="auto"/>
          <w:highlight w:val="none"/>
        </w:rPr>
        <w:t>改进措施：加强项目预算管理。</w:t>
      </w:r>
    </w:p>
    <w:p w14:paraId="1D4FD079">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69CEDD19">
      <w:pPr>
        <w:pStyle w:val="54"/>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于田县2024年到户产业以奖代补项目</w:t>
      </w:r>
      <w:r>
        <w:rPr>
          <w:rFonts w:hint="eastAsia" w:ascii="仿宋_GB2312"/>
          <w:color w:val="auto"/>
          <w:highlight w:val="none"/>
        </w:rPr>
        <w:t>资金的使用效率和效果，从而得出以下综合评价结论：在绩效目标方面，本项目</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w:t>
      </w:r>
      <w:r>
        <w:rPr>
          <w:rFonts w:hint="eastAsia" w:ascii="仿宋_GB2312"/>
          <w:color w:val="auto"/>
          <w:szCs w:val="32"/>
          <w:highlight w:val="none"/>
          <w:lang w:val="en-US" w:eastAsia="zh-CN"/>
        </w:rPr>
        <w:t>26</w:t>
      </w:r>
      <w:r>
        <w:rPr>
          <w:rFonts w:hint="eastAsia" w:ascii="仿宋_GB2312"/>
          <w:color w:val="auto"/>
          <w:szCs w:val="32"/>
          <w:highlight w:val="none"/>
        </w:rPr>
        <w:t>个,</w:t>
      </w:r>
      <w:r>
        <w:rPr>
          <w:rFonts w:hint="eastAsia" w:ascii="仿宋_GB2312"/>
          <w:color w:val="auto"/>
          <w:highlight w:val="none"/>
        </w:rPr>
        <w:t>其中已完成三级指标</w:t>
      </w:r>
      <w:r>
        <w:rPr>
          <w:rFonts w:hint="eastAsia" w:ascii="仿宋_GB2312"/>
          <w:color w:val="auto"/>
          <w:highlight w:val="none"/>
          <w:lang w:val="en-US" w:eastAsia="zh-CN"/>
        </w:rPr>
        <w:t>24</w:t>
      </w:r>
      <w:r>
        <w:rPr>
          <w:rFonts w:hint="eastAsia" w:ascii="仿宋_GB2312"/>
          <w:color w:val="auto"/>
          <w:highlight w:val="none"/>
        </w:rPr>
        <w:t>个，指标完成率为</w:t>
      </w:r>
      <w:r>
        <w:rPr>
          <w:rFonts w:hint="eastAsia" w:ascii="仿宋_GB2312"/>
          <w:color w:val="auto"/>
          <w:highlight w:val="none"/>
          <w:lang w:val="en-US" w:eastAsia="zh-CN"/>
        </w:rPr>
        <w:t>92.30</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w:t>
      </w:r>
      <w:r>
        <w:rPr>
          <w:rFonts w:hint="eastAsia" w:ascii="仿宋_GB2312"/>
          <w:color w:val="auto"/>
          <w:highlight w:val="none"/>
          <w:lang w:eastAsia="zh-CN"/>
        </w:rPr>
        <w:t>于田县乡村振兴局</w:t>
      </w:r>
      <w:r>
        <w:rPr>
          <w:rFonts w:hint="eastAsia" w:ascii="仿宋_GB2312"/>
          <w:color w:val="auto"/>
          <w:highlight w:val="none"/>
        </w:rPr>
        <w:t>财务管理制度》执行，保障了资金使用规范、安全，无挪用、截留资金的情况发生。在项目管理方面，制定了《</w:t>
      </w:r>
      <w:r>
        <w:rPr>
          <w:rFonts w:hint="eastAsia" w:ascii="仿宋_GB2312"/>
          <w:color w:val="auto"/>
          <w:highlight w:val="none"/>
          <w:lang w:eastAsia="zh-CN"/>
        </w:rPr>
        <w:t>于田县2024年到户产业以奖代补项目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71E88171">
      <w:pPr>
        <w:pStyle w:val="54"/>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97.38</w:t>
      </w:r>
      <w:r>
        <w:rPr>
          <w:rFonts w:hint="eastAsia" w:ascii="仿宋_GB2312"/>
          <w:color w:val="auto"/>
          <w:highlight w:val="none"/>
        </w:rPr>
        <w:t>分，评价等级为优。</w:t>
      </w:r>
    </w:p>
    <w:p w14:paraId="69FB50DF">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17B27FA">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CF8AA48">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（二）指标佐证材料说明</w:t>
      </w:r>
    </w:p>
    <w:p w14:paraId="4461EF27">
      <w:pPr>
        <w:pStyle w:val="54"/>
        <w:spacing w:line="560" w:lineRule="exact"/>
        <w:ind w:left="3" w:right="3" w:firstLine="560"/>
        <w:rPr>
          <w:rFonts w:ascii="仿宋_GB2312"/>
          <w:color w:val="auto"/>
          <w:highlight w:val="none"/>
        </w:rPr>
      </w:pPr>
      <w:r>
        <w:rPr>
          <w:rFonts w:hint="eastAsia" w:ascii="仿宋_GB2312"/>
          <w:color w:val="auto"/>
          <w:highlight w:val="none"/>
        </w:rPr>
        <w:t>项目状况：</w:t>
      </w:r>
      <w:r>
        <w:rPr>
          <w:rFonts w:hint="eastAsia" w:ascii="仿宋_GB2312"/>
          <w:color w:val="auto"/>
          <w:szCs w:val="32"/>
          <w:highlight w:val="none"/>
        </w:rPr>
        <w:t>根据</w:t>
      </w:r>
      <w:r>
        <w:rPr>
          <w:rFonts w:hint="eastAsia" w:ascii="仿宋_GB2312"/>
          <w:color w:val="auto"/>
          <w:szCs w:val="32"/>
          <w:highlight w:val="none"/>
          <w:lang w:eastAsia="zh-CN"/>
        </w:rPr>
        <w:t>于田县乡村振兴局、</w:t>
      </w:r>
      <w:r>
        <w:rPr>
          <w:rFonts w:hint="eastAsia" w:ascii="仿宋_GB2312"/>
          <w:color w:val="auto"/>
          <w:szCs w:val="32"/>
          <w:highlight w:val="none"/>
        </w:rPr>
        <w:t>于田县财政局</w:t>
      </w:r>
      <w:r>
        <w:rPr>
          <w:rFonts w:hint="eastAsia" w:ascii="仿宋_GB2312"/>
          <w:color w:val="auto"/>
          <w:szCs w:val="32"/>
          <w:highlight w:val="none"/>
          <w:lang w:eastAsia="zh-CN"/>
        </w:rPr>
        <w:t>、</w:t>
      </w:r>
      <w:r>
        <w:rPr>
          <w:rFonts w:hint="eastAsia" w:ascii="仿宋_GB2312"/>
          <w:color w:val="auto"/>
          <w:szCs w:val="32"/>
          <w:highlight w:val="none"/>
          <w:lang w:val="en-US" w:eastAsia="zh-CN"/>
        </w:rPr>
        <w:t>于田县人社局、于田县市场监督管理局、于田县林草局、于田县农业农村局</w:t>
      </w:r>
      <w:r>
        <w:rPr>
          <w:rFonts w:hint="eastAsia" w:ascii="仿宋_GB2312"/>
          <w:color w:val="auto"/>
          <w:szCs w:val="32"/>
          <w:highlight w:val="none"/>
        </w:rPr>
        <w:t>联合下发的《关于</w:t>
      </w:r>
      <w:r>
        <w:rPr>
          <w:rFonts w:hint="eastAsia" w:ascii="仿宋_GB2312"/>
          <w:color w:val="auto"/>
          <w:szCs w:val="32"/>
          <w:highlight w:val="none"/>
          <w:lang w:eastAsia="zh-CN"/>
        </w:rPr>
        <w:t>于田县2024年到户产业以奖代补项目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乡振局字</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2</w:t>
      </w:r>
      <w:r>
        <w:rPr>
          <w:rFonts w:hint="eastAsia" w:ascii="仿宋_GB2312"/>
          <w:color w:val="auto"/>
          <w:szCs w:val="32"/>
          <w:highlight w:val="none"/>
        </w:rPr>
        <w:t>号）</w:t>
      </w:r>
      <w:r>
        <w:rPr>
          <w:rFonts w:hint="eastAsia" w:ascii="仿宋_GB2312"/>
          <w:color w:val="auto"/>
          <w:highlight w:val="none"/>
        </w:rPr>
        <w:t>。</w:t>
      </w:r>
    </w:p>
    <w:p w14:paraId="32C57957">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资金状况：预算资金来源为以乡村振兴衔接资金，文件依据：</w:t>
      </w:r>
      <w:r>
        <w:rPr>
          <w:rFonts w:hint="eastAsia" w:ascii="仿宋_GB2312"/>
          <w:color w:val="auto"/>
          <w:szCs w:val="32"/>
          <w:highlight w:val="none"/>
          <w:lang w:eastAsia="zh-CN"/>
        </w:rPr>
        <w:t>于田县乡村振兴局、</w:t>
      </w:r>
      <w:r>
        <w:rPr>
          <w:rFonts w:hint="eastAsia" w:ascii="仿宋_GB2312"/>
          <w:color w:val="auto"/>
          <w:szCs w:val="32"/>
          <w:highlight w:val="none"/>
        </w:rPr>
        <w:t>于田县财政局</w:t>
      </w:r>
      <w:r>
        <w:rPr>
          <w:rFonts w:hint="eastAsia" w:ascii="仿宋_GB2312"/>
          <w:color w:val="auto"/>
          <w:szCs w:val="32"/>
          <w:highlight w:val="none"/>
          <w:lang w:eastAsia="zh-CN"/>
        </w:rPr>
        <w:t>、</w:t>
      </w:r>
      <w:r>
        <w:rPr>
          <w:rFonts w:hint="eastAsia" w:ascii="仿宋_GB2312"/>
          <w:color w:val="auto"/>
          <w:szCs w:val="32"/>
          <w:highlight w:val="none"/>
          <w:lang w:val="en-US" w:eastAsia="zh-CN"/>
        </w:rPr>
        <w:t>于田县人社局、于田县市场监督管理局、于田县林草局、于田县农业农村局</w:t>
      </w:r>
      <w:r>
        <w:rPr>
          <w:rFonts w:hint="eastAsia" w:ascii="仿宋_GB2312"/>
          <w:color w:val="auto"/>
          <w:szCs w:val="32"/>
          <w:highlight w:val="none"/>
        </w:rPr>
        <w:t>联合下发的《关于</w:t>
      </w:r>
      <w:r>
        <w:rPr>
          <w:rFonts w:hint="eastAsia" w:ascii="仿宋_GB2312"/>
          <w:color w:val="auto"/>
          <w:szCs w:val="32"/>
          <w:highlight w:val="none"/>
          <w:lang w:eastAsia="zh-CN"/>
        </w:rPr>
        <w:t>于田县2024年到户产业以奖代补项目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乡振局字</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2</w:t>
      </w:r>
      <w:r>
        <w:rPr>
          <w:rFonts w:hint="eastAsia" w:ascii="仿宋_GB2312"/>
          <w:color w:val="auto"/>
          <w:szCs w:val="32"/>
          <w:highlight w:val="none"/>
        </w:rPr>
        <w:t>号）</w:t>
      </w:r>
      <w:r>
        <w:rPr>
          <w:rFonts w:hint="eastAsia" w:ascii="仿宋_GB2312"/>
          <w:color w:val="auto"/>
          <w:highlight w:val="none"/>
        </w:rPr>
        <w:t>。</w:t>
      </w:r>
    </w:p>
    <w:p w14:paraId="5584D9C9">
      <w:pPr>
        <w:pStyle w:val="54"/>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11</w:t>
      </w:r>
      <w:r>
        <w:rPr>
          <w:rFonts w:hint="eastAsia" w:ascii="仿宋_GB2312"/>
          <w:color w:val="auto"/>
          <w:highlight w:val="none"/>
        </w:rPr>
        <w:t>月完工。</w:t>
      </w:r>
    </w:p>
    <w:p w14:paraId="3CD4AC0F">
      <w:pPr>
        <w:pStyle w:val="54"/>
        <w:spacing w:line="560" w:lineRule="exact"/>
        <w:ind w:left="3" w:right="3" w:firstLine="560"/>
        <w:rPr>
          <w:rFonts w:ascii="仿宋_GB2312"/>
          <w:color w:val="auto"/>
          <w:highlight w:val="none"/>
        </w:rPr>
      </w:pPr>
      <w:r>
        <w:rPr>
          <w:rFonts w:hint="eastAsia" w:ascii="仿宋_GB2312"/>
          <w:color w:val="auto"/>
          <w:highlight w:val="none"/>
        </w:rPr>
        <w:t>结果状况：</w:t>
      </w:r>
      <w:r>
        <w:rPr>
          <w:rFonts w:ascii="仿宋" w:hAnsi="仿宋" w:eastAsia="仿宋" w:cs="仿宋"/>
          <w:color w:val="auto"/>
          <w:spacing w:val="7"/>
          <w:sz w:val="28"/>
          <w:szCs w:val="28"/>
          <w:highlight w:val="none"/>
        </w:rPr>
        <w:t>2024年12月，已完成发放</w:t>
      </w:r>
      <w:bookmarkStart w:id="6" w:name="_GoBack"/>
      <w:bookmarkEnd w:id="6"/>
      <w:r>
        <w:rPr>
          <w:rFonts w:ascii="仿宋" w:hAnsi="仿宋" w:eastAsia="仿宋" w:cs="仿宋"/>
          <w:color w:val="auto"/>
          <w:spacing w:val="7"/>
          <w:sz w:val="28"/>
          <w:szCs w:val="28"/>
          <w:highlight w:val="none"/>
        </w:rPr>
        <w:t>补助金额</w:t>
      </w:r>
      <w:r>
        <w:rPr>
          <w:rFonts w:hint="eastAsia" w:ascii="仿宋" w:hAnsi="仿宋" w:eastAsia="仿宋" w:cs="仿宋"/>
          <w:color w:val="auto"/>
          <w:spacing w:val="7"/>
          <w:sz w:val="28"/>
          <w:szCs w:val="28"/>
          <w:highlight w:val="none"/>
        </w:rPr>
        <w:t>14432.18</w:t>
      </w:r>
      <w:r>
        <w:rPr>
          <w:rFonts w:ascii="仿宋" w:hAnsi="仿宋" w:eastAsia="仿宋" w:cs="仿宋"/>
          <w:color w:val="auto"/>
          <w:spacing w:val="7"/>
          <w:sz w:val="28"/>
          <w:szCs w:val="28"/>
          <w:highlight w:val="none"/>
        </w:rPr>
        <w:t>万元</w:t>
      </w:r>
      <w:r>
        <w:rPr>
          <w:rFonts w:hint="eastAsia" w:ascii="仿宋_GB2312"/>
          <w:color w:val="auto"/>
          <w:highlight w:val="none"/>
        </w:rPr>
        <w:t>。</w:t>
      </w:r>
    </w:p>
    <w:p w14:paraId="62A4CE36">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708C9DE9">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于田县2024年到户产业以奖代补项目</w:t>
      </w:r>
      <w:r>
        <w:rPr>
          <w:rFonts w:hint="eastAsia" w:ascii="仿宋_GB2312" w:hAnsi="Times New Roman" w:eastAsia="仿宋_GB2312" w:cs="Times New Roman"/>
          <w:sz w:val="28"/>
          <w:highlight w:val="none"/>
        </w:rPr>
        <w:t>资金安排、使用过程中严格执行乡村振兴项目资金管理制度，确保乡村振兴</w:t>
      </w:r>
      <w:r>
        <w:rPr>
          <w:rFonts w:hint="eastAsia" w:ascii="仿宋_GB2312" w:hAnsi="Times New Roman" w:eastAsia="仿宋_GB2312" w:cs="Times New Roman"/>
          <w:sz w:val="28"/>
          <w:highlight w:val="none"/>
          <w:lang w:val="en-US" w:eastAsia="zh-CN"/>
        </w:rPr>
        <w:t>的</w:t>
      </w:r>
      <w:r>
        <w:rPr>
          <w:rFonts w:hint="eastAsia" w:ascii="仿宋_GB2312" w:hAnsi="Times New Roman" w:eastAsia="仿宋_GB2312" w:cs="Times New Roman"/>
          <w:sz w:val="28"/>
          <w:highlight w:val="none"/>
        </w:rPr>
        <w:t>项目正常运行为构建长效稳定奠定物质基础。</w:t>
      </w:r>
    </w:p>
    <w:p w14:paraId="3F77A050">
      <w:pPr>
        <w:spacing w:line="560" w:lineRule="exact"/>
        <w:ind w:firstLine="562" w:firstLineChars="200"/>
        <w:rPr>
          <w:rStyle w:val="21"/>
          <w:rFonts w:ascii="楷体_GB2312"/>
          <w:sz w:val="28"/>
          <w:highlight w:val="none"/>
        </w:rPr>
      </w:pPr>
      <w:r>
        <w:rPr>
          <w:rStyle w:val="21"/>
          <w:rFonts w:hint="eastAsia" w:ascii="楷体_GB2312"/>
          <w:sz w:val="28"/>
          <w:highlight w:val="none"/>
        </w:rPr>
        <w:t>（四）存在的问题</w:t>
      </w:r>
    </w:p>
    <w:p w14:paraId="15F736D2">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于田县2024年到户产业以奖代补项目</w:t>
      </w:r>
      <w:r>
        <w:rPr>
          <w:rFonts w:hint="eastAsia" w:ascii="仿宋_GB2312" w:hAnsi="Times New Roman" w:eastAsia="仿宋_GB2312" w:cs="Times New Roman"/>
          <w:sz w:val="28"/>
          <w:highlight w:val="none"/>
          <w:lang w:val="en-US" w:eastAsia="zh-CN"/>
        </w:rPr>
        <w:t>前期手续办理审批缓慢的问题，由于各单位年初业务繁忙，出具各类材料需要一定时间，导致办理材料缓慢，招投标后滞</w:t>
      </w:r>
      <w:r>
        <w:rPr>
          <w:rFonts w:hint="eastAsia" w:ascii="仿宋_GB2312" w:hAnsi="Times New Roman" w:eastAsia="仿宋_GB2312" w:cs="Times New Roman"/>
          <w:sz w:val="28"/>
          <w:highlight w:val="none"/>
        </w:rPr>
        <w:t>。</w:t>
      </w:r>
    </w:p>
    <w:p w14:paraId="4A50BE33">
      <w:pPr>
        <w:spacing w:line="560" w:lineRule="exact"/>
        <w:ind w:firstLine="562" w:firstLineChars="200"/>
        <w:rPr>
          <w:rStyle w:val="21"/>
          <w:rFonts w:ascii="楷体_GB2312"/>
          <w:sz w:val="28"/>
          <w:highlight w:val="none"/>
        </w:rPr>
      </w:pPr>
      <w:r>
        <w:rPr>
          <w:rStyle w:val="21"/>
          <w:rFonts w:hint="eastAsia" w:ascii="楷体_GB2312"/>
          <w:sz w:val="28"/>
          <w:highlight w:val="none"/>
        </w:rPr>
        <w:t>（五）建议</w:t>
      </w:r>
    </w:p>
    <w:p w14:paraId="7A409ED9">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rPr>
        <w:t>后续要加强项目监督</w:t>
      </w:r>
      <w:r>
        <w:rPr>
          <w:rFonts w:hint="eastAsia" w:ascii="仿宋_GB2312" w:hAnsi="Times New Roman" w:eastAsia="仿宋_GB2312" w:cs="Times New Roman"/>
          <w:sz w:val="28"/>
          <w:highlight w:val="none"/>
          <w:lang w:val="en-US" w:eastAsia="zh-CN"/>
        </w:rPr>
        <w:t>管理</w:t>
      </w:r>
      <w:r>
        <w:rPr>
          <w:rFonts w:hint="eastAsia" w:ascii="仿宋_GB2312" w:hAnsi="Times New Roman" w:eastAsia="仿宋_GB2312" w:cs="Times New Roman"/>
          <w:sz w:val="28"/>
          <w:highlight w:val="none"/>
        </w:rPr>
        <w:t>力度，严格执行乡村振兴项目管理制度，确保乡村振兴项目正常运行。建立健全资产管理体制和运行机制，持续发挥资产扶持效益，确保资产运行安全，管理高效；为构建长效稳定的乡村振兴环境奠定物质基础。</w:t>
      </w:r>
    </w:p>
    <w:p w14:paraId="1FD31631">
      <w:pPr>
        <w:spacing w:line="560" w:lineRule="exact"/>
        <w:ind w:firstLine="562" w:firstLineChars="200"/>
        <w:rPr>
          <w:rStyle w:val="21"/>
          <w:rFonts w:ascii="楷体_GB2312"/>
          <w:sz w:val="28"/>
          <w:highlight w:val="none"/>
        </w:rPr>
      </w:pPr>
      <w:r>
        <w:rPr>
          <w:rStyle w:val="21"/>
          <w:rFonts w:hint="eastAsia" w:ascii="楷体_GB2312"/>
          <w:sz w:val="28"/>
          <w:highlight w:val="none"/>
        </w:rPr>
        <w:t>（六）项目绩效公告公示情况</w:t>
      </w:r>
    </w:p>
    <w:p w14:paraId="2FF85362">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w:t>
      </w:r>
      <w:r>
        <w:rPr>
          <w:rFonts w:hint="eastAsia" w:ascii="仿宋_GB2312"/>
          <w:color w:val="auto"/>
          <w:highlight w:val="none"/>
          <w:lang w:val="en-US" w:eastAsia="zh-CN"/>
        </w:rPr>
        <w:t>张贴</w:t>
      </w:r>
      <w:r>
        <w:rPr>
          <w:rFonts w:hint="eastAsia" w:ascii="仿宋_GB2312"/>
          <w:color w:val="auto"/>
          <w:highlight w:val="none"/>
        </w:rPr>
        <w:t>公示向社会</w:t>
      </w:r>
      <w:r>
        <w:rPr>
          <w:rFonts w:hint="eastAsia" w:ascii="仿宋_GB2312"/>
          <w:color w:val="auto"/>
          <w:highlight w:val="none"/>
          <w:lang w:val="en-US" w:eastAsia="zh-CN"/>
        </w:rPr>
        <w:t>群众</w:t>
      </w:r>
      <w:r>
        <w:rPr>
          <w:rFonts w:hint="eastAsia" w:ascii="仿宋_GB2312"/>
          <w:color w:val="auto"/>
          <w:highlight w:val="none"/>
        </w:rPr>
        <w:t>公开，接受社会</w:t>
      </w:r>
      <w:r>
        <w:rPr>
          <w:rFonts w:hint="eastAsia" w:ascii="仿宋_GB2312"/>
          <w:color w:val="auto"/>
          <w:highlight w:val="none"/>
          <w:lang w:val="en-US" w:eastAsia="zh-CN"/>
        </w:rPr>
        <w:t>群众的</w:t>
      </w:r>
      <w:r>
        <w:rPr>
          <w:rFonts w:hint="eastAsia" w:ascii="仿宋_GB2312"/>
          <w:color w:val="auto"/>
          <w:highlight w:val="none"/>
        </w:rPr>
        <w:t>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260E132C">
        <w:pPr>
          <w:pStyle w:val="15"/>
          <w:jc w:val="center"/>
        </w:pPr>
        <w:r>
          <w:fldChar w:fldCharType="begin"/>
        </w:r>
        <w:r>
          <w:instrText xml:space="preserve">PAGE   \* MERGEFORMAT</w:instrText>
        </w:r>
        <w:r>
          <w:fldChar w:fldCharType="separate"/>
        </w:r>
        <w:r>
          <w:rPr>
            <w:lang w:val="zh-CN"/>
          </w:rPr>
          <w:t>1</w:t>
        </w:r>
        <w:r>
          <w:fldChar w:fldCharType="end"/>
        </w:r>
      </w:p>
    </w:sdtContent>
  </w:sdt>
  <w:p w14:paraId="4A32F7C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04601">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3FBF"/>
    <w:rsid w:val="00407329"/>
    <w:rsid w:val="0042774A"/>
    <w:rsid w:val="00433105"/>
    <w:rsid w:val="0043529B"/>
    <w:rsid w:val="00444004"/>
    <w:rsid w:val="004447F6"/>
    <w:rsid w:val="00452A7B"/>
    <w:rsid w:val="004765F9"/>
    <w:rsid w:val="004B2577"/>
    <w:rsid w:val="004D19E3"/>
    <w:rsid w:val="004E156F"/>
    <w:rsid w:val="004F278C"/>
    <w:rsid w:val="004F71F5"/>
    <w:rsid w:val="00502531"/>
    <w:rsid w:val="005033D8"/>
    <w:rsid w:val="00545496"/>
    <w:rsid w:val="005469CF"/>
    <w:rsid w:val="00550BD8"/>
    <w:rsid w:val="00561ADC"/>
    <w:rsid w:val="005B4348"/>
    <w:rsid w:val="005B7749"/>
    <w:rsid w:val="005D7C18"/>
    <w:rsid w:val="005F7D5D"/>
    <w:rsid w:val="00600873"/>
    <w:rsid w:val="00601C6E"/>
    <w:rsid w:val="00607547"/>
    <w:rsid w:val="00642C18"/>
    <w:rsid w:val="00661281"/>
    <w:rsid w:val="00661CC0"/>
    <w:rsid w:val="00696A43"/>
    <w:rsid w:val="006C2EB3"/>
    <w:rsid w:val="006F23BE"/>
    <w:rsid w:val="00702BA4"/>
    <w:rsid w:val="00704F2C"/>
    <w:rsid w:val="00713A95"/>
    <w:rsid w:val="00731B8F"/>
    <w:rsid w:val="007658DB"/>
    <w:rsid w:val="00783147"/>
    <w:rsid w:val="007C501F"/>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335C"/>
    <w:rsid w:val="00956D07"/>
    <w:rsid w:val="00995842"/>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A4"/>
    <w:rsid w:val="00DC00CB"/>
    <w:rsid w:val="00DE5C9F"/>
    <w:rsid w:val="00E20066"/>
    <w:rsid w:val="00E215D5"/>
    <w:rsid w:val="00E231E6"/>
    <w:rsid w:val="00E35D4C"/>
    <w:rsid w:val="00E36AF4"/>
    <w:rsid w:val="00E417AF"/>
    <w:rsid w:val="00E5760D"/>
    <w:rsid w:val="00E62F01"/>
    <w:rsid w:val="00E65E86"/>
    <w:rsid w:val="00E66C44"/>
    <w:rsid w:val="00E70807"/>
    <w:rsid w:val="00E72FF5"/>
    <w:rsid w:val="00E952C7"/>
    <w:rsid w:val="00EB734B"/>
    <w:rsid w:val="00EE2F0B"/>
    <w:rsid w:val="00F326A5"/>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736731"/>
    <w:rsid w:val="01A36CEE"/>
    <w:rsid w:val="023D5371"/>
    <w:rsid w:val="027F63AE"/>
    <w:rsid w:val="0325119A"/>
    <w:rsid w:val="03A2602A"/>
    <w:rsid w:val="046B096A"/>
    <w:rsid w:val="04BF4CB7"/>
    <w:rsid w:val="04E00A6C"/>
    <w:rsid w:val="04EA72FB"/>
    <w:rsid w:val="05215FE5"/>
    <w:rsid w:val="05437E33"/>
    <w:rsid w:val="05B820E5"/>
    <w:rsid w:val="05C25A64"/>
    <w:rsid w:val="05F873C5"/>
    <w:rsid w:val="0624235D"/>
    <w:rsid w:val="0674200F"/>
    <w:rsid w:val="069350E4"/>
    <w:rsid w:val="071163A2"/>
    <w:rsid w:val="082F368D"/>
    <w:rsid w:val="08E9274D"/>
    <w:rsid w:val="09122105"/>
    <w:rsid w:val="09320078"/>
    <w:rsid w:val="09582602"/>
    <w:rsid w:val="099A3488"/>
    <w:rsid w:val="0A2C3DE4"/>
    <w:rsid w:val="0A7040FF"/>
    <w:rsid w:val="0A89784F"/>
    <w:rsid w:val="0A9F3016"/>
    <w:rsid w:val="0AD23243"/>
    <w:rsid w:val="0AF36AD9"/>
    <w:rsid w:val="0B091BAB"/>
    <w:rsid w:val="0B5C3D1B"/>
    <w:rsid w:val="0B5D0F4E"/>
    <w:rsid w:val="0BF34E7C"/>
    <w:rsid w:val="0C864FA9"/>
    <w:rsid w:val="0D3716DE"/>
    <w:rsid w:val="0DB4343E"/>
    <w:rsid w:val="0DC50F98"/>
    <w:rsid w:val="0F97689C"/>
    <w:rsid w:val="0FA14A05"/>
    <w:rsid w:val="0FB70F16"/>
    <w:rsid w:val="0FB8469B"/>
    <w:rsid w:val="10201226"/>
    <w:rsid w:val="10C57A75"/>
    <w:rsid w:val="1151736E"/>
    <w:rsid w:val="11E73444"/>
    <w:rsid w:val="11F44487"/>
    <w:rsid w:val="12287FF3"/>
    <w:rsid w:val="12866486"/>
    <w:rsid w:val="132976D6"/>
    <w:rsid w:val="135C30B0"/>
    <w:rsid w:val="13A045BD"/>
    <w:rsid w:val="13A75678"/>
    <w:rsid w:val="141875ED"/>
    <w:rsid w:val="14523BDA"/>
    <w:rsid w:val="159439AC"/>
    <w:rsid w:val="162A5F70"/>
    <w:rsid w:val="17526E1E"/>
    <w:rsid w:val="17533BBD"/>
    <w:rsid w:val="17A84B25"/>
    <w:rsid w:val="17D6183A"/>
    <w:rsid w:val="18B71A64"/>
    <w:rsid w:val="1A234C7E"/>
    <w:rsid w:val="1A333A01"/>
    <w:rsid w:val="1B62698C"/>
    <w:rsid w:val="1B90020D"/>
    <w:rsid w:val="1B9B4C54"/>
    <w:rsid w:val="1C954FC9"/>
    <w:rsid w:val="1CD354D4"/>
    <w:rsid w:val="1DF256D0"/>
    <w:rsid w:val="1E4725ED"/>
    <w:rsid w:val="1EA401EE"/>
    <w:rsid w:val="1F3504A2"/>
    <w:rsid w:val="1F8C05C5"/>
    <w:rsid w:val="1FD0538F"/>
    <w:rsid w:val="1FEE39F6"/>
    <w:rsid w:val="1FF170A8"/>
    <w:rsid w:val="204121A1"/>
    <w:rsid w:val="20885025"/>
    <w:rsid w:val="20925BC1"/>
    <w:rsid w:val="21304794"/>
    <w:rsid w:val="21421357"/>
    <w:rsid w:val="21A50045"/>
    <w:rsid w:val="21C01FC7"/>
    <w:rsid w:val="22602296"/>
    <w:rsid w:val="23377FF5"/>
    <w:rsid w:val="23536B82"/>
    <w:rsid w:val="23F863C1"/>
    <w:rsid w:val="24577D9F"/>
    <w:rsid w:val="245B4C98"/>
    <w:rsid w:val="246C1FF7"/>
    <w:rsid w:val="253D3738"/>
    <w:rsid w:val="262C5472"/>
    <w:rsid w:val="263E0D0F"/>
    <w:rsid w:val="264E5A71"/>
    <w:rsid w:val="28135D8C"/>
    <w:rsid w:val="28604CF3"/>
    <w:rsid w:val="2926098E"/>
    <w:rsid w:val="297124F0"/>
    <w:rsid w:val="2A7F41CD"/>
    <w:rsid w:val="2A9E46AE"/>
    <w:rsid w:val="2AC45C7E"/>
    <w:rsid w:val="2AFD4B9D"/>
    <w:rsid w:val="2B016451"/>
    <w:rsid w:val="2B11642F"/>
    <w:rsid w:val="2B225615"/>
    <w:rsid w:val="2B483BDB"/>
    <w:rsid w:val="2BDA0ABF"/>
    <w:rsid w:val="2BEF7C4A"/>
    <w:rsid w:val="2BFE6C33"/>
    <w:rsid w:val="2C660DB7"/>
    <w:rsid w:val="2CA34B02"/>
    <w:rsid w:val="2D110667"/>
    <w:rsid w:val="2D511F32"/>
    <w:rsid w:val="2DA22198"/>
    <w:rsid w:val="2DF33037"/>
    <w:rsid w:val="2E54551A"/>
    <w:rsid w:val="2EAC278D"/>
    <w:rsid w:val="2EC54364"/>
    <w:rsid w:val="2F124362"/>
    <w:rsid w:val="2FED5C8C"/>
    <w:rsid w:val="300656CD"/>
    <w:rsid w:val="304D74FC"/>
    <w:rsid w:val="30DA0BA0"/>
    <w:rsid w:val="31FB7B74"/>
    <w:rsid w:val="32C46296"/>
    <w:rsid w:val="335847DE"/>
    <w:rsid w:val="3364758B"/>
    <w:rsid w:val="33A8668E"/>
    <w:rsid w:val="34156198"/>
    <w:rsid w:val="346409FF"/>
    <w:rsid w:val="357771EF"/>
    <w:rsid w:val="35AA5315"/>
    <w:rsid w:val="372F515E"/>
    <w:rsid w:val="37452596"/>
    <w:rsid w:val="375600DD"/>
    <w:rsid w:val="37FF5646"/>
    <w:rsid w:val="38136AE8"/>
    <w:rsid w:val="38E4611E"/>
    <w:rsid w:val="3919044F"/>
    <w:rsid w:val="3A0E3E2A"/>
    <w:rsid w:val="3A174BC2"/>
    <w:rsid w:val="3A4B3943"/>
    <w:rsid w:val="3B2E21A8"/>
    <w:rsid w:val="3BE92741"/>
    <w:rsid w:val="3C761742"/>
    <w:rsid w:val="3C7D70DA"/>
    <w:rsid w:val="3CD3075D"/>
    <w:rsid w:val="3D2402FF"/>
    <w:rsid w:val="3D5E1131"/>
    <w:rsid w:val="3DE83B12"/>
    <w:rsid w:val="3E0E1B79"/>
    <w:rsid w:val="3E982E81"/>
    <w:rsid w:val="3EB850CA"/>
    <w:rsid w:val="3EC60EA1"/>
    <w:rsid w:val="408849DF"/>
    <w:rsid w:val="40D64F3C"/>
    <w:rsid w:val="4133059C"/>
    <w:rsid w:val="413E720B"/>
    <w:rsid w:val="416A6F9C"/>
    <w:rsid w:val="4174622E"/>
    <w:rsid w:val="41D01D50"/>
    <w:rsid w:val="41D51F7A"/>
    <w:rsid w:val="426A289B"/>
    <w:rsid w:val="42726E7A"/>
    <w:rsid w:val="431662FD"/>
    <w:rsid w:val="432F5109"/>
    <w:rsid w:val="436E06D9"/>
    <w:rsid w:val="43AD0DDB"/>
    <w:rsid w:val="43E64511"/>
    <w:rsid w:val="44F11970"/>
    <w:rsid w:val="44FD32E9"/>
    <w:rsid w:val="450C05A0"/>
    <w:rsid w:val="46AB12E9"/>
    <w:rsid w:val="47EE44C2"/>
    <w:rsid w:val="48BE4CA5"/>
    <w:rsid w:val="490C5A11"/>
    <w:rsid w:val="492D3872"/>
    <w:rsid w:val="497D2C28"/>
    <w:rsid w:val="497E2462"/>
    <w:rsid w:val="49886878"/>
    <w:rsid w:val="498C0DBC"/>
    <w:rsid w:val="49A3515D"/>
    <w:rsid w:val="4B092D88"/>
    <w:rsid w:val="4BBC6310"/>
    <w:rsid w:val="4C434013"/>
    <w:rsid w:val="4CB35B87"/>
    <w:rsid w:val="4E9B2184"/>
    <w:rsid w:val="4ED6413C"/>
    <w:rsid w:val="4EEC5350"/>
    <w:rsid w:val="4F026A9E"/>
    <w:rsid w:val="500D03F4"/>
    <w:rsid w:val="501F2FAD"/>
    <w:rsid w:val="50493837"/>
    <w:rsid w:val="535B77F4"/>
    <w:rsid w:val="53A91B52"/>
    <w:rsid w:val="53E26203"/>
    <w:rsid w:val="54174C1E"/>
    <w:rsid w:val="54694136"/>
    <w:rsid w:val="55AB4CFC"/>
    <w:rsid w:val="566A57D0"/>
    <w:rsid w:val="56BC14CC"/>
    <w:rsid w:val="57040EC7"/>
    <w:rsid w:val="57B40121"/>
    <w:rsid w:val="58541C04"/>
    <w:rsid w:val="5A346B49"/>
    <w:rsid w:val="5A3C6825"/>
    <w:rsid w:val="5AD81B33"/>
    <w:rsid w:val="5B1512D5"/>
    <w:rsid w:val="5B5D3CAE"/>
    <w:rsid w:val="5BC91F40"/>
    <w:rsid w:val="5C7D248A"/>
    <w:rsid w:val="5CB828A6"/>
    <w:rsid w:val="5CE74F49"/>
    <w:rsid w:val="5D4C56C2"/>
    <w:rsid w:val="5D5440F0"/>
    <w:rsid w:val="5F4D1074"/>
    <w:rsid w:val="5F520297"/>
    <w:rsid w:val="5F8B0AD9"/>
    <w:rsid w:val="5FB243FD"/>
    <w:rsid w:val="5FF86F82"/>
    <w:rsid w:val="60637B98"/>
    <w:rsid w:val="608A742D"/>
    <w:rsid w:val="60F66654"/>
    <w:rsid w:val="612E12B4"/>
    <w:rsid w:val="614C3496"/>
    <w:rsid w:val="615C0468"/>
    <w:rsid w:val="61B55E70"/>
    <w:rsid w:val="631244BB"/>
    <w:rsid w:val="63325C32"/>
    <w:rsid w:val="63AE6093"/>
    <w:rsid w:val="63D85922"/>
    <w:rsid w:val="64001A54"/>
    <w:rsid w:val="647916AD"/>
    <w:rsid w:val="64EF6A61"/>
    <w:rsid w:val="655734E6"/>
    <w:rsid w:val="657168A7"/>
    <w:rsid w:val="669A5A6D"/>
    <w:rsid w:val="66D43F30"/>
    <w:rsid w:val="67B12F99"/>
    <w:rsid w:val="68912E4E"/>
    <w:rsid w:val="6924556C"/>
    <w:rsid w:val="694556F4"/>
    <w:rsid w:val="694614B9"/>
    <w:rsid w:val="69E97C41"/>
    <w:rsid w:val="6A665AA7"/>
    <w:rsid w:val="6A7E2834"/>
    <w:rsid w:val="6B2230D1"/>
    <w:rsid w:val="6B4822F6"/>
    <w:rsid w:val="6B5F25A8"/>
    <w:rsid w:val="6B7E0FAB"/>
    <w:rsid w:val="6BE95382"/>
    <w:rsid w:val="6CD67BA3"/>
    <w:rsid w:val="6D046BC7"/>
    <w:rsid w:val="6D13641E"/>
    <w:rsid w:val="6D6B2DE0"/>
    <w:rsid w:val="6D7C6132"/>
    <w:rsid w:val="6DC67C57"/>
    <w:rsid w:val="6DED7F18"/>
    <w:rsid w:val="6DF73EA8"/>
    <w:rsid w:val="6E39648E"/>
    <w:rsid w:val="6E4938EE"/>
    <w:rsid w:val="6F077459"/>
    <w:rsid w:val="6F191B51"/>
    <w:rsid w:val="701461CD"/>
    <w:rsid w:val="706C5DBD"/>
    <w:rsid w:val="70A252BC"/>
    <w:rsid w:val="70BA3762"/>
    <w:rsid w:val="713A7232"/>
    <w:rsid w:val="71483911"/>
    <w:rsid w:val="71BA7F04"/>
    <w:rsid w:val="72660665"/>
    <w:rsid w:val="72E865A1"/>
    <w:rsid w:val="72EF04C8"/>
    <w:rsid w:val="733623C7"/>
    <w:rsid w:val="73A07546"/>
    <w:rsid w:val="74702F2D"/>
    <w:rsid w:val="74E813F3"/>
    <w:rsid w:val="752641FD"/>
    <w:rsid w:val="75603B4D"/>
    <w:rsid w:val="75767500"/>
    <w:rsid w:val="75CD43A0"/>
    <w:rsid w:val="76035AD7"/>
    <w:rsid w:val="763871F0"/>
    <w:rsid w:val="7742427D"/>
    <w:rsid w:val="779305BF"/>
    <w:rsid w:val="77DF1A43"/>
    <w:rsid w:val="78403E44"/>
    <w:rsid w:val="78BB7C56"/>
    <w:rsid w:val="794762A8"/>
    <w:rsid w:val="7A172DC9"/>
    <w:rsid w:val="7B38751A"/>
    <w:rsid w:val="7BD608AD"/>
    <w:rsid w:val="7C337EA2"/>
    <w:rsid w:val="7CD556A1"/>
    <w:rsid w:val="7CE52B42"/>
    <w:rsid w:val="7D0A1326"/>
    <w:rsid w:val="7D20786B"/>
    <w:rsid w:val="7DEC3FDC"/>
    <w:rsid w:val="7E173876"/>
    <w:rsid w:val="7F00709B"/>
    <w:rsid w:val="7F1722A1"/>
    <w:rsid w:val="7FAD3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4">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5">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6">
    <w:name w:val="heading 3"/>
    <w:basedOn w:val="1"/>
    <w:next w:val="1"/>
    <w:link w:val="25"/>
    <w:qFormat/>
    <w:uiPriority w:val="9"/>
    <w:pPr>
      <w:keepNext/>
      <w:keepLines/>
      <w:spacing w:before="260" w:after="260" w:line="415" w:lineRule="auto"/>
      <w:outlineLvl w:val="2"/>
    </w:pPr>
    <w:rPr>
      <w:rFonts w:cs="宋体"/>
      <w:b/>
      <w:bCs/>
      <w:szCs w:val="32"/>
    </w:rPr>
  </w:style>
  <w:style w:type="paragraph" w:styleId="7">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8">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9">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64"/>
    <w:qFormat/>
    <w:uiPriority w:val="9"/>
    <w:pPr>
      <w:keepNext/>
      <w:keepLines/>
      <w:spacing w:before="240" w:after="64" w:line="320" w:lineRule="auto"/>
      <w:outlineLvl w:val="6"/>
    </w:pPr>
    <w:rPr>
      <w:b/>
      <w:bCs/>
      <w:sz w:val="24"/>
      <w:szCs w:val="24"/>
    </w:rPr>
  </w:style>
  <w:style w:type="paragraph" w:styleId="11">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firstLineChars="200"/>
    </w:pPr>
  </w:style>
  <w:style w:type="paragraph" w:customStyle="1" w:styleId="3">
    <w:name w:val="正文文本缩进1"/>
    <w:basedOn w:val="1"/>
    <w:qFormat/>
    <w:uiPriority w:val="0"/>
    <w:pPr>
      <w:spacing w:after="120"/>
      <w:ind w:left="420" w:leftChars="200"/>
    </w:pPr>
  </w:style>
  <w:style w:type="paragraph" w:styleId="13">
    <w:name w:val="annotation text"/>
    <w:basedOn w:val="1"/>
    <w:link w:val="69"/>
    <w:semiHidden/>
    <w:unhideWhenUsed/>
    <w:qFormat/>
    <w:uiPriority w:val="99"/>
    <w:pPr>
      <w:jc w:val="left"/>
    </w:p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3"/>
    <w:next w:val="13"/>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4"/>
    <w:qFormat/>
    <w:locked/>
    <w:uiPriority w:val="9"/>
    <w:rPr>
      <w:b/>
      <w:bCs/>
      <w:kern w:val="44"/>
      <w:sz w:val="44"/>
      <w:szCs w:val="44"/>
    </w:rPr>
  </w:style>
  <w:style w:type="character" w:customStyle="1" w:styleId="24">
    <w:name w:val="标题 2 字符"/>
    <w:basedOn w:val="20"/>
    <w:link w:val="5"/>
    <w:semiHidden/>
    <w:qFormat/>
    <w:locked/>
    <w:uiPriority w:val="9"/>
    <w:rPr>
      <w:rFonts w:hint="eastAsia" w:asciiTheme="majorHAnsi" w:hAnsiTheme="majorHAnsi" w:eastAsiaTheme="majorEastAsia" w:cstheme="majorBidi"/>
      <w:b/>
      <w:bCs/>
      <w:sz w:val="32"/>
      <w:szCs w:val="32"/>
    </w:rPr>
  </w:style>
  <w:style w:type="character" w:customStyle="1" w:styleId="25">
    <w:name w:val="标题 3 字符"/>
    <w:basedOn w:val="20"/>
    <w:link w:val="6"/>
    <w:semiHidden/>
    <w:qFormat/>
    <w:locked/>
    <w:uiPriority w:val="9"/>
    <w:rPr>
      <w:b/>
      <w:bCs/>
      <w:sz w:val="32"/>
      <w:szCs w:val="32"/>
    </w:rPr>
  </w:style>
  <w:style w:type="character" w:customStyle="1" w:styleId="26">
    <w:name w:val="标题 4 字符"/>
    <w:basedOn w:val="20"/>
    <w:link w:val="7"/>
    <w:semiHidden/>
    <w:qFormat/>
    <w:locked/>
    <w:uiPriority w:val="9"/>
    <w:rPr>
      <w:rFonts w:hint="eastAsia" w:asciiTheme="majorHAnsi" w:hAnsiTheme="majorHAnsi" w:eastAsiaTheme="majorEastAsia" w:cstheme="majorBidi"/>
      <w:b/>
      <w:bCs/>
      <w:sz w:val="28"/>
      <w:szCs w:val="28"/>
    </w:rPr>
  </w:style>
  <w:style w:type="character" w:customStyle="1" w:styleId="27">
    <w:name w:val="标题 5 字符"/>
    <w:basedOn w:val="20"/>
    <w:link w:val="8"/>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4"/>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5"/>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6"/>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7"/>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8"/>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字符"/>
    <w:basedOn w:val="20"/>
    <w:link w:val="9"/>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9"/>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字符"/>
    <w:basedOn w:val="20"/>
    <w:link w:val="10"/>
    <w:semiHidden/>
    <w:qFormat/>
    <w:uiPriority w:val="9"/>
    <w:rPr>
      <w:rFonts w:asciiTheme="minorHAnsi" w:hAnsiTheme="minorHAnsi" w:eastAsiaTheme="minorEastAsia"/>
      <w:b/>
      <w:bCs/>
      <w:kern w:val="2"/>
      <w:sz w:val="24"/>
      <w:szCs w:val="24"/>
    </w:rPr>
  </w:style>
  <w:style w:type="character" w:customStyle="1" w:styleId="65">
    <w:name w:val="标题 8 字符"/>
    <w:basedOn w:val="20"/>
    <w:link w:val="11"/>
    <w:semiHidden/>
    <w:qFormat/>
    <w:uiPriority w:val="9"/>
    <w:rPr>
      <w:rFonts w:asciiTheme="majorHAnsi" w:hAnsiTheme="majorHAnsi" w:eastAsiaTheme="majorEastAsia" w:cstheme="majorBidi"/>
      <w:kern w:val="2"/>
      <w:sz w:val="24"/>
      <w:szCs w:val="24"/>
    </w:rPr>
  </w:style>
  <w:style w:type="character" w:customStyle="1" w:styleId="66">
    <w:name w:val="标题 9 字符"/>
    <w:basedOn w:val="20"/>
    <w:link w:val="12"/>
    <w:semiHidden/>
    <w:qFormat/>
    <w:uiPriority w:val="9"/>
    <w:rPr>
      <w:rFonts w:asciiTheme="majorHAnsi" w:hAnsiTheme="majorHAnsi" w:eastAsiaTheme="majorEastAsia" w:cstheme="majorBidi"/>
      <w:kern w:val="2"/>
      <w:sz w:val="21"/>
      <w:szCs w:val="21"/>
    </w:rPr>
  </w:style>
  <w:style w:type="character" w:customStyle="1" w:styleId="67">
    <w:name w:val="页眉 字符"/>
    <w:basedOn w:val="20"/>
    <w:link w:val="16"/>
    <w:qFormat/>
    <w:uiPriority w:val="99"/>
    <w:rPr>
      <w:rFonts w:asciiTheme="minorHAnsi" w:hAnsiTheme="minorHAnsi" w:eastAsiaTheme="minorEastAsia"/>
      <w:kern w:val="2"/>
      <w:sz w:val="18"/>
      <w:szCs w:val="18"/>
    </w:rPr>
  </w:style>
  <w:style w:type="character" w:customStyle="1" w:styleId="68">
    <w:name w:val="页脚 字符"/>
    <w:basedOn w:val="20"/>
    <w:link w:val="15"/>
    <w:qFormat/>
    <w:uiPriority w:val="99"/>
    <w:rPr>
      <w:rFonts w:asciiTheme="minorHAnsi" w:hAnsiTheme="minorHAnsi" w:eastAsiaTheme="minorEastAsia"/>
      <w:kern w:val="2"/>
      <w:sz w:val="18"/>
      <w:szCs w:val="18"/>
    </w:rPr>
  </w:style>
  <w:style w:type="character" w:customStyle="1" w:styleId="69">
    <w:name w:val="批注文字 字符"/>
    <w:basedOn w:val="20"/>
    <w:link w:val="13"/>
    <w:semiHidden/>
    <w:qFormat/>
    <w:uiPriority w:val="99"/>
    <w:rPr>
      <w:rFonts w:asciiTheme="minorHAnsi" w:hAnsiTheme="minorHAnsi" w:eastAsiaTheme="minorEastAsia"/>
      <w:kern w:val="2"/>
      <w:sz w:val="21"/>
      <w:szCs w:val="22"/>
    </w:rPr>
  </w:style>
  <w:style w:type="character" w:customStyle="1" w:styleId="70">
    <w:name w:val="批注主题 字符"/>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字符"/>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13</Pages>
  <Words>3344</Words>
  <Characters>3607</Characters>
  <Lines>60</Lines>
  <Paragraphs>17</Paragraphs>
  <TotalTime>2</TotalTime>
  <ScaleCrop>false</ScaleCrop>
  <LinksUpToDate>false</LinksUpToDate>
  <CharactersWithSpaces>3703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2025-03-11T09:28:12Z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