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8EA348">
      <w:pPr>
        <w:spacing w:before="120" w:after="120" w:line="480" w:lineRule="auto"/>
        <w:ind w:firstLine="883" w:firstLineChars="200"/>
        <w:jc w:val="center"/>
        <w:outlineLvl w:val="0"/>
        <w:rPr>
          <w:rFonts w:ascii="仿宋_GB2312" w:hAnsi="Arial"/>
          <w:b/>
          <w:sz w:val="44"/>
          <w:szCs w:val="44"/>
        </w:rPr>
      </w:pPr>
      <w:bookmarkStart w:id="0" w:name="_GoBack"/>
      <w:bookmarkEnd w:id="0"/>
    </w:p>
    <w:p w14:paraId="62C77506">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D4528A4">
      <w:pPr>
        <w:spacing w:line="700" w:lineRule="exact"/>
        <w:ind w:firstLine="1040" w:firstLineChars="200"/>
        <w:jc w:val="center"/>
        <w:rPr>
          <w:rFonts w:ascii="方正大标宋简体" w:hAnsi="华文中宋" w:eastAsia="方正大标宋简体" w:cs="宋体"/>
          <w:kern w:val="0"/>
          <w:sz w:val="52"/>
          <w:szCs w:val="52"/>
        </w:rPr>
      </w:pPr>
    </w:p>
    <w:p w14:paraId="3C9B85C2">
      <w:pPr>
        <w:spacing w:line="540" w:lineRule="exact"/>
        <w:ind w:firstLine="720" w:firstLineChars="200"/>
        <w:jc w:val="center"/>
        <w:rPr>
          <w:rFonts w:hint="eastAsia"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F8C8253">
      <w:pPr>
        <w:spacing w:line="540" w:lineRule="exact"/>
        <w:ind w:firstLine="600" w:firstLineChars="200"/>
        <w:jc w:val="center"/>
        <w:rPr>
          <w:rFonts w:hAnsi="宋体" w:cs="宋体"/>
          <w:kern w:val="0"/>
          <w:sz w:val="30"/>
          <w:szCs w:val="30"/>
        </w:rPr>
      </w:pPr>
    </w:p>
    <w:p w14:paraId="6E07B6F4">
      <w:pPr>
        <w:spacing w:line="540" w:lineRule="exact"/>
        <w:ind w:firstLine="600" w:firstLineChars="200"/>
        <w:jc w:val="center"/>
        <w:rPr>
          <w:rFonts w:hAnsi="宋体" w:cs="宋体"/>
          <w:kern w:val="0"/>
          <w:sz w:val="30"/>
          <w:szCs w:val="30"/>
        </w:rPr>
      </w:pPr>
    </w:p>
    <w:p w14:paraId="6FFF7EBD">
      <w:pPr>
        <w:spacing w:line="540" w:lineRule="exact"/>
        <w:ind w:firstLine="600" w:firstLineChars="200"/>
        <w:jc w:val="center"/>
        <w:rPr>
          <w:rFonts w:hAnsi="宋体" w:cs="宋体"/>
          <w:kern w:val="0"/>
          <w:sz w:val="30"/>
          <w:szCs w:val="30"/>
        </w:rPr>
      </w:pPr>
    </w:p>
    <w:p w14:paraId="34B0915D">
      <w:pPr>
        <w:spacing w:line="540" w:lineRule="exact"/>
        <w:ind w:firstLine="600" w:firstLineChars="200"/>
        <w:jc w:val="center"/>
        <w:rPr>
          <w:rFonts w:hAnsi="宋体" w:cs="宋体"/>
          <w:kern w:val="0"/>
          <w:sz w:val="30"/>
          <w:szCs w:val="30"/>
        </w:rPr>
      </w:pPr>
    </w:p>
    <w:p w14:paraId="51FB0AF8">
      <w:pPr>
        <w:spacing w:line="540" w:lineRule="exact"/>
        <w:ind w:firstLine="600" w:firstLineChars="200"/>
        <w:rPr>
          <w:rFonts w:hAnsi="宋体" w:cs="宋体"/>
          <w:kern w:val="0"/>
          <w:sz w:val="30"/>
          <w:szCs w:val="30"/>
        </w:rPr>
      </w:pPr>
    </w:p>
    <w:p w14:paraId="69351E1C">
      <w:pPr>
        <w:spacing w:line="540" w:lineRule="exact"/>
        <w:ind w:firstLine="600" w:firstLineChars="200"/>
        <w:rPr>
          <w:rFonts w:hAnsi="宋体" w:cs="宋体"/>
          <w:kern w:val="0"/>
          <w:sz w:val="30"/>
          <w:szCs w:val="30"/>
        </w:rPr>
      </w:pPr>
    </w:p>
    <w:p w14:paraId="00745AE2">
      <w:pPr>
        <w:spacing w:line="360" w:lineRule="auto"/>
        <w:ind w:left="640" w:leftChars="200" w:firstLine="640" w:firstLineChars="200"/>
        <w:rPr>
          <w:rFonts w:ascii="仿宋" w:hAnsi="仿宋" w:eastAsia="仿宋" w:cs="仿宋"/>
          <w:szCs w:val="32"/>
        </w:rPr>
      </w:pPr>
    </w:p>
    <w:p w14:paraId="0A39A0AD">
      <w:pPr>
        <w:spacing w:line="360" w:lineRule="auto"/>
        <w:ind w:left="640" w:leftChars="200" w:firstLine="640" w:firstLineChars="200"/>
        <w:rPr>
          <w:rFonts w:ascii="仿宋" w:hAnsi="仿宋" w:eastAsia="仿宋" w:cs="仿宋"/>
          <w:szCs w:val="32"/>
        </w:rPr>
      </w:pPr>
    </w:p>
    <w:p w14:paraId="49A72D0A">
      <w:pPr>
        <w:spacing w:line="560" w:lineRule="exact"/>
        <w:ind w:left="640" w:leftChars="200" w:firstLine="640" w:firstLineChars="200"/>
        <w:rPr>
          <w:rFonts w:ascii="仿宋" w:hAnsi="仿宋" w:eastAsia="仿宋" w:cs="仿宋"/>
          <w:szCs w:val="32"/>
        </w:rPr>
      </w:pPr>
    </w:p>
    <w:p w14:paraId="7A8725D4">
      <w:pPr>
        <w:spacing w:line="560" w:lineRule="exact"/>
        <w:ind w:left="2880" w:leftChars="200" w:hanging="2240" w:hangingChars="700"/>
        <w:rPr>
          <w:rFonts w:hint="eastAsia" w:ascii="仿宋" w:hAnsi="仿宋" w:eastAsia="仿宋" w:cs="仿宋"/>
          <w:szCs w:val="32"/>
          <w:lang w:eastAsia="zh-CN"/>
        </w:rPr>
      </w:pPr>
      <w:r>
        <w:rPr>
          <w:rFonts w:hint="eastAsia" w:ascii="仿宋" w:hAnsi="仿宋" w:eastAsia="仿宋" w:cs="仿宋"/>
          <w:szCs w:val="32"/>
        </w:rPr>
        <w:t>项  目  名  称:</w:t>
      </w:r>
      <w:r>
        <w:rPr>
          <w:rFonts w:hint="eastAsia" w:ascii="仿宋" w:hAnsi="仿宋" w:eastAsia="仿宋" w:cs="仿宋"/>
          <w:szCs w:val="32"/>
          <w:lang w:eastAsia="zh-CN"/>
        </w:rPr>
        <w:t>于田县2024年老旧大棚维修改造项目</w:t>
      </w:r>
    </w:p>
    <w:p w14:paraId="1F0F4F31">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实施单位(公章):</w:t>
      </w:r>
      <w:r>
        <w:rPr>
          <w:rFonts w:hint="eastAsia" w:ascii="仿宋" w:hAnsi="仿宋" w:eastAsia="仿宋" w:cs="仿宋"/>
          <w:szCs w:val="32"/>
          <w:lang w:val="en-US" w:eastAsia="zh-CN"/>
        </w:rPr>
        <w:t>于田县农业农村局</w:t>
      </w:r>
    </w:p>
    <w:p w14:paraId="168DE2C4">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主管部门(公章):</w:t>
      </w:r>
      <w:r>
        <w:rPr>
          <w:rFonts w:hint="eastAsia" w:ascii="仿宋" w:hAnsi="仿宋" w:eastAsia="仿宋" w:cs="仿宋"/>
          <w:szCs w:val="32"/>
          <w:lang w:val="en-US" w:eastAsia="zh-CN"/>
        </w:rPr>
        <w:t>于田县乡村振兴局</w:t>
      </w:r>
    </w:p>
    <w:p w14:paraId="2B81B18A">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阿布都克热木</w:t>
      </w:r>
    </w:p>
    <w:p w14:paraId="619B7734">
      <w:pPr>
        <w:spacing w:line="560" w:lineRule="exact"/>
        <w:ind w:firstLine="640" w:firstLineChars="200"/>
        <w:rPr>
          <w:rFonts w:hint="eastAsia" w:ascii="仿宋" w:hAnsi="仿宋" w:eastAsia="仿宋" w:cs="仿宋"/>
          <w:szCs w:val="32"/>
        </w:rPr>
      </w:pPr>
      <w:r>
        <w:rPr>
          <w:rFonts w:hint="eastAsia" w:ascii="仿宋" w:hAnsi="仿宋" w:eastAsia="仿宋" w:cs="仿宋"/>
          <w:szCs w:val="32"/>
        </w:rPr>
        <w:t>填  报  时  间:202</w:t>
      </w:r>
      <w:r>
        <w:rPr>
          <w:rFonts w:hint="eastAsia" w:ascii="仿宋" w:hAnsi="仿宋" w:eastAsia="仿宋" w:cs="仿宋"/>
          <w:szCs w:val="32"/>
          <w:lang w:val="en-US" w:eastAsia="zh-CN"/>
        </w:rPr>
        <w:t>5</w:t>
      </w:r>
      <w:r>
        <w:rPr>
          <w:rFonts w:hint="eastAsia" w:ascii="仿宋" w:hAnsi="仿宋" w:eastAsia="仿宋" w:cs="仿宋"/>
          <w:szCs w:val="32"/>
        </w:rPr>
        <w:t>年</w:t>
      </w:r>
      <w:r>
        <w:rPr>
          <w:rFonts w:hint="eastAsia" w:ascii="仿宋" w:hAnsi="仿宋" w:eastAsia="仿宋" w:cs="仿宋"/>
          <w:szCs w:val="32"/>
          <w:lang w:val="en-US" w:eastAsia="zh-CN"/>
        </w:rPr>
        <w:t>2</w:t>
      </w:r>
      <w:r>
        <w:rPr>
          <w:rFonts w:hint="eastAsia" w:ascii="仿宋" w:hAnsi="仿宋" w:eastAsia="仿宋" w:cs="仿宋"/>
          <w:szCs w:val="32"/>
        </w:rPr>
        <w:t>月</w:t>
      </w:r>
      <w:r>
        <w:rPr>
          <w:rFonts w:hint="eastAsia" w:ascii="仿宋" w:hAnsi="仿宋" w:eastAsia="仿宋" w:cs="仿宋"/>
          <w:szCs w:val="32"/>
          <w:lang w:val="en-US" w:eastAsia="zh-CN"/>
        </w:rPr>
        <w:t>18</w:t>
      </w:r>
      <w:r>
        <w:rPr>
          <w:rFonts w:hint="eastAsia" w:ascii="仿宋" w:hAnsi="仿宋" w:eastAsia="仿宋" w:cs="仿宋"/>
          <w:szCs w:val="32"/>
        </w:rPr>
        <w:t>日</w:t>
      </w:r>
    </w:p>
    <w:p w14:paraId="6AA3BC44">
      <w:pPr>
        <w:spacing w:line="360" w:lineRule="auto"/>
        <w:rPr>
          <w:rStyle w:val="20"/>
          <w:rFonts w:ascii="黑体" w:hAnsi="黑体" w:eastAsia="黑体" w:cs="Times New Roman"/>
          <w:spacing w:val="-4"/>
          <w:szCs w:val="32"/>
        </w:rPr>
      </w:pPr>
    </w:p>
    <w:p w14:paraId="00A00ECA">
      <w:pPr>
        <w:pStyle w:val="11"/>
      </w:pPr>
    </w:p>
    <w:p w14:paraId="207ACC75"/>
    <w:p w14:paraId="797F1CD1">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51CDF4D5">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72D6BAE3">
      <w:pPr>
        <w:pStyle w:val="53"/>
        <w:ind w:left="3" w:right="3" w:firstLine="562"/>
        <w:rPr>
          <w:rFonts w:ascii="仿宋_GB2312"/>
          <w:b/>
          <w:szCs w:val="32"/>
        </w:rPr>
      </w:pPr>
      <w:r>
        <w:rPr>
          <w:rFonts w:hint="eastAsia" w:ascii="仿宋_GB2312"/>
          <w:b/>
          <w:szCs w:val="32"/>
        </w:rPr>
        <w:t>1.下达预算情况</w:t>
      </w:r>
    </w:p>
    <w:p w14:paraId="70D6D142">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本项目根据于田县发展和改革委员会下发的《关于对于田县2024年老旧大棚维修改造项目实施方案的批复》（于发改项目〔2024〕169 号）文批复立项实施，于田县2024年老旧大棚维修改造项目预算安排总额为406.8万元，其中：衔接资金406.8万元。预算资金到位率为100.00%。</w:t>
      </w:r>
    </w:p>
    <w:p w14:paraId="627CE982">
      <w:pPr>
        <w:pStyle w:val="53"/>
        <w:ind w:left="3" w:right="3" w:firstLine="562"/>
        <w:rPr>
          <w:rFonts w:hint="eastAsia" w:ascii="仿宋_GB2312" w:hAnsi="Times New Roman" w:cs="Times New Roman"/>
          <w:b/>
          <w:szCs w:val="32"/>
        </w:rPr>
      </w:pPr>
      <w:r>
        <w:rPr>
          <w:rFonts w:hint="eastAsia" w:ascii="仿宋_GB2312" w:hAnsi="Times New Roman" w:cs="Times New Roman"/>
          <w:b/>
          <w:szCs w:val="32"/>
        </w:rPr>
        <w:t>2.项目实施背景</w:t>
      </w:r>
    </w:p>
    <w:p w14:paraId="2A811902">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农业农村农民问题是关系国计民生的根本性问题。习近平总书记高度重视“三农”工作，提出了许多新思想、新理念、新论断。总书记提出：中国要强，农业必须强；中国要美，农村必须美；中国要富，农民必须富；“三个必须”指出“三农”问题是关系中国特色社会主义事业发展的根本性问题，是关系我们党巩固执政基础的全局性问题。以习近平同志为核心的党中央坚持把解决好“三农”问题作为全党工作重中之重，持续加大强农惠农富农政策力度，持续保障和改善民生，扎实推进农业现代化和新农村建设，不断深化农村改革，激发农村新的发展活力，切实把农业农村优先发展落到实处。</w:t>
      </w:r>
    </w:p>
    <w:p w14:paraId="0D8F855E">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近年来，于田县各级部门紧紧围绕推进农业供给侧结构性改革这一主线，加快培育发展新动能，全力促进反季节水果生产稳定发展、保障市场均衡供应，为丰富“菜篮子”供应、增加农民收入发挥了重要作用。面临新形势和新要求，蔬菜产业发展还存在不少困难和问题。</w:t>
      </w:r>
    </w:p>
    <w:p w14:paraId="7FAE1197">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目前于田县奥依托格拉克乡，加依乡，科克亚乡，老城区街道办事处，木尕拉镇，先拜巴扎镇农业设施大棚建设已成规模，但现状大棚附属设施较为落后，经调查统计，项目所在各乡镇 336 座大棚存在棉被破损、塑料棚膜损坏等现象，急需维修改造，且反季果蔬大棚在和田地区的种植面积仍处于小范围生产，基于大众对反季果蔬的营养价值和口感的认可，怎样能够满足和田地区需求成为了一个问题。本项目的落地实施正是顺应形势，完善当地现状大棚的附属设施并利用多年反季蔬菜水果温室种植经验，结合当地先进管理技术，解决反季果蔬的种植中所遇到的各个难点及痛点，让反季果蔬在生产过程中能够有效节省管理成本并生产出高品质的有机农产品，满足当地以及周边地区居民的果蔬需求。</w:t>
      </w:r>
    </w:p>
    <w:p w14:paraId="2D205AA6">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农业农村局为贯彻落实《中共中央国务院关于实现巩固拓展脱贫攻坚成果同乡村振兴有效衔接的意见》精神，在《中央财政衔接推进乡村振兴补助资金管理办法》等政策支持下，结合项目所在地实际需求现状，提出了于田县2024年老旧大棚维修改造项目。</w:t>
      </w:r>
    </w:p>
    <w:p w14:paraId="4C67FA5C">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由于上述原因开展于田县2024年老旧大棚维修改造项目，本项目由于田县发展和改革委员会主管，于田县农业农村局负责实施，项目施工期为2024年7月-2024年8月。</w:t>
      </w:r>
    </w:p>
    <w:p w14:paraId="27D509EB">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工程实施后，不断增强大棚抗灾能力，提升大棚生产效率，延长大棚使用寿命，促进项目区农业发展，带动当地经济快速增长，农民增收。</w:t>
      </w:r>
    </w:p>
    <w:p w14:paraId="32D73491">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3D461E76">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于田县2024年老旧大棚维修改造项目，根据于田县发展和改革委员会下发的《关于对于田县2024年老旧大棚维修改造项目项目实施方案的批复》（</w:t>
      </w:r>
      <w:r>
        <w:rPr>
          <w:rFonts w:hint="eastAsia" w:ascii="仿宋" w:hAnsi="仿宋" w:eastAsia="仿宋" w:cs="Times New Roman"/>
          <w:spacing w:val="20"/>
          <w:sz w:val="28"/>
          <w:szCs w:val="28"/>
          <w:lang w:val="en-US" w:eastAsia="zh-CN"/>
        </w:rPr>
        <w:t>于发改项目〔2024〕169号</w:t>
      </w:r>
      <w:r>
        <w:rPr>
          <w:rFonts w:hint="eastAsia" w:ascii="仿宋_GB2312" w:hAnsi="Times New Roman" w:eastAsia="仿宋_GB2312" w:cs="Times New Roman"/>
          <w:color w:val="000000"/>
          <w:kern w:val="2"/>
          <w:sz w:val="28"/>
          <w:szCs w:val="22"/>
          <w:lang w:val="en-US" w:eastAsia="zh-CN" w:bidi="ar-SA"/>
        </w:rPr>
        <w:t>）及该项目初步设计报告，实施范围涉及6个行政村即奥依托格拉克乡、加依乡、科克亚乡、老城区街道办事处、木尕拉镇、拜巴扎镇。 建设内容：于田县6个乡镇336座老旧大棚进行维修改造，更换棚膜336张，其中：奥依托格拉克乡38座，加依乡155座，科克亚乡58座，老城区街道办事处5座，木尕拉镇54座，先拜巴扎镇26座；更换棉被7580条，其中：奥依托格拉克乡848条、加依乡3434条、科克亚乡1324条、木尕拉镇1231条、老城区125条、先拜巴扎镇618条。</w:t>
      </w:r>
    </w:p>
    <w:p w14:paraId="5B8873A6">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2564273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性质为</w:t>
      </w:r>
      <w:r>
        <w:rPr>
          <w:rFonts w:hint="eastAsia" w:ascii="仿宋_GB2312" w:cs="Times New Roman"/>
          <w:color w:val="000000"/>
          <w:kern w:val="2"/>
          <w:sz w:val="28"/>
          <w:szCs w:val="22"/>
          <w:lang w:val="en-US" w:eastAsia="zh-CN" w:bidi="ar-SA"/>
        </w:rPr>
        <w:t>其他</w:t>
      </w:r>
      <w:r>
        <w:rPr>
          <w:rFonts w:hint="eastAsia" w:ascii="仿宋_GB2312" w:hAnsi="Times New Roman" w:eastAsia="仿宋_GB2312" w:cs="Times New Roman"/>
          <w:color w:val="000000"/>
          <w:kern w:val="2"/>
          <w:sz w:val="28"/>
          <w:szCs w:val="22"/>
          <w:lang w:val="en-US" w:eastAsia="zh-CN" w:bidi="ar-SA"/>
        </w:rPr>
        <w:t>，属于乡村振兴衔接资金项目。</w:t>
      </w:r>
    </w:p>
    <w:p w14:paraId="75F59CE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（二）财政专项乡村振兴衔接资金项目绩效目标设定情况</w:t>
      </w:r>
    </w:p>
    <w:p w14:paraId="307D60D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1.项目绩效总体目标</w:t>
      </w:r>
    </w:p>
    <w:p w14:paraId="77720E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总投资</w:t>
      </w:r>
      <w:r>
        <w:rPr>
          <w:rFonts w:hint="eastAsia" w:ascii="仿宋_GB2312" w:cs="Times New Roman"/>
          <w:color w:val="000000"/>
          <w:kern w:val="2"/>
          <w:sz w:val="28"/>
          <w:szCs w:val="22"/>
          <w:lang w:val="en-US" w:eastAsia="zh-CN" w:bidi="ar-SA"/>
        </w:rPr>
        <w:t>406.8</w:t>
      </w:r>
      <w:r>
        <w:rPr>
          <w:rFonts w:hint="eastAsia" w:ascii="仿宋_GB2312" w:hAnsi="Times New Roman" w:eastAsia="仿宋_GB2312" w:cs="Times New Roman"/>
          <w:color w:val="000000"/>
          <w:kern w:val="2"/>
          <w:sz w:val="28"/>
          <w:szCs w:val="22"/>
          <w:lang w:val="en-US" w:eastAsia="zh-CN" w:bidi="ar-SA"/>
        </w:rPr>
        <w:t>万元，全部申请以乡村振兴衔接资金。主要内容为：于田县6个乡镇336座老旧大棚进行维修改造，更换棚膜336张，其中：奥依托格拉克乡38座，加依乡155 座，科克亚乡58座，老城区街道办事处5座，木尕拉镇54座，先拜巴扎镇26座；更换棉被7580条，其中：奥依托格拉克乡848条、加依乡 3434条、科克亚乡1324条、木尕拉镇1231条、老城区125条、先拜巴扎镇618条。</w:t>
      </w:r>
    </w:p>
    <w:p w14:paraId="721CF35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通过</w:t>
      </w: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实施，本项目建成后，可使项目区范围内农户收益，经济效益十分可观。是有效保证产品供给以及食物安全。设施农业的发展能有效降低农业病虫害威胁以及不利影响，从而减少使用农药的次数，建立无公害农业。在现代化农业生产的各个环节中能够使用多种先进 手段，在培育、施肥以及耕作上采用集约化、程式化、标准化生产经营模式，精准用肥、减少污染。设施农业能够对环境进行有效的调控，有效增加农产品质量以及产量，保证产品供应的连续性及鲜活性。设施农业不但对于农业发展的效率有所促进，同时能够不断的改善食物的安全性，是对民生的改善，是对社会和谐发展的促进。在项目的建设、后期运营中，维护生态平衡，力求做到既获得较大的经济效益，又获得良好的生态效益</w:t>
      </w:r>
    </w:p>
    <w:p w14:paraId="080F3011">
      <w:pPr>
        <w:pStyle w:val="53"/>
        <w:spacing w:line="560" w:lineRule="exact"/>
        <w:ind w:left="3" w:right="3" w:firstLine="562"/>
        <w:rPr>
          <w:rFonts w:ascii="仿宋_GB2312"/>
          <w:b/>
          <w:bCs/>
          <w:szCs w:val="32"/>
        </w:rPr>
      </w:pPr>
      <w:r>
        <w:rPr>
          <w:rFonts w:hint="eastAsia" w:ascii="仿宋_GB2312"/>
          <w:b/>
          <w:bCs/>
          <w:szCs w:val="32"/>
        </w:rPr>
        <w:t>2.具体绩效指标</w:t>
      </w:r>
    </w:p>
    <w:p w14:paraId="588052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根据《自治区财政专项扶贫资金绩效管理操作指南》（新财预〔2019〕170号）的规定，结合项目具体情况，本项目共设置一级指标3个，二级指标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default" w:ascii="仿宋_GB2312" w:cs="Times New Roman"/>
          <w:color w:val="000000"/>
          <w:kern w:val="2"/>
          <w:sz w:val="28"/>
          <w:szCs w:val="22"/>
          <w:lang w:eastAsia="zh-CN" w:bidi="ar-SA"/>
        </w:rPr>
        <w:t>4</w:t>
      </w:r>
      <w:r>
        <w:rPr>
          <w:rFonts w:hint="eastAsia" w:ascii="仿宋_GB2312" w:hAnsi="Times New Roman" w:eastAsia="仿宋_GB2312" w:cs="Times New Roman"/>
          <w:color w:val="000000"/>
          <w:kern w:val="2"/>
          <w:sz w:val="28"/>
          <w:szCs w:val="22"/>
          <w:lang w:val="en-US" w:eastAsia="zh-CN" w:bidi="ar-SA"/>
        </w:rPr>
        <w:t>个。</w:t>
      </w:r>
    </w:p>
    <w:p w14:paraId="74ABD7E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二、绩效自评工作开展情况</w:t>
      </w:r>
    </w:p>
    <w:p w14:paraId="1CAD8BE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（一）绩效自评工作开展范围</w:t>
      </w:r>
    </w:p>
    <w:p w14:paraId="7C4C1DF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本次自评范围涵盖项目总体绩效目标、各项绩效指标完成情况以及预算执行情况。</w:t>
      </w:r>
    </w:p>
    <w:p w14:paraId="050F672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（二）绩效自评工作对象</w:t>
      </w:r>
    </w:p>
    <w:p w14:paraId="562838C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资金的使用管理、项目产出、综合效益等进行评价。</w:t>
      </w:r>
    </w:p>
    <w:p w14:paraId="3BF484DA">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20EEF0F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1.前期准备</w:t>
      </w:r>
    </w:p>
    <w:p w14:paraId="790B677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年，认真学习相关要求与规定，成立绩效自评工作组，作为绩效自评工作具体实施机构。成员构成如下：</w:t>
      </w:r>
    </w:p>
    <w:p w14:paraId="46843CA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组     长：马永江              农业农村局局党委书记、副局长</w:t>
      </w:r>
    </w:p>
    <w:p w14:paraId="314DC53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副  组 长：亚森江·阿不都外力       农业农村</w:t>
      </w:r>
      <w:r>
        <w:rPr>
          <w:rFonts w:hint="eastAsia" w:ascii="仿宋_GB2312" w:cs="Times New Roman"/>
          <w:color w:val="000000"/>
          <w:kern w:val="2"/>
          <w:sz w:val="28"/>
          <w:szCs w:val="22"/>
          <w:lang w:val="en-US" w:eastAsia="zh-CN" w:bidi="ar-SA"/>
        </w:rPr>
        <w:t>局局长</w:t>
      </w:r>
    </w:p>
    <w:p w14:paraId="78FF544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 员：李国亮                       项目班主任长</w:t>
      </w:r>
    </w:p>
    <w:p w14:paraId="02A124C7">
      <w:pPr>
        <w:pStyle w:val="53"/>
        <w:spacing w:line="560" w:lineRule="exact"/>
        <w:ind w:left="3" w:right="3" w:firstLine="1680" w:firstLineChars="6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张庆荣                      财务室科长</w:t>
      </w:r>
    </w:p>
    <w:p w14:paraId="3061B7D7">
      <w:pPr>
        <w:pStyle w:val="53"/>
        <w:spacing w:line="560" w:lineRule="exact"/>
        <w:ind w:left="3" w:right="3" w:firstLine="1680" w:firstLineChars="60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阿木提江·瓦依提            项目办干部</w:t>
      </w:r>
    </w:p>
    <w:p w14:paraId="10FB186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木克热木                     项目出纳      </w:t>
      </w:r>
    </w:p>
    <w:p w14:paraId="36AD14FB">
      <w:pPr>
        <w:pStyle w:val="53"/>
        <w:spacing w:line="560" w:lineRule="exact"/>
        <w:ind w:left="3" w:right="3" w:firstLine="1400" w:firstLineChars="500"/>
        <w:rPr>
          <w:rFonts w:hint="eastAsia"/>
          <w:sz w:val="28"/>
          <w:szCs w:val="40"/>
          <w:lang w:val="en-US" w:eastAsia="zh-CN"/>
        </w:rPr>
      </w:pPr>
      <w:r>
        <w:rPr>
          <w:rFonts w:hint="eastAsia" w:ascii="仿宋_GB2312" w:hAnsi="Times New Roman" w:eastAsia="仿宋_GB2312" w:cs="Times New Roman"/>
          <w:color w:val="000000"/>
          <w:kern w:val="2"/>
          <w:sz w:val="28"/>
          <w:szCs w:val="22"/>
          <w:lang w:val="en-US" w:eastAsia="zh-CN" w:bidi="ar-SA"/>
        </w:rPr>
        <w:t xml:space="preserve">布买热木 </w:t>
      </w:r>
      <w:r>
        <w:rPr>
          <w:rFonts w:hint="eastAsia"/>
          <w:sz w:val="28"/>
          <w:szCs w:val="40"/>
          <w:lang w:val="en-US" w:eastAsia="zh-CN"/>
        </w:rPr>
        <w:t xml:space="preserve">                                         档案管理负责人</w:t>
      </w:r>
    </w:p>
    <w:p w14:paraId="3BD17D8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办公室负责项目的计划制定、实施，督查、指导相关单位共同做好项目管理工作。切实把该项目作为生态健康建设的重要举措来抓，加强领导，明确分工，落实责任，密切配合，形成合力，推动该项目顺利实施。由农业农村局牵头，负责整个项目的统筹安排和经费使用管理工作，实现分级管理制度。</w:t>
      </w:r>
    </w:p>
    <w:p w14:paraId="0782CC7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2.组织实施</w:t>
      </w:r>
    </w:p>
    <w:p w14:paraId="17EB2C1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成立绩效自评工作组后，经评价组通过实地调研等方式，采用综合分析法对项目的决策、管理、绩效进行的综合评价分析。</w:t>
      </w:r>
    </w:p>
    <w:p w14:paraId="2F779B8A">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3.分析评价。</w:t>
      </w:r>
    </w:p>
    <w:p w14:paraId="70C55BB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首先按照指标体系进行定量、定性分析。其次开展量化打分、综合评价工作，形成初步评价结论。最后归纳整体项目情况与存在问题，撰写绩效自评报告。</w:t>
      </w:r>
    </w:p>
    <w:p w14:paraId="0F889E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（1）绩效自评指标体系</w:t>
      </w:r>
    </w:p>
    <w:p w14:paraId="7A7F9F3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cs="Times New Roman"/>
          <w:color w:val="000000"/>
          <w:kern w:val="2"/>
          <w:sz w:val="28"/>
          <w:szCs w:val="22"/>
          <w:lang w:val="en-US" w:eastAsia="zh-CN" w:bidi="ar-SA"/>
        </w:rPr>
        <w:t>2</w:t>
      </w:r>
      <w:r>
        <w:rPr>
          <w:rFonts w:hint="default" w:ascii="仿宋_GB2312" w:cs="Times New Roman"/>
          <w:color w:val="000000"/>
          <w:kern w:val="2"/>
          <w:sz w:val="28"/>
          <w:szCs w:val="22"/>
          <w:lang w:eastAsia="zh-CN" w:bidi="ar-SA"/>
        </w:rPr>
        <w:t>0</w:t>
      </w:r>
      <w:r>
        <w:rPr>
          <w:rFonts w:hint="eastAsia" w:ascii="仿宋_GB2312" w:hAnsi="Times New Roman" w:eastAsia="仿宋_GB2312" w:cs="Times New Roman"/>
          <w:color w:val="000000"/>
          <w:kern w:val="2"/>
          <w:sz w:val="28"/>
          <w:szCs w:val="22"/>
          <w:lang w:val="en-US" w:eastAsia="zh-CN" w:bidi="ar-SA"/>
        </w:rPr>
        <w:t>分、质量指标</w:t>
      </w:r>
      <w:r>
        <w:rPr>
          <w:rFonts w:hint="default" w:ascii="仿宋_GB2312" w:cs="Times New Roman"/>
          <w:color w:val="000000"/>
          <w:kern w:val="2"/>
          <w:sz w:val="28"/>
          <w:szCs w:val="22"/>
          <w:lang w:eastAsia="zh-CN" w:bidi="ar-SA"/>
        </w:rPr>
        <w:t>8</w:t>
      </w:r>
      <w:r>
        <w:rPr>
          <w:rFonts w:hint="eastAsia" w:ascii="仿宋_GB2312" w:hAnsi="Times New Roman" w:eastAsia="仿宋_GB2312" w:cs="Times New Roman"/>
          <w:color w:val="000000"/>
          <w:kern w:val="2"/>
          <w:sz w:val="28"/>
          <w:szCs w:val="22"/>
          <w:lang w:val="en-US" w:eastAsia="zh-CN" w:bidi="ar-SA"/>
        </w:rPr>
        <w:t>分，时效指标</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分、成本指标1</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分、社会效益指标</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分、可持续影响指标</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分、满意度指标10分、预算资金执行率10分，满分100分。</w:t>
      </w:r>
    </w:p>
    <w:p w14:paraId="2564AF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（2）绩效自评方法</w:t>
      </w:r>
    </w:p>
    <w:p w14:paraId="55E81F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本次绩效自评采用比较法和综合分析法对项目资金的使用管理、项目产出、综合效益等进行评价。</w:t>
      </w:r>
    </w:p>
    <w:p w14:paraId="53102C2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（3）绩效自评标准</w:t>
      </w:r>
    </w:p>
    <w:p w14:paraId="729CBC4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2F08E9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（4）绩效自评等级</w:t>
      </w:r>
    </w:p>
    <w:p w14:paraId="0F801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绩效自评总分值100分，根据评分结果，90（含）-100分为优、80（含）-90分为良、60（含）-80分为中、60分以下为差。</w:t>
      </w:r>
    </w:p>
    <w:p w14:paraId="7D8D7CF3">
      <w:pPr>
        <w:pStyle w:val="30"/>
        <w:spacing w:before="120"/>
        <w:ind w:leftChars="0" w:right="3" w:firstLine="562" w:firstLineChars="200"/>
      </w:pPr>
      <w:r>
        <w:rPr>
          <w:rFonts w:hint="eastAsia"/>
        </w:rPr>
        <w:t>三、绩效目标自评完成情况分析</w:t>
      </w:r>
    </w:p>
    <w:p w14:paraId="5757138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5513031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1.项目资金到位情况分析</w:t>
      </w:r>
    </w:p>
    <w:p w14:paraId="37B4E9C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预算安排总额为</w:t>
      </w:r>
      <w:r>
        <w:rPr>
          <w:rFonts w:hint="eastAsia" w:ascii="仿宋_GB2312" w:cs="Times New Roman"/>
          <w:color w:val="000000"/>
          <w:kern w:val="2"/>
          <w:sz w:val="28"/>
          <w:szCs w:val="22"/>
          <w:lang w:val="en-US" w:eastAsia="zh-CN" w:bidi="ar-SA"/>
        </w:rPr>
        <w:t>406.8</w:t>
      </w:r>
      <w:r>
        <w:rPr>
          <w:rFonts w:hint="eastAsia" w:ascii="仿宋_GB2312" w:hAnsi="Times New Roman" w:eastAsia="仿宋_GB2312" w:cs="Times New Roman"/>
          <w:color w:val="000000"/>
          <w:kern w:val="2"/>
          <w:sz w:val="28"/>
          <w:szCs w:val="22"/>
          <w:lang w:val="en-US" w:eastAsia="zh-CN" w:bidi="ar-SA"/>
        </w:rPr>
        <w:t>万元，其中：乡村振兴衔接资金</w:t>
      </w:r>
      <w:r>
        <w:rPr>
          <w:rFonts w:hint="eastAsia" w:ascii="仿宋_GB2312" w:cs="Times New Roman"/>
          <w:color w:val="000000"/>
          <w:kern w:val="2"/>
          <w:sz w:val="28"/>
          <w:szCs w:val="22"/>
          <w:lang w:val="en-US" w:eastAsia="zh-CN" w:bidi="ar-SA"/>
        </w:rPr>
        <w:t>406.8</w:t>
      </w:r>
      <w:r>
        <w:rPr>
          <w:rFonts w:hint="eastAsia" w:ascii="仿宋_GB2312" w:hAnsi="Times New Roman" w:eastAsia="仿宋_GB2312" w:cs="Times New Roman"/>
          <w:color w:val="000000"/>
          <w:kern w:val="2"/>
          <w:sz w:val="28"/>
          <w:szCs w:val="22"/>
          <w:lang w:val="en-US" w:eastAsia="zh-CN" w:bidi="ar-SA"/>
        </w:rPr>
        <w:t>万元。预算资金到位率为100.00%。</w:t>
      </w:r>
    </w:p>
    <w:p w14:paraId="56FE0AD4">
      <w:pPr>
        <w:pStyle w:val="53"/>
        <w:spacing w:line="560" w:lineRule="exact"/>
        <w:ind w:left="0" w:leftChars="0" w:right="3" w:firstLine="562"/>
        <w:rPr>
          <w:b/>
        </w:rPr>
      </w:pPr>
      <w:r>
        <w:rPr>
          <w:rFonts w:hint="eastAsia"/>
          <w:b/>
        </w:rPr>
        <w:t>2.项目资金执行情况分析</w:t>
      </w:r>
    </w:p>
    <w:p w14:paraId="7A99AD11">
      <w:pPr>
        <w:pStyle w:val="53"/>
        <w:spacing w:line="560" w:lineRule="exact"/>
        <w:ind w:left="3" w:right="3" w:firstLine="560"/>
        <w:rPr>
          <w:rFonts w:hint="eastAsia" w:ascii="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于田县2024年老旧大棚维修改造项目预算投入资金406.8万元，经财务决算，项目实际完成投资共377.64万元，其中：设备采购及安装费用374.64万元，其他费用3万元，已支付377.64万元，预算资金执行率92.83%。</w:t>
      </w:r>
    </w:p>
    <w:p w14:paraId="150EF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3.项目资金管理情况分析</w:t>
      </w:r>
    </w:p>
    <w:p w14:paraId="6EA252F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7FF2709">
      <w:pPr>
        <w:pStyle w:val="53"/>
        <w:spacing w:line="560" w:lineRule="exact"/>
        <w:ind w:leftChars="0" w:right="3" w:firstLine="562"/>
        <w:rPr>
          <w:b/>
        </w:rPr>
      </w:pPr>
      <w:r>
        <w:rPr>
          <w:rFonts w:hint="eastAsia"/>
          <w:b/>
        </w:rPr>
        <w:t>4.项目管理情况分析</w:t>
      </w:r>
    </w:p>
    <w:p w14:paraId="076562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在项目实施中，于田县农业农村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FE076E">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4A1C1A1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年截止1</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月底，工程实际完成建设于田县 6 个乡镇 336座老旧大棚进行维修改造，更换棚膜336张，其中：奥依托格拉克乡 38座，加依乡155座，科克亚乡58座，老城区街道办事处5座，木尕拉镇54座，先拜巴扎镇26座；更换棉被7580条，其中：奥依托格拉克乡848条、加依乡343</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条、科克亚乡1324条、木尕拉镇1231条、老城区125条、先拜巴扎镇618条。</w:t>
      </w:r>
    </w:p>
    <w:p w14:paraId="060721D6">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该工程已完成验收，资产有奥依托格拉克乡、加依乡、科克亚乡、老城区街道办事处、木尕拉镇、先拜巴扎镇负责运行维护。项目实施后不断增强大棚抗灾能力，提升大棚生产效率，延长大棚使用寿命，促进项目区农业发展，带动当地经济快速增长，农民增收。</w:t>
      </w:r>
    </w:p>
    <w:p w14:paraId="26FAADA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个，其中已完成三级指标1</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85.71</w:t>
      </w:r>
      <w:r>
        <w:rPr>
          <w:rFonts w:hint="eastAsia" w:ascii="仿宋_GB2312" w:hAnsi="Times New Roman" w:eastAsia="仿宋_GB2312" w:cs="Times New Roman"/>
          <w:color w:val="000000"/>
          <w:kern w:val="2"/>
          <w:sz w:val="28"/>
          <w:szCs w:val="22"/>
          <w:lang w:val="en-US" w:eastAsia="zh-CN" w:bidi="ar-SA"/>
        </w:rPr>
        <w:t>%，指标完成情况分析如下：</w:t>
      </w:r>
    </w:p>
    <w:p w14:paraId="2D350F08">
      <w:pPr>
        <w:pStyle w:val="53"/>
        <w:spacing w:line="580" w:lineRule="exact"/>
        <w:ind w:left="0" w:leftChars="0" w:right="0" w:rightChars="0" w:firstLine="562"/>
        <w:rPr>
          <w:b/>
        </w:rPr>
      </w:pPr>
      <w:r>
        <w:rPr>
          <w:rFonts w:hint="eastAsia"/>
          <w:b/>
        </w:rPr>
        <w:t>1.产出指标完成情况分析</w:t>
      </w:r>
    </w:p>
    <w:p w14:paraId="774D69F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1.1项目完成数量</w:t>
      </w:r>
    </w:p>
    <w:p w14:paraId="5C84D31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“项目涉及乡镇数量”指标，预期指标值为</w:t>
      </w:r>
      <w:r>
        <w:rPr>
          <w:rFonts w:hint="eastAsia" w:ascii="仿宋_GB2312" w:cs="Times New Roman"/>
          <w:color w:val="000000"/>
          <w:kern w:val="2"/>
          <w:sz w:val="28"/>
          <w:szCs w:val="22"/>
          <w:lang w:val="en-US" w:eastAsia="zh-CN" w:bidi="ar-SA"/>
        </w:rPr>
        <w:t>大于等于6个</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cs="Times New Roman"/>
          <w:color w:val="000000"/>
          <w:kern w:val="2"/>
          <w:sz w:val="28"/>
          <w:szCs w:val="22"/>
          <w:lang w:val="en-US" w:eastAsia="zh-CN" w:bidi="ar-SA"/>
        </w:rPr>
        <w:t>6个</w:t>
      </w:r>
      <w:r>
        <w:rPr>
          <w:rFonts w:hint="eastAsia" w:ascii="仿宋_GB2312" w:hAnsi="Times New Roman" w:eastAsia="仿宋_GB2312" w:cs="Times New Roman"/>
          <w:color w:val="000000"/>
          <w:kern w:val="2"/>
          <w:sz w:val="28"/>
          <w:szCs w:val="22"/>
          <w:lang w:val="en-US" w:eastAsia="zh-CN" w:bidi="ar-SA"/>
        </w:rPr>
        <w:t>，指标完成率为100.00%。所设分值</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cs="Times New Roman"/>
          <w:color w:val="000000"/>
          <w:kern w:val="2"/>
          <w:sz w:val="28"/>
          <w:szCs w:val="22"/>
          <w:lang w:val="en-US" w:eastAsia="zh-CN" w:bidi="ar-SA"/>
        </w:rPr>
        <w:t>。</w:t>
      </w:r>
    </w:p>
    <w:p w14:paraId="4277380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“维修改造老旧大棚数量”指标，预期指标值为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336座,全年实际值为</w:t>
      </w:r>
      <w:r>
        <w:rPr>
          <w:rFonts w:hint="eastAsia" w:ascii="仿宋_GB2312" w:cs="Times New Roman"/>
          <w:color w:val="000000"/>
          <w:kern w:val="2"/>
          <w:sz w:val="28"/>
          <w:szCs w:val="22"/>
          <w:lang w:val="en-US" w:eastAsia="zh-CN" w:bidi="ar-SA"/>
        </w:rPr>
        <w:t>336</w:t>
      </w:r>
      <w:r>
        <w:rPr>
          <w:rFonts w:hint="eastAsia" w:ascii="仿宋_GB2312" w:hAnsi="Times New Roman" w:eastAsia="仿宋_GB2312" w:cs="Times New Roman"/>
          <w:color w:val="000000"/>
          <w:kern w:val="2"/>
          <w:sz w:val="28"/>
          <w:szCs w:val="22"/>
          <w:lang w:val="en-US" w:eastAsia="zh-CN" w:bidi="ar-SA"/>
        </w:rPr>
        <w:t>座，指标完成率为100.00%。所设分值</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 xml:space="preserve">分。   </w:t>
      </w:r>
    </w:p>
    <w:p w14:paraId="032D7BA4">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“更换棚膜数量”指标，预期指标值为</w:t>
      </w:r>
      <w:r>
        <w:rPr>
          <w:rFonts w:hint="eastAsia" w:ascii="仿宋_GB2312" w:cs="Times New Roman"/>
          <w:color w:val="000000"/>
          <w:kern w:val="2"/>
          <w:sz w:val="28"/>
          <w:szCs w:val="22"/>
          <w:lang w:val="en-US" w:eastAsia="zh-CN" w:bidi="ar-SA"/>
        </w:rPr>
        <w:t>大于等于336张</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cs="Times New Roman"/>
          <w:color w:val="000000"/>
          <w:kern w:val="2"/>
          <w:sz w:val="28"/>
          <w:szCs w:val="22"/>
          <w:lang w:val="en-US" w:eastAsia="zh-CN" w:bidi="ar-SA"/>
        </w:rPr>
        <w:t>336张</w:t>
      </w:r>
      <w:r>
        <w:rPr>
          <w:rFonts w:hint="eastAsia" w:ascii="仿宋_GB2312" w:hAnsi="Times New Roman" w:eastAsia="仿宋_GB2312" w:cs="Times New Roman"/>
          <w:color w:val="000000"/>
          <w:kern w:val="2"/>
          <w:sz w:val="28"/>
          <w:szCs w:val="22"/>
          <w:lang w:val="en-US" w:eastAsia="zh-CN" w:bidi="ar-SA"/>
        </w:rPr>
        <w:t>，指标完成率为100.00%。所设分值</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w:t>
      </w:r>
    </w:p>
    <w:p w14:paraId="1E6D11FB">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“更换棉被数量”指标，预期指标值为</w:t>
      </w:r>
      <w:r>
        <w:rPr>
          <w:rFonts w:hint="eastAsia" w:ascii="仿宋_GB2312" w:cs="Times New Roman"/>
          <w:color w:val="000000"/>
          <w:kern w:val="2"/>
          <w:sz w:val="28"/>
          <w:szCs w:val="22"/>
          <w:lang w:val="en-US" w:eastAsia="zh-CN" w:bidi="ar-SA"/>
        </w:rPr>
        <w:t>大于等于7580条</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cs="Times New Roman"/>
          <w:color w:val="000000"/>
          <w:kern w:val="2"/>
          <w:sz w:val="28"/>
          <w:szCs w:val="22"/>
          <w:lang w:val="en-US" w:eastAsia="zh-CN" w:bidi="ar-SA"/>
        </w:rPr>
        <w:t>7580条</w:t>
      </w:r>
      <w:r>
        <w:rPr>
          <w:rFonts w:hint="eastAsia" w:ascii="仿宋_GB2312" w:hAnsi="Times New Roman" w:eastAsia="仿宋_GB2312" w:cs="Times New Roman"/>
          <w:color w:val="000000"/>
          <w:kern w:val="2"/>
          <w:sz w:val="28"/>
          <w:szCs w:val="22"/>
          <w:lang w:val="en-US" w:eastAsia="zh-CN" w:bidi="ar-SA"/>
        </w:rPr>
        <w:t>，指标完成率为100.00%。所设分值</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w:t>
      </w:r>
    </w:p>
    <w:p w14:paraId="093D9CDF">
      <w:pPr>
        <w:pStyle w:val="53"/>
        <w:spacing w:line="560" w:lineRule="exact"/>
        <w:ind w:left="0" w:leftChars="0" w:right="3" w:firstLine="0" w:firstLineChars="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1.2项目完成质量</w:t>
      </w:r>
    </w:p>
    <w:p w14:paraId="78799C4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“项目工程验收合格率”指标，预期指标值为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52B0279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“资金支付合规率”指标，预期指标值为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cs="Times New Roman"/>
          <w:color w:val="000000"/>
          <w:kern w:val="2"/>
          <w:sz w:val="28"/>
          <w:szCs w:val="22"/>
          <w:lang w:val="en-US" w:eastAsia="zh-CN" w:bidi="ar-SA"/>
        </w:rPr>
        <w:t>。</w:t>
      </w:r>
    </w:p>
    <w:p w14:paraId="172E425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1.3项目完成时效</w:t>
      </w:r>
    </w:p>
    <w:p w14:paraId="5E2D95F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“资金支付</w:t>
      </w:r>
      <w:r>
        <w:rPr>
          <w:rFonts w:hint="eastAsia" w:ascii="仿宋_GB2312" w:cs="Times New Roman"/>
          <w:color w:val="000000"/>
          <w:kern w:val="2"/>
          <w:sz w:val="28"/>
          <w:szCs w:val="22"/>
          <w:lang w:val="en-US" w:eastAsia="zh-CN" w:bidi="ar-SA"/>
        </w:rPr>
        <w:t>及时</w:t>
      </w:r>
      <w:r>
        <w:rPr>
          <w:rFonts w:hint="eastAsia" w:ascii="仿宋_GB2312" w:hAnsi="Times New Roman" w:eastAsia="仿宋_GB2312" w:cs="Times New Roman"/>
          <w:color w:val="000000"/>
          <w:kern w:val="2"/>
          <w:sz w:val="28"/>
          <w:szCs w:val="22"/>
          <w:lang w:val="en-US" w:eastAsia="zh-CN" w:bidi="ar-SA"/>
        </w:rPr>
        <w:t>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cs="Times New Roman"/>
          <w:color w:val="000000"/>
          <w:kern w:val="2"/>
          <w:sz w:val="28"/>
          <w:szCs w:val="22"/>
          <w:lang w:val="en-US" w:eastAsia="zh-CN" w:bidi="ar-SA"/>
        </w:rPr>
        <w:t>。</w:t>
      </w:r>
    </w:p>
    <w:p w14:paraId="187F306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“开工时间”指标，预期指标值为2024</w:t>
      </w:r>
      <w:r>
        <w:rPr>
          <w:rFonts w:hint="eastAsia" w:ascii="仿宋_GB2312" w:cs="Times New Roman"/>
          <w:color w:val="000000"/>
          <w:kern w:val="2"/>
          <w:sz w:val="28"/>
          <w:szCs w:val="22"/>
          <w:lang w:val="en-US" w:eastAsia="zh-CN" w:bidi="ar-SA"/>
        </w:rPr>
        <w:t>年7月</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cs="Times New Roman"/>
          <w:color w:val="000000"/>
          <w:kern w:val="2"/>
          <w:sz w:val="28"/>
          <w:szCs w:val="22"/>
          <w:lang w:val="en-US" w:eastAsia="zh-CN" w:bidi="ar-SA"/>
        </w:rPr>
        <w:t>2024年7月</w:t>
      </w:r>
      <w:r>
        <w:rPr>
          <w:rFonts w:hint="eastAsia" w:ascii="仿宋_GB2312" w:hAnsi="Times New Roman" w:eastAsia="仿宋_GB2312" w:cs="Times New Roman"/>
          <w:color w:val="000000"/>
          <w:kern w:val="2"/>
          <w:sz w:val="28"/>
          <w:szCs w:val="22"/>
          <w:lang w:val="en-US" w:eastAsia="zh-CN" w:bidi="ar-SA"/>
        </w:rPr>
        <w:t>，指标完成率为</w:t>
      </w:r>
      <w:r>
        <w:rPr>
          <w:rFonts w:hint="eastAsia" w:ascii="仿宋_GB2312" w:cs="Times New Roman"/>
          <w:color w:val="000000"/>
          <w:kern w:val="2"/>
          <w:sz w:val="28"/>
          <w:szCs w:val="22"/>
          <w:lang w:val="en-US" w:eastAsia="zh-CN" w:bidi="ar-SA"/>
        </w:rPr>
        <w:t>100%</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232AB452">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“完工时间”指标，预期指标值为2024</w:t>
      </w:r>
      <w:r>
        <w:rPr>
          <w:rFonts w:hint="eastAsia" w:ascii="仿宋_GB2312" w:cs="Times New Roman"/>
          <w:color w:val="000000"/>
          <w:kern w:val="2"/>
          <w:sz w:val="28"/>
          <w:szCs w:val="22"/>
          <w:lang w:val="en-US" w:eastAsia="zh-CN" w:bidi="ar-SA"/>
        </w:rPr>
        <w:t>年8月</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cs="Times New Roman"/>
          <w:color w:val="000000"/>
          <w:kern w:val="2"/>
          <w:sz w:val="28"/>
          <w:szCs w:val="22"/>
          <w:lang w:val="en-US" w:eastAsia="zh-CN" w:bidi="ar-SA"/>
        </w:rPr>
        <w:t>2024年10月</w:t>
      </w:r>
      <w:r>
        <w:rPr>
          <w:rFonts w:hint="eastAsia" w:ascii="仿宋_GB2312" w:hAnsi="Times New Roman" w:eastAsia="仿宋_GB2312" w:cs="Times New Roman"/>
          <w:color w:val="000000"/>
          <w:kern w:val="2"/>
          <w:sz w:val="28"/>
          <w:szCs w:val="22"/>
          <w:lang w:val="en-US" w:eastAsia="zh-CN" w:bidi="ar-SA"/>
        </w:rPr>
        <w:t>，指标完成率为</w:t>
      </w:r>
      <w:r>
        <w:rPr>
          <w:rFonts w:hint="eastAsia" w:ascii="仿宋_GB2312" w:cs="Times New Roman"/>
          <w:color w:val="000000"/>
          <w:kern w:val="2"/>
          <w:sz w:val="28"/>
          <w:szCs w:val="22"/>
          <w:lang w:val="en-US" w:eastAsia="zh-CN" w:bidi="ar-SA"/>
        </w:rPr>
        <w:t>100%</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3.96</w:t>
      </w:r>
      <w:r>
        <w:rPr>
          <w:rFonts w:hint="eastAsia" w:ascii="仿宋_GB2312" w:hAnsi="Times New Roman" w:eastAsia="仿宋_GB2312" w:cs="Times New Roman"/>
          <w:color w:val="000000"/>
          <w:kern w:val="2"/>
          <w:sz w:val="28"/>
          <w:szCs w:val="22"/>
          <w:lang w:val="en-US" w:eastAsia="zh-CN" w:bidi="ar-SA"/>
        </w:rPr>
        <w:t>分。</w:t>
      </w:r>
    </w:p>
    <w:p w14:paraId="5A6B092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偏差原因：根据验收单得知实际完工时间为10月。</w:t>
      </w:r>
    </w:p>
    <w:p w14:paraId="5EF305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r>
        <w:rPr>
          <w:rFonts w:hint="eastAsia" w:ascii="仿宋_GB2312" w:hAnsi="Times New Roman"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hAnsi="Times New Roman"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       </w:t>
      </w:r>
    </w:p>
    <w:p w14:paraId="36D9491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1.4项目成本节约情况</w:t>
      </w:r>
    </w:p>
    <w:p w14:paraId="67E004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为有效控制项目实施成本，我单位在实施项目前就该项目设定了成本控制指标，实施过程中我单位通过公开招标的方式有效降低了项目执行成本，具体指标设置及完成情况如下：</w:t>
      </w:r>
    </w:p>
    <w:p w14:paraId="052212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“设备采购、安装费用”指标，预期指标值为小于等于403.8万元, 全年实际值为374.64万元，指标完成率为92.78%。所设分值5分，实际得分4.64分。</w:t>
      </w:r>
    </w:p>
    <w:p w14:paraId="5D0F5BE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偏差原因：项目已完工，中标价为374.64万元，剩余资金财政收回。</w:t>
      </w:r>
    </w:p>
    <w:p w14:paraId="1616B762">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w:t>
      </w:r>
    </w:p>
    <w:p w14:paraId="6A51671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“其他</w:t>
      </w:r>
      <w:r>
        <w:rPr>
          <w:rFonts w:hint="eastAsia" w:ascii="仿宋_GB2312" w:cs="Times New Roman"/>
          <w:color w:val="000000"/>
          <w:kern w:val="2"/>
          <w:sz w:val="28"/>
          <w:szCs w:val="22"/>
          <w:lang w:val="en-US" w:eastAsia="zh-CN" w:bidi="ar-SA"/>
        </w:rPr>
        <w:t>费用</w:t>
      </w:r>
      <w:r>
        <w:rPr>
          <w:rFonts w:hint="eastAsia" w:ascii="仿宋_GB2312" w:hAnsi="Times New Roman" w:eastAsia="仿宋_GB2312" w:cs="Times New Roman"/>
          <w:color w:val="000000"/>
          <w:kern w:val="2"/>
          <w:sz w:val="28"/>
          <w:szCs w:val="22"/>
          <w:lang w:val="en-US" w:eastAsia="zh-CN" w:bidi="ar-SA"/>
        </w:rPr>
        <w:t>”指标，预期指标值为小于等于</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万元, 全年实际值为</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万元，指标完成率为100.00%。所设分值</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分。</w:t>
      </w:r>
    </w:p>
    <w:p w14:paraId="69E837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2.效益指标完成情况分析</w:t>
      </w:r>
    </w:p>
    <w:p w14:paraId="68372B6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项目实施的社会效益分析</w:t>
      </w:r>
    </w:p>
    <w:p w14:paraId="76D9550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“提升大棚生产效率，延长大棚使用寿命”指标，指标预期</w:t>
      </w:r>
      <w:r>
        <w:rPr>
          <w:rFonts w:hint="eastAsia" w:ascii="仿宋_GB2312" w:cs="Times New Roman"/>
          <w:color w:val="000000"/>
          <w:kern w:val="2"/>
          <w:sz w:val="28"/>
          <w:szCs w:val="22"/>
          <w:lang w:val="en-US" w:eastAsia="zh-CN" w:bidi="ar-SA"/>
        </w:rPr>
        <w:t>值为提升大棚生产效率，延长大棚使用寿命</w:t>
      </w:r>
      <w:r>
        <w:rPr>
          <w:rFonts w:hint="eastAsia" w:ascii="仿宋_GB2312" w:hAnsi="Times New Roman" w:eastAsia="仿宋_GB2312" w:cs="Times New Roman"/>
          <w:color w:val="000000"/>
          <w:kern w:val="2"/>
          <w:sz w:val="28"/>
          <w:szCs w:val="22"/>
          <w:lang w:val="en-US" w:eastAsia="zh-CN" w:bidi="ar-SA"/>
        </w:rPr>
        <w:t>，实际完成值为</w:t>
      </w:r>
      <w:r>
        <w:rPr>
          <w:rFonts w:hint="eastAsia" w:ascii="仿宋_GB2312" w:cs="Times New Roman"/>
          <w:color w:val="000000"/>
          <w:kern w:val="2"/>
          <w:sz w:val="28"/>
          <w:szCs w:val="22"/>
          <w:lang w:val="en-US" w:eastAsia="zh-CN" w:bidi="ar-SA"/>
        </w:rPr>
        <w:t>提升大棚生产效率，延长大棚使用寿命</w:t>
      </w:r>
      <w:r>
        <w:rPr>
          <w:rFonts w:hint="eastAsia" w:ascii="仿宋_GB2312" w:hAnsi="Times New Roman" w:eastAsia="仿宋_GB2312" w:cs="Times New Roman"/>
          <w:color w:val="000000"/>
          <w:kern w:val="2"/>
          <w:sz w:val="28"/>
          <w:szCs w:val="22"/>
          <w:lang w:val="en-US" w:eastAsia="zh-CN" w:bidi="ar-SA"/>
        </w:rPr>
        <w:t>，指标完成率为100%。所设分值</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w:t>
      </w:r>
    </w:p>
    <w:p w14:paraId="47E1A5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项目实施的可持续影响分析</w:t>
      </w:r>
    </w:p>
    <w:p w14:paraId="2AC212D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“使用年限”指标，指标预期值为</w:t>
      </w:r>
      <w:r>
        <w:rPr>
          <w:rFonts w:hint="eastAsia" w:ascii="仿宋_GB2312" w:cs="Times New Roman"/>
          <w:color w:val="000000"/>
          <w:kern w:val="2"/>
          <w:sz w:val="28"/>
          <w:szCs w:val="22"/>
          <w:lang w:val="en-US" w:eastAsia="zh-CN" w:bidi="ar-SA"/>
        </w:rPr>
        <w:t>大于等于10</w:t>
      </w:r>
      <w:r>
        <w:rPr>
          <w:rFonts w:hint="eastAsia" w:ascii="仿宋_GB2312" w:hAnsi="Times New Roman" w:eastAsia="仿宋_GB2312" w:cs="Times New Roman"/>
          <w:color w:val="000000"/>
          <w:kern w:val="2"/>
          <w:sz w:val="28"/>
          <w:szCs w:val="22"/>
          <w:lang w:val="en-US" w:eastAsia="zh-CN" w:bidi="ar-SA"/>
        </w:rPr>
        <w:t>年，实际完成值为</w:t>
      </w:r>
      <w:r>
        <w:rPr>
          <w:rFonts w:hint="eastAsia" w:ascii="仿宋_GB2312" w:cs="Times New Roman"/>
          <w:color w:val="000000"/>
          <w:kern w:val="2"/>
          <w:sz w:val="28"/>
          <w:szCs w:val="22"/>
          <w:lang w:val="en-US" w:eastAsia="zh-CN" w:bidi="ar-SA"/>
        </w:rPr>
        <w:t>10</w:t>
      </w:r>
      <w:r>
        <w:rPr>
          <w:rFonts w:hint="eastAsia" w:ascii="仿宋_GB2312" w:hAnsi="Times New Roman" w:eastAsia="仿宋_GB2312" w:cs="Times New Roman"/>
          <w:color w:val="000000"/>
          <w:kern w:val="2"/>
          <w:sz w:val="28"/>
          <w:szCs w:val="22"/>
          <w:lang w:val="en-US" w:eastAsia="zh-CN" w:bidi="ar-SA"/>
        </w:rPr>
        <w:t>年，指标完成率为100.00%。所设分值</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5分，实际得分</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5分。</w:t>
      </w:r>
    </w:p>
    <w:p w14:paraId="22A5877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3.满意度指标完成情况分析</w:t>
      </w:r>
    </w:p>
    <w:p w14:paraId="5725A4B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“受益人口满意度”指标，指标预期指标值为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95%，实际完成值为95%，指标完成率为100.00%。所设分值10分，实际得分10分。</w:t>
      </w:r>
    </w:p>
    <w:p w14:paraId="047FF0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项目实施完成后我单位就该项目的满意度采取抽样发放调查问卷的方式开展调查，通过对调查问卷的梳理和统计，受益人口满意度指标综合满意率为95.00%。</w:t>
      </w:r>
    </w:p>
    <w:p w14:paraId="4752C41D">
      <w:pPr>
        <w:pStyle w:val="30"/>
        <w:numPr>
          <w:ilvl w:val="0"/>
          <w:numId w:val="1"/>
        </w:numPr>
        <w:spacing w:before="120"/>
        <w:ind w:left="0" w:leftChars="0" w:right="3" w:firstLine="562" w:firstLineChars="200"/>
        <w:rPr>
          <w:rFonts w:hint="eastAsia"/>
        </w:rPr>
      </w:pPr>
      <w:r>
        <w:rPr>
          <w:rFonts w:hint="eastAsia"/>
        </w:rPr>
        <w:t>偏离绩效目标的原因和下一步改进措施</w:t>
      </w:r>
    </w:p>
    <w:p w14:paraId="75BA98B7">
      <w:pPr>
        <w:pStyle w:val="30"/>
        <w:numPr>
          <w:ilvl w:val="0"/>
          <w:numId w:val="0"/>
        </w:numPr>
        <w:spacing w:before="120"/>
        <w:ind w:right="3" w:rightChars="1" w:firstLine="560" w:firstLineChars="200"/>
        <w:rPr>
          <w:rFonts w:hint="eastAsia" w:ascii="仿宋_GB2312" w:hAnsi="Times New Roman" w:eastAsia="仿宋_GB2312" w:cs="Times New Roman"/>
          <w:b w:val="0"/>
          <w:bCs w:val="0"/>
          <w:color w:val="000000"/>
          <w:kern w:val="2"/>
          <w:sz w:val="28"/>
          <w:szCs w:val="22"/>
          <w:lang w:val="en-US" w:eastAsia="zh-CN" w:bidi="ar-SA"/>
        </w:rPr>
      </w:pPr>
      <w:r>
        <w:rPr>
          <w:rFonts w:hint="eastAsia" w:ascii="仿宋_GB2312" w:hAnsi="Times New Roman" w:eastAsia="仿宋_GB2312" w:cs="Times New Roman"/>
          <w:b w:val="0"/>
          <w:bCs w:val="0"/>
          <w:color w:val="000000"/>
          <w:kern w:val="2"/>
          <w:sz w:val="28"/>
          <w:szCs w:val="22"/>
          <w:lang w:val="en-US" w:eastAsia="zh-CN" w:bidi="ar-SA"/>
        </w:rPr>
        <w:t>1.时效指标-完工时间：预期指标值为2024年8月,全年实际值为2024年10月。</w:t>
      </w:r>
    </w:p>
    <w:p w14:paraId="33255068">
      <w:pPr>
        <w:pStyle w:val="30"/>
        <w:numPr>
          <w:ilvl w:val="0"/>
          <w:numId w:val="0"/>
        </w:numPr>
        <w:spacing w:before="120"/>
        <w:ind w:right="3" w:rightChars="1" w:firstLine="560" w:firstLineChars="200"/>
        <w:rPr>
          <w:rFonts w:hint="eastAsia" w:ascii="仿宋_GB2312" w:hAnsi="Times New Roman" w:eastAsia="仿宋_GB2312" w:cs="Times New Roman"/>
          <w:b w:val="0"/>
          <w:bCs w:val="0"/>
          <w:color w:val="000000"/>
          <w:kern w:val="2"/>
          <w:sz w:val="28"/>
          <w:szCs w:val="22"/>
          <w:lang w:val="en-US" w:eastAsia="zh-CN" w:bidi="ar-SA"/>
        </w:rPr>
      </w:pPr>
      <w:r>
        <w:rPr>
          <w:rFonts w:hint="eastAsia" w:ascii="仿宋_GB2312" w:hAnsi="Times New Roman" w:eastAsia="仿宋_GB2312" w:cs="Times New Roman"/>
          <w:b w:val="0"/>
          <w:bCs w:val="0"/>
          <w:color w:val="000000"/>
          <w:kern w:val="2"/>
          <w:sz w:val="28"/>
          <w:szCs w:val="22"/>
          <w:lang w:val="en-US" w:eastAsia="zh-CN" w:bidi="ar-SA"/>
        </w:rPr>
        <w:t>偏差原因：根据验收单得知实际完工时间为10月。</w:t>
      </w:r>
    </w:p>
    <w:p w14:paraId="0E2266EF">
      <w:pPr>
        <w:pStyle w:val="30"/>
        <w:numPr>
          <w:ilvl w:val="0"/>
          <w:numId w:val="0"/>
        </w:numPr>
        <w:spacing w:before="120"/>
        <w:ind w:right="3" w:rightChars="1" w:firstLine="560" w:firstLineChars="200"/>
        <w:rPr>
          <w:rFonts w:hint="eastAsia" w:ascii="仿宋_GB2312" w:hAnsi="Times New Roman" w:eastAsia="仿宋_GB2312" w:cs="Times New Roman"/>
          <w:b w:val="0"/>
          <w:bCs w:val="0"/>
          <w:color w:val="000000"/>
          <w:kern w:val="2"/>
          <w:sz w:val="28"/>
          <w:szCs w:val="22"/>
          <w:lang w:val="en-US" w:eastAsia="zh-CN" w:bidi="ar-SA"/>
        </w:rPr>
      </w:pPr>
      <w:r>
        <w:rPr>
          <w:rFonts w:hint="eastAsia" w:ascii="仿宋_GB2312" w:hAnsi="Times New Roman" w:eastAsia="仿宋_GB2312" w:cs="Times New Roman"/>
          <w:b w:val="0"/>
          <w:bCs w:val="0"/>
          <w:color w:val="000000"/>
          <w:kern w:val="2"/>
          <w:sz w:val="28"/>
          <w:szCs w:val="22"/>
          <w:lang w:val="en-US" w:eastAsia="zh-CN" w:bidi="ar-SA"/>
        </w:rPr>
        <w:t>改进措施：加强项目管理。</w:t>
      </w:r>
    </w:p>
    <w:p w14:paraId="5915E7BC">
      <w:pPr>
        <w:pStyle w:val="30"/>
        <w:numPr>
          <w:ilvl w:val="0"/>
          <w:numId w:val="0"/>
        </w:numPr>
        <w:spacing w:before="120"/>
        <w:ind w:right="3" w:rightChars="1" w:firstLine="560" w:firstLineChars="200"/>
        <w:rPr>
          <w:rFonts w:hint="default" w:ascii="仿宋_GB2312" w:hAnsi="Times New Roman" w:eastAsia="仿宋_GB2312" w:cs="Times New Roman"/>
          <w:b w:val="0"/>
          <w:bCs w:val="0"/>
          <w:color w:val="000000"/>
          <w:kern w:val="2"/>
          <w:sz w:val="28"/>
          <w:szCs w:val="22"/>
          <w:lang w:val="en-US" w:eastAsia="zh-CN" w:bidi="ar-SA"/>
        </w:rPr>
      </w:pPr>
      <w:r>
        <w:rPr>
          <w:rFonts w:hint="eastAsia" w:ascii="仿宋_GB2312" w:hAnsi="Times New Roman" w:eastAsia="仿宋_GB2312" w:cs="Times New Roman"/>
          <w:b w:val="0"/>
          <w:bCs w:val="0"/>
          <w:color w:val="000000"/>
          <w:kern w:val="2"/>
          <w:sz w:val="28"/>
          <w:szCs w:val="22"/>
          <w:lang w:val="en-US" w:eastAsia="zh-CN" w:bidi="ar-SA"/>
        </w:rPr>
        <w:t>2.成本指标-设备采购、安装费用：预期指标值为小于等于403.8万元, 全年实际值为374.64万元。</w:t>
      </w:r>
    </w:p>
    <w:p w14:paraId="0AB60416">
      <w:pPr>
        <w:pStyle w:val="30"/>
        <w:numPr>
          <w:ilvl w:val="0"/>
          <w:numId w:val="0"/>
        </w:numPr>
        <w:spacing w:before="120"/>
        <w:ind w:right="3" w:rightChars="1" w:firstLine="560" w:firstLineChars="200"/>
        <w:rPr>
          <w:rFonts w:hint="default" w:ascii="仿宋_GB2312" w:hAnsi="Times New Roman" w:eastAsia="仿宋_GB2312" w:cs="Times New Roman"/>
          <w:b w:val="0"/>
          <w:bCs w:val="0"/>
          <w:color w:val="000000"/>
          <w:kern w:val="2"/>
          <w:sz w:val="28"/>
          <w:szCs w:val="22"/>
          <w:lang w:val="en-US" w:eastAsia="zh-CN" w:bidi="ar-SA"/>
        </w:rPr>
      </w:pPr>
      <w:r>
        <w:rPr>
          <w:rFonts w:hint="default" w:ascii="仿宋_GB2312" w:hAnsi="Times New Roman" w:eastAsia="仿宋_GB2312" w:cs="Times New Roman"/>
          <w:b w:val="0"/>
          <w:bCs w:val="0"/>
          <w:color w:val="000000"/>
          <w:kern w:val="2"/>
          <w:sz w:val="28"/>
          <w:szCs w:val="22"/>
          <w:lang w:val="en-US" w:eastAsia="zh-CN" w:bidi="ar-SA"/>
        </w:rPr>
        <w:t>偏差原因：项目已完工，中标价为374.64万元，剩余资金财政收回。</w:t>
      </w:r>
    </w:p>
    <w:p w14:paraId="01C22924">
      <w:pPr>
        <w:pStyle w:val="30"/>
        <w:numPr>
          <w:ilvl w:val="0"/>
          <w:numId w:val="0"/>
        </w:numPr>
        <w:spacing w:before="120"/>
        <w:ind w:right="3" w:rightChars="1" w:firstLine="560" w:firstLineChars="200"/>
        <w:rPr>
          <w:rFonts w:hint="default" w:ascii="仿宋_GB2312" w:hAnsi="Times New Roman" w:eastAsia="仿宋_GB2312" w:cs="Times New Roman"/>
          <w:b w:val="0"/>
          <w:bCs w:val="0"/>
          <w:color w:val="000000"/>
          <w:kern w:val="2"/>
          <w:sz w:val="28"/>
          <w:szCs w:val="22"/>
          <w:lang w:val="en-US" w:eastAsia="zh-CN" w:bidi="ar-SA"/>
        </w:rPr>
      </w:pPr>
      <w:r>
        <w:rPr>
          <w:rFonts w:hint="default" w:ascii="仿宋_GB2312" w:hAnsi="Times New Roman" w:eastAsia="仿宋_GB2312" w:cs="Times New Roman"/>
          <w:b w:val="0"/>
          <w:bCs w:val="0"/>
          <w:color w:val="000000"/>
          <w:kern w:val="2"/>
          <w:sz w:val="28"/>
          <w:szCs w:val="22"/>
          <w:lang w:val="en-US" w:eastAsia="zh-CN" w:bidi="ar-SA"/>
        </w:rPr>
        <w:t>改进措施：加强项目管理。</w:t>
      </w:r>
    </w:p>
    <w:p w14:paraId="5A65866C">
      <w:pPr>
        <w:pStyle w:val="30"/>
        <w:spacing w:before="120"/>
        <w:ind w:left="0" w:leftChars="0" w:right="3" w:firstLine="562" w:firstLineChars="200"/>
      </w:pPr>
      <w:r>
        <w:rPr>
          <w:rFonts w:hint="eastAsia"/>
        </w:rPr>
        <w:t>五、绩效自评结果拟应用和公开情况</w:t>
      </w:r>
    </w:p>
    <w:p w14:paraId="742F3C2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项目本次评价通过文件研读、实地调研、数据采集、问卷调查方式下，全面了解</w:t>
      </w: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资金的使用效率和效果，从而得出以下综合评价结论：在绩效目标方面，本项目共设置一级指标3个，二级指标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个，其中已完成三级指标1</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85.71</w:t>
      </w:r>
      <w:r>
        <w:rPr>
          <w:rFonts w:hint="eastAsia" w:ascii="仿宋_GB2312" w:hAnsi="Times New Roman" w:eastAsia="仿宋_GB2312" w:cs="Times New Roman"/>
          <w:color w:val="000000"/>
          <w:kern w:val="2"/>
          <w:sz w:val="28"/>
          <w:szCs w:val="22"/>
          <w:lang w:val="en-US" w:eastAsia="zh-CN" w:bidi="ar-SA"/>
        </w:rPr>
        <w:t>%；在资金使用方面，严格按照《于田县扶贫资金财务管理制度》、《于田县农业农村局财务管理制度》执行，保障了资金使用规范、安全，无挪用、截留资金的情况发生。在项目管理方面，制定了《</w:t>
      </w:r>
      <w:r>
        <w:rPr>
          <w:rFonts w:hint="eastAsia" w:ascii="仿宋_GB2312" w:cs="Times New Roman"/>
          <w:color w:val="000000"/>
          <w:kern w:val="2"/>
          <w:sz w:val="28"/>
          <w:szCs w:val="22"/>
          <w:lang w:val="en-US" w:eastAsia="zh-CN" w:bidi="ar-SA"/>
        </w:rPr>
        <w:t>于田县2024年老旧大棚维修改造项目</w:t>
      </w:r>
      <w:r>
        <w:rPr>
          <w:rFonts w:hint="eastAsia" w:ascii="仿宋_GB2312" w:hAnsi="Times New Roman" w:eastAsia="仿宋_GB2312" w:cs="Times New Roman"/>
          <w:color w:val="000000"/>
          <w:kern w:val="2"/>
          <w:sz w:val="28"/>
          <w:szCs w:val="22"/>
          <w:lang w:val="en-US" w:eastAsia="zh-CN" w:bidi="ar-SA"/>
        </w:rPr>
        <w:t>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7E66B8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项目最终得分为</w:t>
      </w:r>
      <w:r>
        <w:rPr>
          <w:rFonts w:hint="eastAsia" w:ascii="仿宋_GB2312" w:cs="Times New Roman"/>
          <w:color w:val="000000"/>
          <w:kern w:val="2"/>
          <w:sz w:val="28"/>
          <w:szCs w:val="22"/>
          <w:lang w:val="en-US" w:eastAsia="zh-CN" w:bidi="ar-SA"/>
        </w:rPr>
        <w:t>98.88</w:t>
      </w:r>
      <w:r>
        <w:rPr>
          <w:rFonts w:hint="eastAsia" w:ascii="仿宋_GB2312" w:hAnsi="Times New Roman" w:eastAsia="仿宋_GB2312" w:cs="Times New Roman"/>
          <w:color w:val="000000"/>
          <w:kern w:val="2"/>
          <w:sz w:val="28"/>
          <w:szCs w:val="22"/>
          <w:lang w:val="en-US" w:eastAsia="zh-CN" w:bidi="ar-SA"/>
        </w:rPr>
        <w:t>分，评价等级为优。</w:t>
      </w:r>
    </w:p>
    <w:p w14:paraId="4C9965A2">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2C5772E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FFA3E3F">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0A4D1DF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项目状况：该项目不存在立项，由于田县</w:t>
      </w:r>
      <w:r>
        <w:rPr>
          <w:rFonts w:hint="eastAsia" w:ascii="仿宋_GB2312" w:cs="Times New Roman"/>
          <w:color w:val="000000"/>
          <w:kern w:val="2"/>
          <w:sz w:val="28"/>
          <w:szCs w:val="22"/>
          <w:lang w:val="en-US" w:eastAsia="zh-CN" w:bidi="ar-SA"/>
        </w:rPr>
        <w:t>农业农村局</w:t>
      </w:r>
      <w:r>
        <w:rPr>
          <w:rFonts w:hint="eastAsia" w:ascii="仿宋_GB2312" w:hAnsi="Times New Roman" w:eastAsia="仿宋_GB2312" w:cs="Times New Roman"/>
          <w:color w:val="000000"/>
          <w:kern w:val="2"/>
          <w:sz w:val="28"/>
          <w:szCs w:val="22"/>
          <w:lang w:val="en-US" w:eastAsia="zh-CN" w:bidi="ar-SA"/>
        </w:rPr>
        <w:t>负责项目的实施方案，并由于田县乡村振兴局、于田县财政局审核后，下发了《关于对于田县2024年老旧大棚维修改造项目实施方案的批复》（于发改项目〔2024〕169 号）。</w:t>
      </w:r>
    </w:p>
    <w:p w14:paraId="170843B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资金状况：预算资金来源为乡村振兴衔接资金，文件依据：关于对于田县2024年老旧大棚维修改造项目实施方案的批复》（于发改项目〔2024〕169号）。</w:t>
      </w:r>
    </w:p>
    <w:p w14:paraId="05DD315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过程状况：该项目于2024年6月制订实施方案并得到批复，2024年7月7发布招标公告进行招标，2024年10月完工。</w:t>
      </w:r>
    </w:p>
    <w:p w14:paraId="7E335F3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结果状况：202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11</w:t>
      </w:r>
      <w:r>
        <w:rPr>
          <w:rFonts w:hint="eastAsia" w:ascii="仿宋_GB2312" w:hAnsi="Times New Roman" w:eastAsia="仿宋_GB2312" w:cs="Times New Roman"/>
          <w:color w:val="000000"/>
          <w:kern w:val="2"/>
          <w:sz w:val="28"/>
          <w:szCs w:val="22"/>
          <w:lang w:val="en-US" w:eastAsia="zh-CN" w:bidi="ar-SA"/>
        </w:rPr>
        <w:t>月1</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日于田县</w:t>
      </w:r>
      <w:r>
        <w:rPr>
          <w:rFonts w:hint="eastAsia" w:ascii="仿宋_GB2312" w:cs="Times New Roman"/>
          <w:color w:val="000000"/>
          <w:kern w:val="2"/>
          <w:sz w:val="28"/>
          <w:szCs w:val="22"/>
          <w:lang w:val="en-US" w:eastAsia="zh-CN" w:bidi="ar-SA"/>
        </w:rPr>
        <w:t>五方</w:t>
      </w:r>
      <w:r>
        <w:rPr>
          <w:rFonts w:hint="eastAsia" w:ascii="仿宋_GB2312" w:hAnsi="Times New Roman" w:eastAsia="仿宋_GB2312" w:cs="Times New Roman"/>
          <w:color w:val="000000"/>
          <w:kern w:val="2"/>
          <w:sz w:val="28"/>
          <w:szCs w:val="22"/>
          <w:lang w:val="en-US" w:eastAsia="zh-CN" w:bidi="ar-SA"/>
        </w:rPr>
        <w:t>工验收结果状况：合格。</w:t>
      </w:r>
    </w:p>
    <w:p w14:paraId="086B7E00">
      <w:pPr>
        <w:pStyle w:val="53"/>
        <w:spacing w:line="560" w:lineRule="exact"/>
        <w:ind w:left="3" w:right="3" w:firstLine="562"/>
        <w:rPr>
          <w:rStyle w:val="20"/>
          <w:rFonts w:ascii="楷体_GB2312"/>
        </w:rPr>
      </w:pPr>
      <w:r>
        <w:rPr>
          <w:rStyle w:val="20"/>
          <w:rFonts w:hint="eastAsia" w:ascii="楷体_GB2312"/>
        </w:rPr>
        <w:t>（三）主要经验及做法</w:t>
      </w:r>
    </w:p>
    <w:p w14:paraId="0C0158D2">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kern w:val="2"/>
          <w:sz w:val="28"/>
          <w:szCs w:val="22"/>
          <w:lang w:val="en-US" w:eastAsia="zh-CN" w:bidi="ar-SA"/>
        </w:rPr>
        <w:t>于田县2024年老旧大棚维修改造项目资金安排、使用过程中严格执行乡村振兴项目资金管理制度，确保乡村振兴项目正常运行为构建长效稳定奠定物质基础。</w:t>
      </w:r>
    </w:p>
    <w:p w14:paraId="44E2F1DC">
      <w:pPr>
        <w:spacing w:line="560" w:lineRule="exact"/>
        <w:ind w:firstLine="562" w:firstLineChars="200"/>
        <w:rPr>
          <w:rStyle w:val="20"/>
          <w:rFonts w:ascii="楷体_GB2312"/>
          <w:sz w:val="28"/>
        </w:rPr>
      </w:pPr>
      <w:r>
        <w:rPr>
          <w:rStyle w:val="20"/>
          <w:rFonts w:hint="eastAsia" w:ascii="楷体_GB2312"/>
          <w:sz w:val="28"/>
        </w:rPr>
        <w:t>（四）存在的问题</w:t>
      </w:r>
    </w:p>
    <w:p w14:paraId="55FE7C23">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于田县2024年老旧大棚维修改造项目资金安排、使用过程中存在一些问题，主要是资金申报，审批，发放过程中存在对资金拨付缓慢问题。</w:t>
      </w:r>
    </w:p>
    <w:p w14:paraId="17426768">
      <w:pPr>
        <w:spacing w:line="560" w:lineRule="exact"/>
        <w:ind w:firstLine="562" w:firstLineChars="200"/>
        <w:rPr>
          <w:rStyle w:val="20"/>
          <w:rFonts w:ascii="楷体_GB2312"/>
          <w:sz w:val="28"/>
        </w:rPr>
      </w:pPr>
      <w:r>
        <w:rPr>
          <w:rStyle w:val="20"/>
          <w:rFonts w:hint="eastAsia" w:ascii="楷体_GB2312"/>
          <w:sz w:val="28"/>
        </w:rPr>
        <w:t>（五）建议</w:t>
      </w:r>
    </w:p>
    <w:p w14:paraId="09315A4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24C74BE">
      <w:pPr>
        <w:spacing w:line="560" w:lineRule="exact"/>
        <w:ind w:firstLine="562" w:firstLineChars="200"/>
        <w:rPr>
          <w:rStyle w:val="20"/>
          <w:rFonts w:ascii="楷体_GB2312"/>
          <w:sz w:val="28"/>
        </w:rPr>
      </w:pPr>
      <w:r>
        <w:rPr>
          <w:rStyle w:val="20"/>
          <w:rFonts w:hint="eastAsia" w:ascii="楷体_GB2312"/>
          <w:sz w:val="28"/>
        </w:rPr>
        <w:t>（六）项目绩效公告公示情况</w:t>
      </w:r>
    </w:p>
    <w:p w14:paraId="1A30E966">
      <w:pPr>
        <w:pStyle w:val="53"/>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38C9B2BD">
        <w:pPr>
          <w:pStyle w:val="14"/>
          <w:jc w:val="center"/>
        </w:pPr>
        <w:r>
          <w:fldChar w:fldCharType="begin"/>
        </w:r>
        <w:r>
          <w:instrText xml:space="preserve">PAGE   \* MERGEFORMAT</w:instrText>
        </w:r>
        <w:r>
          <w:fldChar w:fldCharType="separate"/>
        </w:r>
        <w:r>
          <w:rPr>
            <w:lang w:val="zh-CN"/>
          </w:rPr>
          <w:t>1</w:t>
        </w:r>
        <w:r>
          <w:fldChar w:fldCharType="end"/>
        </w:r>
      </w:p>
    </w:sdtContent>
  </w:sdt>
  <w:p w14:paraId="0309E36E">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51816">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54C286"/>
    <w:multiLevelType w:val="singleLevel"/>
    <w:tmpl w:val="6E54C2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NWZlY2M2YjcxNmZjZmYyODY1MDg0Y2QwMDhiZTYxOGU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5A87E95"/>
    <w:rsid w:val="07C47F29"/>
    <w:rsid w:val="0FEE69D5"/>
    <w:rsid w:val="17937B31"/>
    <w:rsid w:val="192F6693"/>
    <w:rsid w:val="1A465AA9"/>
    <w:rsid w:val="1B2F02C6"/>
    <w:rsid w:val="1EDB7712"/>
    <w:rsid w:val="3E982E81"/>
    <w:rsid w:val="42586730"/>
    <w:rsid w:val="58567642"/>
    <w:rsid w:val="5DE13318"/>
    <w:rsid w:val="5FF57804"/>
    <w:rsid w:val="71871EDE"/>
    <w:rsid w:val="7A4A7CA0"/>
    <w:rsid w:val="7BD4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autoRedefine/>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autoRedefine/>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a heading"/>
    <w:basedOn w:val="1"/>
    <w:next w:val="1"/>
    <w:autoRedefine/>
    <w:qFormat/>
    <w:uiPriority w:val="99"/>
    <w:pPr>
      <w:spacing w:before="120"/>
    </w:pPr>
    <w:rPr>
      <w:rFonts w:ascii="Arial" w:hAnsi="Arial" w:cs="Arial"/>
      <w:sz w:val="24"/>
    </w:rPr>
  </w:style>
  <w:style w:type="paragraph" w:styleId="12">
    <w:name w:val="annotation text"/>
    <w:basedOn w:val="1"/>
    <w:link w:val="68"/>
    <w:autoRedefine/>
    <w:semiHidden/>
    <w:unhideWhenUsed/>
    <w:qFormat/>
    <w:uiPriority w:val="99"/>
    <w:pPr>
      <w:jc w:val="left"/>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2"/>
    <w:next w:val="12"/>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2"/>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6437</Words>
  <Characters>7000</Characters>
  <Lines>9</Lines>
  <Paragraphs>15</Paragraphs>
  <TotalTime>44</TotalTime>
  <ScaleCrop>false</ScaleCrop>
  <LinksUpToDate>false</LinksUpToDate>
  <CharactersWithSpaces>7210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2025-12-15T10:12:16Z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210C152DE3C14F43A55C5F0025BEDDD4_13</vt:lpwstr>
  </property>
  <property fmtid="{D5CDD505-2E9C-101B-9397-08002B2CF9AE}" pid="4" name="KSOTemplateDocerSaveRecord">
    <vt:lpwstr>eyJoZGlkIjoiY2RlOGExMTJjOWFmYjNiZTJjMWUwNDM2NWFmZTM5NmEiLCJ1c2VySWQiOiIxMTAwNDE5NzU4In0=</vt:lpwstr>
  </property>
</Properties>
</file>