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8EA348">
      <w:pPr>
        <w:spacing w:before="120" w:after="120" w:line="480" w:lineRule="auto"/>
        <w:ind w:firstLine="883" w:firstLineChars="200"/>
        <w:jc w:val="center"/>
        <w:outlineLvl w:val="0"/>
        <w:rPr>
          <w:rFonts w:ascii="仿宋_GB2312" w:hAnsi="Arial"/>
          <w:b/>
          <w:sz w:val="44"/>
          <w:szCs w:val="44"/>
        </w:rPr>
      </w:pPr>
      <w:bookmarkStart w:id="0" w:name="_GoBack"/>
      <w:bookmarkEnd w:id="0"/>
    </w:p>
    <w:p w14:paraId="62C77506">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2D4528A4">
      <w:pPr>
        <w:spacing w:line="700" w:lineRule="exact"/>
        <w:ind w:firstLine="1040" w:firstLineChars="200"/>
        <w:jc w:val="center"/>
        <w:rPr>
          <w:rFonts w:ascii="方正大标宋简体" w:hAnsi="华文中宋" w:eastAsia="方正大标宋简体" w:cs="宋体"/>
          <w:kern w:val="0"/>
          <w:sz w:val="52"/>
          <w:szCs w:val="52"/>
        </w:rPr>
      </w:pPr>
    </w:p>
    <w:p w14:paraId="3C9B85C2">
      <w:pPr>
        <w:spacing w:line="540" w:lineRule="exact"/>
        <w:ind w:firstLine="720" w:firstLineChars="200"/>
        <w:jc w:val="center"/>
        <w:rPr>
          <w:rFonts w:hint="eastAsia"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F8C8253">
      <w:pPr>
        <w:spacing w:line="540" w:lineRule="exact"/>
        <w:ind w:firstLine="600" w:firstLineChars="200"/>
        <w:jc w:val="center"/>
        <w:rPr>
          <w:rFonts w:hAnsi="宋体" w:cs="宋体"/>
          <w:kern w:val="0"/>
          <w:sz w:val="30"/>
          <w:szCs w:val="30"/>
        </w:rPr>
      </w:pPr>
    </w:p>
    <w:p w14:paraId="6E07B6F4">
      <w:pPr>
        <w:spacing w:line="540" w:lineRule="exact"/>
        <w:ind w:firstLine="600" w:firstLineChars="200"/>
        <w:jc w:val="center"/>
        <w:rPr>
          <w:rFonts w:hAnsi="宋体" w:cs="宋体"/>
          <w:kern w:val="0"/>
          <w:sz w:val="30"/>
          <w:szCs w:val="30"/>
        </w:rPr>
      </w:pPr>
    </w:p>
    <w:p w14:paraId="6FFF7EBD">
      <w:pPr>
        <w:spacing w:line="540" w:lineRule="exact"/>
        <w:ind w:firstLine="600" w:firstLineChars="200"/>
        <w:jc w:val="center"/>
        <w:rPr>
          <w:rFonts w:hAnsi="宋体" w:cs="宋体"/>
          <w:kern w:val="0"/>
          <w:sz w:val="30"/>
          <w:szCs w:val="30"/>
        </w:rPr>
      </w:pPr>
    </w:p>
    <w:p w14:paraId="34B0915D">
      <w:pPr>
        <w:spacing w:line="540" w:lineRule="exact"/>
        <w:ind w:firstLine="600" w:firstLineChars="200"/>
        <w:jc w:val="center"/>
        <w:rPr>
          <w:rFonts w:hAnsi="宋体" w:cs="宋体"/>
          <w:kern w:val="0"/>
          <w:sz w:val="30"/>
          <w:szCs w:val="30"/>
        </w:rPr>
      </w:pPr>
    </w:p>
    <w:p w14:paraId="51FB0AF8">
      <w:pPr>
        <w:spacing w:line="540" w:lineRule="exact"/>
        <w:ind w:firstLine="600" w:firstLineChars="200"/>
        <w:rPr>
          <w:rFonts w:hAnsi="宋体" w:cs="宋体"/>
          <w:kern w:val="0"/>
          <w:sz w:val="30"/>
          <w:szCs w:val="30"/>
        </w:rPr>
      </w:pPr>
    </w:p>
    <w:p w14:paraId="69351E1C">
      <w:pPr>
        <w:spacing w:line="540" w:lineRule="exact"/>
        <w:ind w:firstLine="600" w:firstLineChars="200"/>
        <w:rPr>
          <w:rFonts w:hAnsi="宋体" w:cs="宋体"/>
          <w:kern w:val="0"/>
          <w:sz w:val="30"/>
          <w:szCs w:val="30"/>
        </w:rPr>
      </w:pPr>
    </w:p>
    <w:p w14:paraId="00745AE2">
      <w:pPr>
        <w:spacing w:line="360" w:lineRule="auto"/>
        <w:ind w:left="640" w:leftChars="200" w:firstLine="640" w:firstLineChars="200"/>
        <w:rPr>
          <w:rFonts w:ascii="仿宋" w:hAnsi="仿宋" w:eastAsia="仿宋" w:cs="仿宋"/>
          <w:szCs w:val="32"/>
        </w:rPr>
      </w:pPr>
    </w:p>
    <w:p w14:paraId="0A39A0AD">
      <w:pPr>
        <w:spacing w:line="360" w:lineRule="auto"/>
        <w:ind w:left="640" w:leftChars="200" w:firstLine="640" w:firstLineChars="200"/>
        <w:rPr>
          <w:rFonts w:ascii="仿宋" w:hAnsi="仿宋" w:eastAsia="仿宋" w:cs="仿宋"/>
          <w:szCs w:val="32"/>
        </w:rPr>
      </w:pPr>
    </w:p>
    <w:p w14:paraId="49A72D0A">
      <w:pPr>
        <w:spacing w:line="560" w:lineRule="exact"/>
        <w:ind w:left="640" w:leftChars="200" w:firstLine="640" w:firstLineChars="200"/>
        <w:rPr>
          <w:rFonts w:ascii="仿宋" w:hAnsi="仿宋" w:eastAsia="仿宋" w:cs="仿宋"/>
          <w:szCs w:val="32"/>
        </w:rPr>
      </w:pPr>
    </w:p>
    <w:p w14:paraId="7A8725D4">
      <w:pPr>
        <w:spacing w:line="560" w:lineRule="exact"/>
        <w:ind w:left="2880" w:leftChars="200" w:hanging="2240" w:hangingChars="700"/>
        <w:rPr>
          <w:rFonts w:hint="eastAsia" w:ascii="仿宋" w:hAnsi="仿宋" w:eastAsia="仿宋" w:cs="仿宋"/>
          <w:szCs w:val="32"/>
        </w:rPr>
      </w:pPr>
      <w:r>
        <w:rPr>
          <w:rFonts w:hint="eastAsia" w:ascii="仿宋" w:hAnsi="仿宋" w:eastAsia="仿宋" w:cs="仿宋"/>
          <w:szCs w:val="32"/>
        </w:rPr>
        <w:t>项  目  名  称:于田县易地搬迁安置点高标准温室大棚建设项目（</w:t>
      </w:r>
      <w:r>
        <w:rPr>
          <w:rFonts w:hint="eastAsia" w:ascii="仿宋" w:hAnsi="仿宋" w:eastAsia="仿宋" w:cs="仿宋"/>
          <w:szCs w:val="32"/>
          <w:lang w:val="en-US" w:eastAsia="zh-CN"/>
        </w:rPr>
        <w:t>三</w:t>
      </w:r>
      <w:r>
        <w:rPr>
          <w:rFonts w:hint="eastAsia" w:ascii="仿宋" w:hAnsi="仿宋" w:eastAsia="仿宋" w:cs="仿宋"/>
          <w:szCs w:val="32"/>
        </w:rPr>
        <w:t>期）</w:t>
      </w:r>
    </w:p>
    <w:p w14:paraId="1F0F4F31">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实施单位(公章):</w:t>
      </w:r>
      <w:r>
        <w:rPr>
          <w:rFonts w:hint="eastAsia" w:ascii="仿宋" w:hAnsi="仿宋" w:eastAsia="仿宋" w:cs="仿宋"/>
          <w:szCs w:val="32"/>
          <w:lang w:val="en-US" w:eastAsia="zh-CN"/>
        </w:rPr>
        <w:t>于田县农业农村局</w:t>
      </w:r>
    </w:p>
    <w:p w14:paraId="168DE2C4">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主管部门(公章):</w:t>
      </w:r>
      <w:r>
        <w:rPr>
          <w:rFonts w:hint="eastAsia" w:ascii="仿宋" w:hAnsi="仿宋" w:eastAsia="仿宋" w:cs="仿宋"/>
          <w:szCs w:val="32"/>
          <w:lang w:val="en-US" w:eastAsia="zh-CN"/>
        </w:rPr>
        <w:t>于田县发展和改革委员会</w:t>
      </w:r>
    </w:p>
    <w:p w14:paraId="2B81B18A">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阿木提江·瓦依提</w:t>
      </w:r>
    </w:p>
    <w:p w14:paraId="619B7734">
      <w:pPr>
        <w:spacing w:line="560" w:lineRule="exact"/>
        <w:ind w:firstLine="640" w:firstLineChars="200"/>
        <w:rPr>
          <w:rFonts w:hint="eastAsia" w:ascii="仿宋" w:hAnsi="仿宋" w:eastAsia="仿宋" w:cs="仿宋"/>
          <w:szCs w:val="32"/>
        </w:rPr>
      </w:pPr>
      <w:r>
        <w:rPr>
          <w:rFonts w:hint="eastAsia" w:ascii="仿宋" w:hAnsi="仿宋" w:eastAsia="仿宋" w:cs="仿宋"/>
          <w:szCs w:val="32"/>
        </w:rPr>
        <w:t>填  报  时  间:202</w:t>
      </w:r>
      <w:r>
        <w:rPr>
          <w:rFonts w:hint="eastAsia" w:ascii="仿宋" w:hAnsi="仿宋" w:eastAsia="仿宋" w:cs="仿宋"/>
          <w:szCs w:val="32"/>
          <w:lang w:val="en-US" w:eastAsia="zh-CN"/>
        </w:rPr>
        <w:t>5</w:t>
      </w:r>
      <w:r>
        <w:rPr>
          <w:rFonts w:hint="eastAsia" w:ascii="仿宋" w:hAnsi="仿宋" w:eastAsia="仿宋" w:cs="仿宋"/>
          <w:szCs w:val="32"/>
        </w:rPr>
        <w:t>年</w:t>
      </w:r>
      <w:r>
        <w:rPr>
          <w:rFonts w:hint="eastAsia" w:ascii="仿宋" w:hAnsi="仿宋" w:eastAsia="仿宋" w:cs="仿宋"/>
          <w:szCs w:val="32"/>
          <w:lang w:val="en-US" w:eastAsia="zh-CN"/>
        </w:rPr>
        <w:t>2</w:t>
      </w:r>
      <w:r>
        <w:rPr>
          <w:rFonts w:hint="eastAsia" w:ascii="仿宋" w:hAnsi="仿宋" w:eastAsia="仿宋" w:cs="仿宋"/>
          <w:szCs w:val="32"/>
        </w:rPr>
        <w:t>月</w:t>
      </w:r>
      <w:r>
        <w:rPr>
          <w:rFonts w:hint="eastAsia" w:ascii="仿宋" w:hAnsi="仿宋" w:eastAsia="仿宋" w:cs="仿宋"/>
          <w:szCs w:val="32"/>
          <w:lang w:val="en-US" w:eastAsia="zh-CN"/>
        </w:rPr>
        <w:t>18</w:t>
      </w:r>
      <w:r>
        <w:rPr>
          <w:rFonts w:hint="eastAsia" w:ascii="仿宋" w:hAnsi="仿宋" w:eastAsia="仿宋" w:cs="仿宋"/>
          <w:szCs w:val="32"/>
        </w:rPr>
        <w:t>日</w:t>
      </w:r>
    </w:p>
    <w:p w14:paraId="6AA3BC44">
      <w:pPr>
        <w:spacing w:line="360" w:lineRule="auto"/>
        <w:rPr>
          <w:rStyle w:val="20"/>
          <w:rFonts w:ascii="黑体" w:hAnsi="黑体" w:eastAsia="黑体" w:cs="Times New Roman"/>
          <w:spacing w:val="-4"/>
          <w:szCs w:val="32"/>
        </w:rPr>
      </w:pPr>
    </w:p>
    <w:p w14:paraId="00A00ECA">
      <w:pPr>
        <w:pStyle w:val="2"/>
      </w:pPr>
    </w:p>
    <w:p w14:paraId="797F1CD1">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51CDF4D5">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72D6BAE3">
      <w:pPr>
        <w:pStyle w:val="53"/>
        <w:ind w:left="3" w:right="3" w:firstLine="562"/>
        <w:rPr>
          <w:rFonts w:ascii="仿宋_GB2312"/>
          <w:b/>
          <w:szCs w:val="32"/>
        </w:rPr>
      </w:pPr>
      <w:r>
        <w:rPr>
          <w:rFonts w:hint="eastAsia" w:ascii="仿宋_GB2312"/>
          <w:b/>
          <w:szCs w:val="32"/>
        </w:rPr>
        <w:t>1.下达预算情况</w:t>
      </w:r>
    </w:p>
    <w:p w14:paraId="70D6D142">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本项目根据于田县发展和改革委员会下发的《关于对于田县易地搬迁安置点高标准温室大棚建设项目（三期）实施方案的批复》（于发改项目〔2024〕179 号）文批复立项实施，于田县易地搬迁安置点高标准温室大棚建设项目（三期）预算安排总额为778.49万元，其中：衔接资金778.49万元。预算资金到位率为100.00%。</w:t>
      </w:r>
    </w:p>
    <w:p w14:paraId="627CE982">
      <w:pPr>
        <w:pStyle w:val="53"/>
        <w:ind w:left="3" w:right="3" w:firstLine="562"/>
        <w:rPr>
          <w:rFonts w:hint="eastAsia" w:ascii="仿宋_GB2312" w:hAnsi="Times New Roman" w:cs="Times New Roman"/>
          <w:b/>
          <w:szCs w:val="32"/>
        </w:rPr>
      </w:pPr>
      <w:r>
        <w:rPr>
          <w:rFonts w:hint="eastAsia" w:ascii="仿宋_GB2312" w:hAnsi="Times New Roman" w:cs="Times New Roman"/>
          <w:b/>
          <w:szCs w:val="32"/>
        </w:rPr>
        <w:t>2.项目实施背景</w:t>
      </w:r>
    </w:p>
    <w:p w14:paraId="3DC6BAF9">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温室大棚农业属于现代设施农业的一种，更是现代农业的标志，而温室大棚为现代农业的发展提供典型示范作用，使农业生产不受气候条件影响，在实现鲜活农产品周年生产、均衡上市的同时，具有较高市场竞争力和抵御市场风险的能力，集约化、商品化程度高，经济效益好，体现了现代农业的先进水平和发展方向，其存在和发展为现代高效农业的发展起着典型示范作用。</w:t>
      </w:r>
    </w:p>
    <w:p w14:paraId="4B8FE1F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中央农村工作会议提出：推进新农村建设的首要任务是“发展现代农业”。本项目就是按照现代农业的发展思路和要求进行规划建设，以达到“生产发展、生活富裕”的新农村建设目标。果蔬生产和特色种植是于田县新兴产业，具有成为优势主导产业的潜力，存在较高的增收潜力。本项目建设就是要达到蔬菜的产业规模最大化、效益最大化，促进农民持续稳定增收致富，改善人民生活，加快新农村建设进程。</w:t>
      </w:r>
    </w:p>
    <w:p w14:paraId="43E82D8C">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近年来，于田县坚持因地制宜，大力发展农产品等种植主导产业，通过温室大棚的建设，来不断发展壮大集体经济，带领群众增收致富奔小康。</w:t>
      </w:r>
    </w:p>
    <w:p w14:paraId="5727846D">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sz w:val="28"/>
          <w:szCs w:val="32"/>
        </w:rPr>
        <w:t>由于上</w:t>
      </w:r>
      <w:r>
        <w:rPr>
          <w:rFonts w:hint="eastAsia" w:ascii="仿宋_GB2312" w:hAnsi="Times New Roman" w:eastAsia="仿宋_GB2312" w:cs="Times New Roman"/>
          <w:color w:val="000000"/>
          <w:kern w:val="2"/>
          <w:sz w:val="28"/>
          <w:szCs w:val="22"/>
          <w:lang w:val="en-US" w:eastAsia="zh-CN" w:bidi="ar-SA"/>
        </w:rPr>
        <w:t>述原因开展于田县易地搬迁安置点高标准温室大棚建设项目（三期），本项目由于田县发展和改革委员会主管，于田县农业农村局负责实施，项目施工期为2024年1月-2024年12月。</w:t>
      </w:r>
    </w:p>
    <w:p w14:paraId="5FB6A18C">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通过实施本项目，不仅起到了示范点的带头作用，还满足当地人民日常生活的需要。同时该项目的实施有助于提高当地农产品质量，调整当地农业产业结构；而且高质量的农产品有助于增加产品自身价值，从而促进当地农民增收。</w:t>
      </w:r>
    </w:p>
    <w:p w14:paraId="32D73491">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56B76D8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于田县易地搬迁安置点高标准温室大棚建设项目（三期），根据于田县发展和改革委员会下发的《关于对于田县易地搬迁安置点高标准温室大棚建设项目（三期）项目实施方案的批复》（于发改项目〔2024〕179 号）及该项目初步设计报告，实施范围涉及1个行政村即奥依托格拉克乡新家园委员会。 建设内容：</w:t>
      </w:r>
    </w:p>
    <w:p w14:paraId="6038E047">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（1）新建15 个大棚、沥青道路硬化、室外给水管网、室外供电网、 场地平整。 </w:t>
      </w:r>
    </w:p>
    <w:p w14:paraId="322C48D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（2）建设建筑具体内容及规模：①于田县易地搬迁安置点高标准温室大棚 建设项目三期，总建筑面积为:15135.00 平方米，占地面积为:15135.00 平方米。 1#-15#大棚:每个单体建筑面积:1009.00 平方米，层数:地上 1 层，大棚高度:5.50米(室外地面至屋脊)，室内外高差 0.15 米，水肥一体机配置:共配置 9 台，大棚 内设置耳房。结构形式:轻型薄壁型钢结构，基础形式:螺旋地桩基础； ②于田县易地搬迁安置点高标准温室大棚建设项目三期--室外工程，场地平整， 沥青道路硬化面积:2319.72 平方米，整个场地内除道路外均换填种植土70公分。室外给水管网、室外供电网。 </w:t>
      </w:r>
    </w:p>
    <w:p w14:paraId="526229CB">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（3）主要设备:水肥一体机 9 套，卷帘机 15 套，水泵 1 台。 </w:t>
      </w:r>
    </w:p>
    <w:p w14:paraId="0F6FB6A5">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（4）室外灌溉输配水管网 DN80 的 PE 管 117 米，DN150 的 PE 管 1114 米， 水表井 2 座，阀门井 11 座。</w:t>
      </w:r>
    </w:p>
    <w:p w14:paraId="5B8873A6">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2564273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）性质为资产收益类项目，属于乡村振兴衔接资金项目。</w:t>
      </w:r>
    </w:p>
    <w:p w14:paraId="75F59CE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（二）财政专项乡村振兴衔接资金项目绩效目标设定情况</w:t>
      </w:r>
    </w:p>
    <w:p w14:paraId="307D60D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1.项目绩效总体目标</w:t>
      </w:r>
    </w:p>
    <w:p w14:paraId="3DC8FEE4">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于田县易地搬迁安置点高标准温室大棚建设项目（三期）总投资</w:t>
      </w:r>
      <w:r>
        <w:rPr>
          <w:rFonts w:hint="eastAsia" w:ascii="仿宋_GB2312" w:cs="Times New Roman"/>
          <w:color w:val="000000"/>
          <w:kern w:val="2"/>
          <w:sz w:val="28"/>
          <w:szCs w:val="22"/>
          <w:lang w:val="en-US" w:eastAsia="zh-CN" w:bidi="ar-SA"/>
        </w:rPr>
        <w:t>778.49</w:t>
      </w:r>
      <w:r>
        <w:rPr>
          <w:rFonts w:hint="eastAsia" w:ascii="仿宋_GB2312" w:hAnsi="Times New Roman" w:eastAsia="仿宋_GB2312" w:cs="Times New Roman"/>
          <w:color w:val="000000"/>
          <w:kern w:val="2"/>
          <w:sz w:val="28"/>
          <w:szCs w:val="22"/>
          <w:lang w:val="en-US" w:eastAsia="zh-CN" w:bidi="ar-SA"/>
        </w:rPr>
        <w:t xml:space="preserve">万元，全部申请以乡村振兴衔接资金。主要内容为：新建15 个大棚、沥青道路硬化、室外给水管网、室外供电网、 场地平整。 </w:t>
      </w:r>
    </w:p>
    <w:p w14:paraId="6AE6FB56">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①于田县易地搬迁安置点高标准温室大棚建设项目三期，总建筑面积为:15135.00 平方米，占地面积为:15135.00 平方米。 1#-15#大棚:每个单体建筑面积:1009.00 平方米，层数:地上 1 层，大棚高度:5.50米(室外地面至屋脊)，室内外高差 0.15 米，水肥一体机配置:共配置 9 台，大棚 内设置耳房。结构形式:轻型薄壁型钢结构，基础形式:螺旋地桩基础； ②于田县易地搬迁安置点高标准温室大棚建设项目三期--室外工程，场地平整， 沥青道路硬化面积:2319.72 平方米，整个场地内除道路外均换填种植土70公分。室外给水管网、室外供电网。 </w:t>
      </w:r>
    </w:p>
    <w:p w14:paraId="5603ACF5">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主要设备:水肥一体机 9 套，卷帘机 15 套，水泵 1 台。 </w:t>
      </w:r>
    </w:p>
    <w:p w14:paraId="7C05622E">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室外灌溉输配水管网 DN80 的 PE 管 117 米，DN150 的 PE 管 1114 米， 水表井 2 座，阀门井 11 座。</w:t>
      </w:r>
    </w:p>
    <w:p w14:paraId="721CF35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通过于田县易地搬迁安置点高标准温室大棚建设项目（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 xml:space="preserve">）实施，本项目建成后，可使项目区范围内农户收益，经济效益十分可观。项目达产年工资及福利费用总额为 </w:t>
      </w:r>
      <w:r>
        <w:rPr>
          <w:rFonts w:hint="eastAsia" w:ascii="仿宋_GB2312" w:cs="Times New Roman"/>
          <w:color w:val="000000"/>
          <w:kern w:val="2"/>
          <w:sz w:val="28"/>
          <w:szCs w:val="22"/>
          <w:lang w:val="en-US" w:eastAsia="zh-CN" w:bidi="ar-SA"/>
        </w:rPr>
        <w:t>9</w:t>
      </w:r>
      <w:r>
        <w:rPr>
          <w:rFonts w:hint="eastAsia" w:ascii="仿宋_GB2312" w:hAnsi="Times New Roman" w:eastAsia="仿宋_GB2312" w:cs="Times New Roman"/>
          <w:color w:val="000000"/>
          <w:kern w:val="2"/>
          <w:sz w:val="28"/>
          <w:szCs w:val="22"/>
          <w:lang w:val="en-US" w:eastAsia="zh-CN" w:bidi="ar-SA"/>
        </w:rPr>
        <w:t>万元，受益人数在</w:t>
      </w:r>
      <w:r>
        <w:rPr>
          <w:rFonts w:hint="eastAsia" w:ascii="仿宋_GB2312" w:cs="Times New Roman"/>
          <w:color w:val="000000"/>
          <w:kern w:val="2"/>
          <w:sz w:val="28"/>
          <w:szCs w:val="22"/>
          <w:lang w:val="en-US" w:eastAsia="zh-CN" w:bidi="ar-SA"/>
        </w:rPr>
        <w:t>30</w:t>
      </w:r>
      <w:r>
        <w:rPr>
          <w:rFonts w:hint="eastAsia" w:ascii="仿宋_GB2312" w:hAnsi="Times New Roman" w:eastAsia="仿宋_GB2312" w:cs="Times New Roman"/>
          <w:color w:val="000000"/>
          <w:kern w:val="2"/>
          <w:sz w:val="28"/>
          <w:szCs w:val="22"/>
          <w:lang w:val="en-US" w:eastAsia="zh-CN" w:bidi="ar-SA"/>
        </w:rPr>
        <w:t>人。有效保证产品供给以及食物安全。设施农业的发展能有效 降低农业病虫害威胁以及不利影响，从而减少使用农药的次数，建立无公害农业。在现代化农业生产的各个环节中能够使用多种先进手段，在培育、施肥以及耕作上采用集约化、程式化、标准化生产经营模式，精准用肥、减少污染。设施农业能够对环境进行有效的调控，有效增加农产品质量以及产量，保证产品供应的连续性及鲜活性。设施农业不但对于农业发展的效率有所促进，同时能够不断 的改善食物的安全性，是对民生的改善，是对社会和谐发展的促进。在项目的建设、后期运营中，维护生态平衡，力求做到既获得 较大的经济效益，又获得良好的生态效益</w:t>
      </w:r>
      <w:r>
        <w:rPr>
          <w:rFonts w:hint="eastAsia" w:ascii="仿宋_GB2312" w:cs="Times New Roman"/>
          <w:color w:val="000000"/>
          <w:kern w:val="2"/>
          <w:sz w:val="28"/>
          <w:szCs w:val="22"/>
          <w:lang w:val="en-US" w:eastAsia="zh-CN" w:bidi="ar-SA"/>
        </w:rPr>
        <w:t>。</w:t>
      </w:r>
    </w:p>
    <w:p w14:paraId="080F3011">
      <w:pPr>
        <w:pStyle w:val="53"/>
        <w:spacing w:line="560" w:lineRule="exact"/>
        <w:ind w:left="3" w:right="3" w:firstLine="562"/>
        <w:rPr>
          <w:rFonts w:ascii="仿宋_GB2312"/>
          <w:b/>
          <w:bCs/>
          <w:szCs w:val="32"/>
        </w:rPr>
      </w:pPr>
      <w:r>
        <w:rPr>
          <w:rFonts w:hint="eastAsia" w:ascii="仿宋_GB2312"/>
          <w:b/>
          <w:bCs/>
          <w:szCs w:val="32"/>
        </w:rPr>
        <w:t>2.具体绩效指标</w:t>
      </w:r>
    </w:p>
    <w:p w14:paraId="588052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根据《自治区财政专项扶贫资金绩效管理操作指南》（新财预〔2019〕170号）的规定，结合项目具体情况，本项目共设置一级指标3个，二级指标8个，三级指标</w:t>
      </w:r>
      <w:r>
        <w:rPr>
          <w:rFonts w:hint="eastAsia" w:ascii="仿宋_GB2312" w:cs="Times New Roman"/>
          <w:color w:val="000000"/>
          <w:kern w:val="2"/>
          <w:sz w:val="28"/>
          <w:szCs w:val="22"/>
          <w:lang w:val="en-US" w:eastAsia="zh-CN" w:bidi="ar-SA"/>
        </w:rPr>
        <w:t>21</w:t>
      </w:r>
      <w:r>
        <w:rPr>
          <w:rFonts w:hint="eastAsia" w:ascii="仿宋_GB2312" w:hAnsi="Times New Roman" w:eastAsia="仿宋_GB2312" w:cs="Times New Roman"/>
          <w:color w:val="000000"/>
          <w:kern w:val="2"/>
          <w:sz w:val="28"/>
          <w:szCs w:val="22"/>
          <w:lang w:val="en-US" w:eastAsia="zh-CN" w:bidi="ar-SA"/>
        </w:rPr>
        <w:t>个。</w:t>
      </w:r>
    </w:p>
    <w:p w14:paraId="74ABD7E5">
      <w:pPr>
        <w:pStyle w:val="53"/>
        <w:spacing w:line="560" w:lineRule="exact"/>
        <w:ind w:left="3" w:right="3" w:firstLine="560"/>
        <w:rPr>
          <w:rFonts w:hint="eastAsia" w:ascii="仿宋_GB2312" w:hAnsi="Times New Roman" w:eastAsia="仿宋_GB2312" w:cs="Times New Roman"/>
          <w:b/>
          <w:bCs/>
          <w:color w:val="000000"/>
          <w:kern w:val="2"/>
          <w:sz w:val="28"/>
          <w:szCs w:val="22"/>
          <w:lang w:val="en-US" w:eastAsia="zh-CN" w:bidi="ar-SA"/>
        </w:rPr>
      </w:pPr>
      <w:r>
        <w:rPr>
          <w:rFonts w:hint="eastAsia" w:ascii="仿宋_GB2312" w:hAnsi="Times New Roman" w:eastAsia="仿宋_GB2312" w:cs="Times New Roman"/>
          <w:b/>
          <w:bCs/>
          <w:color w:val="000000"/>
          <w:kern w:val="2"/>
          <w:sz w:val="28"/>
          <w:szCs w:val="22"/>
          <w:lang w:val="en-US" w:eastAsia="zh-CN" w:bidi="ar-SA"/>
        </w:rPr>
        <w:t>二、绩效自评工作开展情况</w:t>
      </w:r>
    </w:p>
    <w:p w14:paraId="1CAD8BE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（一）绩效自评工作开展范围</w:t>
      </w:r>
    </w:p>
    <w:p w14:paraId="7C4C1DF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本次自评范围涵盖项目总体绩效目标、各项绩效指标完成情况以及预算执行情况。</w:t>
      </w:r>
    </w:p>
    <w:p w14:paraId="050F672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（二）绩效自评工作对象</w:t>
      </w:r>
    </w:p>
    <w:p w14:paraId="562838C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）资金的使用管理、项目产出、综合效益等进行评价。</w:t>
      </w:r>
    </w:p>
    <w:p w14:paraId="3BF484DA">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20EEF0F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1.前期准备</w:t>
      </w:r>
    </w:p>
    <w:p w14:paraId="790B677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年，认真学习相关要求与规定，成立绩效自评工作组，作为绩效自评工作具体实施机构。成员构成如下：</w:t>
      </w:r>
    </w:p>
    <w:p w14:paraId="46843CA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组     长：马永江              农业农村局局党委书记、副局长</w:t>
      </w:r>
    </w:p>
    <w:p w14:paraId="314DC53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副  组 长：亚森江·阿不都外力       农业农村</w:t>
      </w:r>
      <w:r>
        <w:rPr>
          <w:rFonts w:hint="eastAsia" w:ascii="仿宋_GB2312" w:cs="Times New Roman"/>
          <w:color w:val="000000"/>
          <w:kern w:val="2"/>
          <w:sz w:val="28"/>
          <w:szCs w:val="22"/>
          <w:lang w:val="en-US" w:eastAsia="zh-CN" w:bidi="ar-SA"/>
        </w:rPr>
        <w:t>局局长</w:t>
      </w:r>
    </w:p>
    <w:p w14:paraId="78FF544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成 员：李国亮                       项目班主任长</w:t>
      </w:r>
    </w:p>
    <w:p w14:paraId="02A124C7">
      <w:pPr>
        <w:pStyle w:val="53"/>
        <w:spacing w:line="560" w:lineRule="exact"/>
        <w:ind w:left="3" w:right="3" w:firstLine="1680" w:firstLineChars="6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张庆荣                      财务室科长</w:t>
      </w:r>
    </w:p>
    <w:p w14:paraId="3061B7D7">
      <w:pPr>
        <w:pStyle w:val="53"/>
        <w:spacing w:line="560" w:lineRule="exact"/>
        <w:ind w:left="3" w:right="3" w:firstLine="1680" w:firstLineChars="600"/>
        <w:rPr>
          <w:rFonts w:hint="default"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阿木提江·瓦依提            项目办干部</w:t>
      </w:r>
    </w:p>
    <w:p w14:paraId="10FB186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 xml:space="preserve">木克热木                     项目出纳      </w:t>
      </w:r>
    </w:p>
    <w:p w14:paraId="36AD14FB">
      <w:pPr>
        <w:pStyle w:val="53"/>
        <w:spacing w:line="560" w:lineRule="exact"/>
        <w:ind w:left="3" w:right="3" w:firstLine="1400" w:firstLineChars="500"/>
        <w:rPr>
          <w:rFonts w:hint="eastAsia"/>
          <w:sz w:val="28"/>
          <w:szCs w:val="40"/>
          <w:lang w:val="en-US" w:eastAsia="zh-CN"/>
        </w:rPr>
      </w:pPr>
      <w:r>
        <w:rPr>
          <w:rFonts w:hint="eastAsia" w:ascii="仿宋_GB2312" w:hAnsi="Times New Roman" w:eastAsia="仿宋_GB2312" w:cs="Times New Roman"/>
          <w:color w:val="000000"/>
          <w:kern w:val="2"/>
          <w:sz w:val="28"/>
          <w:szCs w:val="22"/>
          <w:lang w:val="en-US" w:eastAsia="zh-CN" w:bidi="ar-SA"/>
        </w:rPr>
        <w:t xml:space="preserve">布买热木 </w:t>
      </w:r>
      <w:r>
        <w:rPr>
          <w:rFonts w:hint="eastAsia"/>
          <w:sz w:val="28"/>
          <w:szCs w:val="40"/>
          <w:lang w:val="en-US" w:eastAsia="zh-CN"/>
        </w:rPr>
        <w:t xml:space="preserve">                                         档案管理负责人</w:t>
      </w:r>
    </w:p>
    <w:p w14:paraId="3BD17D8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办公室负责项目的计划制定、实施，督查、指导相关单位共同做好项目管理工作。切实把该项目作为生态健康建设的重要举措来抓，加强领导，明确分工，落实责任，密切配合，形成合力，推动该项目顺利实施。由农业农村局牵头，负责整个项目的统筹安排和经费使用管理工作，实现分级管理制度。</w:t>
      </w:r>
    </w:p>
    <w:p w14:paraId="0782CC7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2.组织实施</w:t>
      </w:r>
    </w:p>
    <w:p w14:paraId="17EB2C1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成立绩效自评工作组后，经评价组通过实地调研等方式，采用综合分析法对项目的决策、管理、绩效进行的综合评价分析。</w:t>
      </w:r>
    </w:p>
    <w:p w14:paraId="2F779B8A">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3.分析评价。</w:t>
      </w:r>
    </w:p>
    <w:p w14:paraId="70C55BB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首先按照指标体系进行定量、定性分析。其次开展量化打分、综合评价工作，形成初步评价结论。最后归纳整体项目情况与存在问题，撰写绩效自评报告。</w:t>
      </w:r>
    </w:p>
    <w:p w14:paraId="0F889E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（1）绩效自评指标体系</w:t>
      </w:r>
    </w:p>
    <w:p w14:paraId="7A7F9F3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0分、质量指标</w:t>
      </w:r>
      <w:r>
        <w:rPr>
          <w:rFonts w:hint="eastAsia" w:ascii="仿宋_GB2312" w:cs="Times New Roman"/>
          <w:color w:val="000000"/>
          <w:kern w:val="2"/>
          <w:sz w:val="28"/>
          <w:szCs w:val="22"/>
          <w:lang w:val="en-US" w:eastAsia="zh-CN" w:bidi="ar-SA"/>
        </w:rPr>
        <w:t>6</w:t>
      </w:r>
      <w:r>
        <w:rPr>
          <w:rFonts w:hint="eastAsia" w:ascii="仿宋_GB2312" w:hAnsi="Times New Roman" w:eastAsia="仿宋_GB2312" w:cs="Times New Roman"/>
          <w:color w:val="000000"/>
          <w:kern w:val="2"/>
          <w:sz w:val="28"/>
          <w:szCs w:val="22"/>
          <w:lang w:val="en-US" w:eastAsia="zh-CN" w:bidi="ar-SA"/>
        </w:rPr>
        <w:t>分，时效指标</w:t>
      </w:r>
      <w:r>
        <w:rPr>
          <w:rFonts w:hint="eastAsia" w:ascii="仿宋_GB2312" w:cs="Times New Roman"/>
          <w:color w:val="000000"/>
          <w:kern w:val="2"/>
          <w:sz w:val="28"/>
          <w:szCs w:val="22"/>
          <w:lang w:val="en-US" w:eastAsia="zh-CN" w:bidi="ar-SA"/>
        </w:rPr>
        <w:t>8</w:t>
      </w:r>
      <w:r>
        <w:rPr>
          <w:rFonts w:hint="eastAsia" w:ascii="仿宋_GB2312" w:hAnsi="Times New Roman" w:eastAsia="仿宋_GB2312" w:cs="Times New Roman"/>
          <w:color w:val="000000"/>
          <w:kern w:val="2"/>
          <w:sz w:val="28"/>
          <w:szCs w:val="22"/>
          <w:lang w:val="en-US" w:eastAsia="zh-CN" w:bidi="ar-SA"/>
        </w:rPr>
        <w:t>分、成本指标</w:t>
      </w:r>
      <w:r>
        <w:rPr>
          <w:rFonts w:hint="eastAsia" w:ascii="仿宋_GB2312" w:cs="Times New Roman"/>
          <w:color w:val="000000"/>
          <w:kern w:val="2"/>
          <w:sz w:val="28"/>
          <w:szCs w:val="22"/>
          <w:lang w:val="en-US" w:eastAsia="zh-CN" w:bidi="ar-SA"/>
        </w:rPr>
        <w:t>6</w:t>
      </w:r>
      <w:r>
        <w:rPr>
          <w:rFonts w:hint="eastAsia" w:ascii="仿宋_GB2312" w:hAnsi="Times New Roman" w:eastAsia="仿宋_GB2312" w:cs="Times New Roman"/>
          <w:color w:val="000000"/>
          <w:kern w:val="2"/>
          <w:sz w:val="28"/>
          <w:szCs w:val="22"/>
          <w:lang w:val="en-US" w:eastAsia="zh-CN" w:bidi="ar-SA"/>
        </w:rPr>
        <w:t>分、经济效益指标</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分、社会效益指标</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分、可持续影响指标</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分、满意度指标10分、预算资金执行率10分，满分100分。</w:t>
      </w:r>
    </w:p>
    <w:p w14:paraId="2564AF6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（2）绩效自评方法</w:t>
      </w:r>
    </w:p>
    <w:p w14:paraId="55E81F8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本次绩效自评采用比较法和综合分析法对项目资金的使用管理、项目产出、综合效益等进行评价。</w:t>
      </w:r>
    </w:p>
    <w:p w14:paraId="53102C2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（3）绩效自评标准</w:t>
      </w:r>
    </w:p>
    <w:p w14:paraId="729CBC4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12F08E9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（4）绩效自评等级</w:t>
      </w:r>
    </w:p>
    <w:p w14:paraId="0F80158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绩效自评总分值100分，根据评分结果，90（含）-100分为优、80（含）-90分为良、60（含）-80分为中、60分以下为差。</w:t>
      </w:r>
    </w:p>
    <w:p w14:paraId="7D8D7CF3">
      <w:pPr>
        <w:pStyle w:val="30"/>
        <w:spacing w:before="120"/>
        <w:ind w:leftChars="0" w:right="3" w:firstLine="562" w:firstLineChars="200"/>
      </w:pPr>
      <w:r>
        <w:rPr>
          <w:rFonts w:hint="eastAsia"/>
        </w:rPr>
        <w:t>三、绩效目标自评完成情况分析</w:t>
      </w:r>
    </w:p>
    <w:p w14:paraId="5757138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5513031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1.项目资金到位情况分析</w:t>
      </w:r>
    </w:p>
    <w:p w14:paraId="37B4E9C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）预算安排总额为万元，其中：乡村振兴衔接资金</w:t>
      </w:r>
      <w:r>
        <w:rPr>
          <w:rFonts w:hint="eastAsia" w:ascii="仿宋_GB2312" w:cs="Times New Roman"/>
          <w:color w:val="000000"/>
          <w:kern w:val="2"/>
          <w:sz w:val="28"/>
          <w:szCs w:val="22"/>
          <w:lang w:val="en-US" w:eastAsia="zh-CN" w:bidi="ar-SA"/>
        </w:rPr>
        <w:t>778.49</w:t>
      </w:r>
      <w:r>
        <w:rPr>
          <w:rFonts w:hint="eastAsia" w:ascii="仿宋_GB2312" w:hAnsi="Times New Roman" w:eastAsia="仿宋_GB2312" w:cs="Times New Roman"/>
          <w:color w:val="000000"/>
          <w:kern w:val="2"/>
          <w:sz w:val="28"/>
          <w:szCs w:val="22"/>
          <w:lang w:val="en-US" w:eastAsia="zh-CN" w:bidi="ar-SA"/>
        </w:rPr>
        <w:t>万元。预算资金到位率为100.00%。</w:t>
      </w:r>
    </w:p>
    <w:p w14:paraId="56FE0AD4">
      <w:pPr>
        <w:pStyle w:val="53"/>
        <w:spacing w:line="560" w:lineRule="exact"/>
        <w:ind w:left="0" w:leftChars="0" w:right="3" w:firstLine="562"/>
        <w:rPr>
          <w:b/>
        </w:rPr>
      </w:pPr>
      <w:r>
        <w:rPr>
          <w:rFonts w:hint="eastAsia"/>
          <w:b/>
        </w:rPr>
        <w:t>2.项目资金执行情况分析</w:t>
      </w:r>
    </w:p>
    <w:p w14:paraId="7A99AD1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）预算投入资金</w:t>
      </w:r>
      <w:r>
        <w:rPr>
          <w:rFonts w:hint="eastAsia" w:ascii="仿宋_GB2312" w:cs="Times New Roman"/>
          <w:color w:val="000000"/>
          <w:kern w:val="2"/>
          <w:sz w:val="28"/>
          <w:szCs w:val="22"/>
          <w:lang w:val="en-US" w:eastAsia="zh-CN" w:bidi="ar-SA"/>
        </w:rPr>
        <w:t>778.49</w:t>
      </w:r>
      <w:r>
        <w:rPr>
          <w:rFonts w:hint="eastAsia" w:ascii="仿宋_GB2312" w:hAnsi="Times New Roman" w:eastAsia="仿宋_GB2312" w:cs="Times New Roman"/>
          <w:color w:val="000000"/>
          <w:kern w:val="2"/>
          <w:sz w:val="28"/>
          <w:szCs w:val="22"/>
          <w:lang w:val="en-US" w:eastAsia="zh-CN" w:bidi="ar-SA"/>
        </w:rPr>
        <w:t>万元，经财务决算，项目实际完成投资共</w:t>
      </w:r>
      <w:r>
        <w:rPr>
          <w:rFonts w:hint="eastAsia" w:ascii="仿宋_GB2312" w:cs="Times New Roman"/>
          <w:color w:val="000000"/>
          <w:kern w:val="2"/>
          <w:sz w:val="28"/>
          <w:szCs w:val="22"/>
          <w:lang w:val="en-US" w:eastAsia="zh-CN" w:bidi="ar-SA"/>
        </w:rPr>
        <w:t>687.49</w:t>
      </w:r>
      <w:r>
        <w:rPr>
          <w:rFonts w:hint="eastAsia" w:ascii="仿宋_GB2312" w:hAnsi="Times New Roman" w:eastAsia="仿宋_GB2312" w:cs="Times New Roman"/>
          <w:color w:val="000000"/>
          <w:kern w:val="2"/>
          <w:sz w:val="28"/>
          <w:szCs w:val="22"/>
          <w:lang w:val="en-US" w:eastAsia="zh-CN" w:bidi="ar-SA"/>
        </w:rPr>
        <w:t>万元，其中：</w:t>
      </w:r>
      <w:r>
        <w:rPr>
          <w:rFonts w:hint="eastAsia" w:ascii="仿宋_GB2312" w:cs="Times New Roman"/>
          <w:color w:val="000000"/>
          <w:kern w:val="2"/>
          <w:sz w:val="28"/>
          <w:szCs w:val="22"/>
          <w:lang w:val="en-US" w:eastAsia="zh-CN" w:bidi="ar-SA"/>
        </w:rPr>
        <w:t>工程费用653.90万</w:t>
      </w:r>
      <w:r>
        <w:rPr>
          <w:rFonts w:hint="eastAsia" w:ascii="仿宋_GB2312" w:hAnsi="Times New Roman" w:eastAsia="仿宋_GB2312" w:cs="Times New Roman"/>
          <w:color w:val="000000"/>
          <w:kern w:val="2"/>
          <w:sz w:val="28"/>
          <w:szCs w:val="22"/>
          <w:lang w:val="en-US" w:eastAsia="zh-CN" w:bidi="ar-SA"/>
        </w:rPr>
        <w:t>元，</w:t>
      </w:r>
      <w:r>
        <w:rPr>
          <w:rFonts w:hint="eastAsia" w:ascii="仿宋_GB2312" w:cs="Times New Roman"/>
          <w:color w:val="000000"/>
          <w:kern w:val="2"/>
          <w:sz w:val="28"/>
          <w:szCs w:val="22"/>
          <w:lang w:val="en-US" w:eastAsia="zh-CN" w:bidi="ar-SA"/>
        </w:rPr>
        <w:t>其他费用</w:t>
      </w: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33.59</w:t>
      </w:r>
      <w:r>
        <w:rPr>
          <w:rFonts w:hint="eastAsia" w:ascii="仿宋_GB2312" w:hAnsi="Times New Roman" w:eastAsia="仿宋_GB2312" w:cs="Times New Roman"/>
          <w:color w:val="000000"/>
          <w:kern w:val="2"/>
          <w:sz w:val="28"/>
          <w:szCs w:val="22"/>
          <w:lang w:val="en-US" w:eastAsia="zh-CN" w:bidi="ar-SA"/>
        </w:rPr>
        <w:t>万元；预算资金执行率</w:t>
      </w:r>
      <w:r>
        <w:rPr>
          <w:rFonts w:hint="eastAsia" w:ascii="仿宋_GB2312" w:cs="Times New Roman"/>
          <w:color w:val="000000"/>
          <w:kern w:val="2"/>
          <w:sz w:val="28"/>
          <w:szCs w:val="22"/>
          <w:lang w:val="en-US" w:eastAsia="zh-CN" w:bidi="ar-SA"/>
        </w:rPr>
        <w:t>88.31</w:t>
      </w:r>
      <w:r>
        <w:rPr>
          <w:rFonts w:hint="eastAsia" w:ascii="仿宋_GB2312" w:hAnsi="Times New Roman" w:eastAsia="仿宋_GB2312" w:cs="Times New Roman"/>
          <w:color w:val="000000"/>
          <w:kern w:val="2"/>
          <w:sz w:val="28"/>
          <w:szCs w:val="22"/>
          <w:lang w:val="en-US" w:eastAsia="zh-CN" w:bidi="ar-SA"/>
        </w:rPr>
        <w:t>%。</w:t>
      </w:r>
    </w:p>
    <w:p w14:paraId="150EF58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3.项目资金管理情况分析</w:t>
      </w:r>
    </w:p>
    <w:p w14:paraId="6EA252F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7FF2709">
      <w:pPr>
        <w:pStyle w:val="53"/>
        <w:spacing w:line="560" w:lineRule="exact"/>
        <w:ind w:leftChars="0" w:right="3" w:firstLine="562"/>
        <w:rPr>
          <w:b/>
        </w:rPr>
      </w:pPr>
      <w:r>
        <w:rPr>
          <w:rFonts w:hint="eastAsia"/>
          <w:b/>
        </w:rPr>
        <w:t>4.项目管理情况分析</w:t>
      </w:r>
    </w:p>
    <w:p w14:paraId="0765626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在项目实施中，于田县农业农村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FE076E">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A252203">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本项目在2024年截止12月底，工程实际完成</w:t>
      </w:r>
    </w:p>
    <w:p w14:paraId="02EDFE53">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(1)建设 15 座大棚,每个单体大棚建筑面积 1009.00平方米，地上1层，大棚高度5.50米(室外地 面至屋脊)，室内外高差0.15米，共配置水肥一体机 9台，卷帘机15套，水泵2台，大棚内设置耳房，轻 型薄壁型钢结构，螺旋地桩基础；。</w:t>
      </w:r>
    </w:p>
    <w:p w14:paraId="4C91DB55">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(2)场地平整23573.86m³，沥青道路硬化面2360.77 平方米，整个场地内除道路外均换填种植土厚70公 分。 </w:t>
      </w:r>
    </w:p>
    <w:p w14:paraId="31943AB0">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(3)室外给水管网、室外供电网建设，室外灌溉输配 水管网DN80的PE管117m，DN150的PE1034.6m，水表 井2座，阀门井11座。</w:t>
      </w:r>
    </w:p>
    <w:p w14:paraId="060721D6">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该工程已完成竣工验收，资产有奥依托格拉克乡新家园小区委员会负责运行、维护。项目提供稳定的蔬菜供应，保障人民的生产和生活，提高国家的经济发展水平。</w:t>
      </w:r>
    </w:p>
    <w:p w14:paraId="26FAADA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本项目共设置一级指标3个，二级指标8个，三级指标</w:t>
      </w:r>
      <w:r>
        <w:rPr>
          <w:rFonts w:hint="eastAsia" w:ascii="仿宋_GB2312" w:cs="Times New Roman"/>
          <w:color w:val="000000"/>
          <w:kern w:val="2"/>
          <w:sz w:val="28"/>
          <w:szCs w:val="22"/>
          <w:lang w:val="en-US" w:eastAsia="zh-CN" w:bidi="ar-SA"/>
        </w:rPr>
        <w:t>21</w:t>
      </w:r>
      <w:r>
        <w:rPr>
          <w:rFonts w:hint="eastAsia" w:ascii="仿宋_GB2312" w:hAnsi="Times New Roman" w:eastAsia="仿宋_GB2312" w:cs="Times New Roman"/>
          <w:color w:val="000000"/>
          <w:kern w:val="2"/>
          <w:sz w:val="28"/>
          <w:szCs w:val="22"/>
          <w:lang w:val="en-US" w:eastAsia="zh-CN" w:bidi="ar-SA"/>
        </w:rPr>
        <w:t>个，其中已完成三级指标1</w:t>
      </w:r>
      <w:r>
        <w:rPr>
          <w:rFonts w:hint="eastAsia" w:ascii="仿宋_GB2312" w:cs="Times New Roman"/>
          <w:color w:val="000000"/>
          <w:kern w:val="2"/>
          <w:sz w:val="28"/>
          <w:szCs w:val="22"/>
          <w:lang w:val="en-US" w:eastAsia="zh-CN" w:bidi="ar-SA"/>
        </w:rPr>
        <w:t>8</w:t>
      </w:r>
      <w:r>
        <w:rPr>
          <w:rFonts w:hint="eastAsia" w:ascii="仿宋_GB2312" w:hAnsi="Times New Roman" w:eastAsia="仿宋_GB2312" w:cs="Times New Roman"/>
          <w:color w:val="000000"/>
          <w:kern w:val="2"/>
          <w:sz w:val="28"/>
          <w:szCs w:val="22"/>
          <w:lang w:val="en-US" w:eastAsia="zh-CN" w:bidi="ar-SA"/>
        </w:rPr>
        <w:t>个，指标完成率为</w:t>
      </w:r>
      <w:r>
        <w:rPr>
          <w:rFonts w:hint="eastAsia" w:ascii="仿宋_GB2312" w:cs="Times New Roman"/>
          <w:color w:val="000000"/>
          <w:kern w:val="2"/>
          <w:sz w:val="28"/>
          <w:szCs w:val="22"/>
          <w:lang w:val="en-US" w:eastAsia="zh-CN" w:bidi="ar-SA"/>
        </w:rPr>
        <w:t>85.71</w:t>
      </w:r>
      <w:r>
        <w:rPr>
          <w:rFonts w:hint="eastAsia" w:ascii="仿宋_GB2312" w:hAnsi="Times New Roman" w:eastAsia="仿宋_GB2312" w:cs="Times New Roman"/>
          <w:color w:val="000000"/>
          <w:kern w:val="2"/>
          <w:sz w:val="28"/>
          <w:szCs w:val="22"/>
          <w:lang w:val="en-US" w:eastAsia="zh-CN" w:bidi="ar-SA"/>
        </w:rPr>
        <w:t>%，指标完成情况分析如下：</w:t>
      </w:r>
    </w:p>
    <w:p w14:paraId="2D350F08">
      <w:pPr>
        <w:pStyle w:val="53"/>
        <w:spacing w:line="580" w:lineRule="exact"/>
        <w:ind w:left="0" w:leftChars="0" w:right="0" w:rightChars="0" w:firstLine="562"/>
        <w:rPr>
          <w:b/>
        </w:rPr>
      </w:pPr>
      <w:r>
        <w:rPr>
          <w:rFonts w:hint="eastAsia"/>
          <w:b/>
        </w:rPr>
        <w:t>1.产出指标完成情况分析</w:t>
      </w:r>
    </w:p>
    <w:p w14:paraId="774D69F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1.1项目完成数量</w:t>
      </w:r>
    </w:p>
    <w:p w14:paraId="5567BF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“新建温室大棚数量”指标，预期指标值为大于等于15座,全年实际值为15座，指标完成率为100.00%。所设分值3分，实际得分3分。</w:t>
      </w:r>
    </w:p>
    <w:p w14:paraId="061F10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“单座温室大棚建设面积”指标，预期指标值为大于等于1009平方米,全年实际值为1009平方米，指标完成率为100.00%。所设分值3分，实际得分3分。</w:t>
      </w:r>
    </w:p>
    <w:p w14:paraId="10CA0B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“沥青道路硬化面积”指标，预期指标值为大于等于2319.72平方米,全年实际值为2319.72平方米，指标完成率为100.00%。所设分值3分，实际得分3分。</w:t>
      </w:r>
    </w:p>
    <w:p w14:paraId="207C93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“安置水肥一体机数量”指标，预期指标值为大于等于9套,全年实际值为9套，指标完成率为100.00%。所设分值3分，实际得分3分。</w:t>
      </w:r>
    </w:p>
    <w:p w14:paraId="6C168E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“安置卷帘机数量”指标，预期指标值为大于等于15套,全年实际值为15套，指标完成率为100.00%。所设分值3分，实际得分3分。</w:t>
      </w:r>
    </w:p>
    <w:p w14:paraId="0CBCD1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“安置水泵数量”指标，预期指标值为大于等于1台,全年实际值为1台，指标完成率为100.00%。所设分值3分，实际得分3分。</w:t>
      </w:r>
    </w:p>
    <w:p w14:paraId="6FEEDB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“室外灌溉输配水管网 DN80 的 PE 管长度”指标，预期指标值为大于等于117米,全年实际值为117米，指标完成率为100.00%。所设分值3分，实际得分3分。</w:t>
      </w:r>
    </w:p>
    <w:p w14:paraId="50694A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“DN150 的 PE 管长度”指标，预期指标值为大于等于1114米,全年实际值为1114米，指标完成率为100.00%。所设分值3分，实际得分3分。</w:t>
      </w:r>
    </w:p>
    <w:p w14:paraId="6D972B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“水表井数量”指标，预期指标值为大于等于2座,全年实际值为2座，指标完成率为100.00%。所设分值3分，实际得分3分。</w:t>
      </w:r>
    </w:p>
    <w:p w14:paraId="1BF0E9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lang w:val="en-US" w:eastAsia="zh-CN"/>
        </w:rPr>
      </w:pPr>
      <w:r>
        <w:rPr>
          <w:rFonts w:hint="eastAsia" w:ascii="仿宋_GB2312" w:hAnsi="Times New Roman" w:eastAsia="仿宋_GB2312" w:cs="Times New Roman"/>
          <w:color w:val="000000"/>
          <w:kern w:val="2"/>
          <w:sz w:val="28"/>
          <w:szCs w:val="22"/>
          <w:lang w:val="en-US" w:eastAsia="zh-CN" w:bidi="ar-SA"/>
        </w:rPr>
        <w:t>“阀门井数量”指标，预期指标值为大于等于11座,全年实际值为11座，指标完成率为100.00%。所设分值3分，实际得分3分。</w:t>
      </w:r>
    </w:p>
    <w:p w14:paraId="093D9CD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1.2项目完成质量</w:t>
      </w:r>
    </w:p>
    <w:p w14:paraId="78799C4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“工程验收合格率”指标，预期指标值为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w:t>
      </w:r>
    </w:p>
    <w:p w14:paraId="4D5D213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资金支付合规率</w:t>
      </w:r>
      <w:r>
        <w:rPr>
          <w:rFonts w:hint="eastAsia" w:ascii="仿宋_GB2312" w:hAnsi="Times New Roman" w:eastAsia="仿宋_GB2312" w:cs="Times New Roman"/>
          <w:color w:val="000000"/>
          <w:kern w:val="2"/>
          <w:sz w:val="28"/>
          <w:szCs w:val="22"/>
          <w:lang w:val="en-US" w:eastAsia="zh-CN" w:bidi="ar-SA"/>
        </w:rPr>
        <w:t>”指标，预期指标值为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w:t>
      </w:r>
      <w:r>
        <w:rPr>
          <w:rFonts w:hint="eastAsia" w:ascii="仿宋_GB2312" w:cs="Times New Roman"/>
          <w:color w:val="000000"/>
          <w:kern w:val="2"/>
          <w:sz w:val="28"/>
          <w:szCs w:val="22"/>
          <w:lang w:val="en-US" w:eastAsia="zh-CN" w:bidi="ar-SA"/>
        </w:rPr>
        <w:t>。</w:t>
      </w:r>
    </w:p>
    <w:p w14:paraId="172E425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1.3项目完成时效</w:t>
      </w:r>
    </w:p>
    <w:p w14:paraId="7FC87C29">
      <w:pPr>
        <w:pStyle w:val="53"/>
        <w:spacing w:line="560" w:lineRule="exact"/>
        <w:ind w:left="3" w:right="3" w:firstLine="560"/>
        <w:rPr>
          <w:rFonts w:hint="default"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资金支付及时率</w:t>
      </w:r>
      <w:r>
        <w:rPr>
          <w:rFonts w:hint="eastAsia" w:ascii="仿宋_GB2312" w:hAnsi="Times New Roman" w:eastAsia="仿宋_GB2312" w:cs="Times New Roman"/>
          <w:color w:val="000000"/>
          <w:kern w:val="2"/>
          <w:sz w:val="28"/>
          <w:szCs w:val="22"/>
          <w:lang w:val="en-US" w:eastAsia="zh-CN" w:bidi="ar-SA"/>
        </w:rPr>
        <w:t>”指标，预期指标值为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w:t>
      </w:r>
      <w:r>
        <w:rPr>
          <w:rFonts w:hint="eastAsia" w:ascii="仿宋_GB2312" w:cs="Times New Roman"/>
          <w:color w:val="000000"/>
          <w:kern w:val="2"/>
          <w:sz w:val="28"/>
          <w:szCs w:val="22"/>
          <w:lang w:val="en-US" w:eastAsia="zh-CN" w:bidi="ar-SA"/>
        </w:rPr>
        <w:t>100</w:t>
      </w:r>
      <w:r>
        <w:rPr>
          <w:rFonts w:hint="eastAsia" w:ascii="仿宋_GB2312" w:hAnsi="Times New Roman" w:eastAsia="仿宋_GB2312" w:cs="Times New Roman"/>
          <w:color w:val="000000"/>
          <w:kern w:val="2"/>
          <w:sz w:val="28"/>
          <w:szCs w:val="22"/>
          <w:lang w:val="en-US" w:eastAsia="zh-CN" w:bidi="ar-SA"/>
        </w:rPr>
        <w:t>.00%。所设分值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w:t>
      </w:r>
      <w:r>
        <w:rPr>
          <w:rFonts w:hint="eastAsia" w:ascii="仿宋_GB2312" w:cs="Times New Roman"/>
          <w:color w:val="000000"/>
          <w:kern w:val="2"/>
          <w:sz w:val="28"/>
          <w:szCs w:val="22"/>
          <w:lang w:val="en-US" w:eastAsia="zh-CN" w:bidi="ar-SA"/>
        </w:rPr>
        <w:t>。</w:t>
      </w:r>
    </w:p>
    <w:p w14:paraId="142C425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工程开工时间</w:t>
      </w:r>
      <w:r>
        <w:rPr>
          <w:rFonts w:hint="eastAsia" w:ascii="仿宋_GB2312" w:hAnsi="Times New Roman" w:eastAsia="仿宋_GB2312" w:cs="Times New Roman"/>
          <w:color w:val="000000"/>
          <w:kern w:val="2"/>
          <w:sz w:val="28"/>
          <w:szCs w:val="22"/>
          <w:lang w:val="en-US" w:eastAsia="zh-CN" w:bidi="ar-SA"/>
        </w:rPr>
        <w:t>”指标，预期指标值为202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月,全年实际值为202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8</w:t>
      </w:r>
      <w:r>
        <w:rPr>
          <w:rFonts w:hint="eastAsia" w:ascii="仿宋_GB2312" w:hAnsi="Times New Roman" w:eastAsia="仿宋_GB2312" w:cs="Times New Roman"/>
          <w:color w:val="000000"/>
          <w:kern w:val="2"/>
          <w:sz w:val="28"/>
          <w:szCs w:val="22"/>
          <w:lang w:val="en-US" w:eastAsia="zh-CN" w:bidi="ar-SA"/>
        </w:rPr>
        <w:t>月，指标完成率为</w:t>
      </w:r>
      <w:r>
        <w:rPr>
          <w:rFonts w:hint="eastAsia" w:ascii="仿宋_GB2312" w:cs="Times New Roman"/>
          <w:color w:val="000000"/>
          <w:kern w:val="2"/>
          <w:sz w:val="28"/>
          <w:szCs w:val="22"/>
          <w:lang w:val="en-US" w:eastAsia="zh-CN" w:bidi="ar-SA"/>
        </w:rPr>
        <w:t>60</w:t>
      </w:r>
      <w:r>
        <w:rPr>
          <w:rFonts w:hint="eastAsia" w:ascii="仿宋_GB2312" w:hAnsi="Times New Roman" w:eastAsia="仿宋_GB2312" w:cs="Times New Roman"/>
          <w:color w:val="000000"/>
          <w:kern w:val="2"/>
          <w:sz w:val="28"/>
          <w:szCs w:val="22"/>
          <w:lang w:val="en-US" w:eastAsia="zh-CN" w:bidi="ar-SA"/>
        </w:rPr>
        <w:t>.00%。所设分值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w:t>
      </w:r>
      <w:r>
        <w:rPr>
          <w:rFonts w:hint="eastAsia" w:ascii="仿宋_GB2312" w:cs="Times New Roman"/>
          <w:color w:val="000000"/>
          <w:kern w:val="2"/>
          <w:sz w:val="28"/>
          <w:szCs w:val="22"/>
          <w:lang w:val="en-US" w:eastAsia="zh-CN" w:bidi="ar-SA"/>
        </w:rPr>
        <w:t>1.8</w:t>
      </w:r>
      <w:r>
        <w:rPr>
          <w:rFonts w:hint="eastAsia" w:ascii="仿宋_GB2312" w:hAnsi="Times New Roman" w:eastAsia="仿宋_GB2312" w:cs="Times New Roman"/>
          <w:color w:val="000000"/>
          <w:kern w:val="2"/>
          <w:sz w:val="28"/>
          <w:szCs w:val="22"/>
          <w:lang w:val="en-US" w:eastAsia="zh-CN" w:bidi="ar-SA"/>
        </w:rPr>
        <w:t>分。</w:t>
      </w:r>
    </w:p>
    <w:p w14:paraId="1F1579F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偏差原因：项目前期准备时间较长，7月才招标。</w:t>
      </w:r>
    </w:p>
    <w:p w14:paraId="5A5C674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5EF3059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工程完工时间</w:t>
      </w:r>
      <w:r>
        <w:rPr>
          <w:rFonts w:hint="eastAsia" w:ascii="仿宋_GB2312" w:hAnsi="Times New Roman" w:eastAsia="仿宋_GB2312" w:cs="Times New Roman"/>
          <w:color w:val="000000"/>
          <w:kern w:val="2"/>
          <w:sz w:val="28"/>
          <w:szCs w:val="22"/>
          <w:lang w:val="en-US" w:eastAsia="zh-CN" w:bidi="ar-SA"/>
        </w:rPr>
        <w:t>”指标，预期指标值为202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12</w:t>
      </w:r>
      <w:r>
        <w:rPr>
          <w:rFonts w:hint="eastAsia" w:ascii="仿宋_GB2312" w:hAnsi="Times New Roman" w:eastAsia="仿宋_GB2312" w:cs="Times New Roman"/>
          <w:color w:val="000000"/>
          <w:kern w:val="2"/>
          <w:sz w:val="28"/>
          <w:szCs w:val="22"/>
          <w:lang w:val="en-US" w:eastAsia="zh-CN" w:bidi="ar-SA"/>
        </w:rPr>
        <w:t>月,全年实际值为202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12</w:t>
      </w:r>
      <w:r>
        <w:rPr>
          <w:rFonts w:hint="eastAsia" w:ascii="仿宋_GB2312" w:hAnsi="Times New Roman" w:eastAsia="仿宋_GB2312" w:cs="Times New Roman"/>
          <w:color w:val="000000"/>
          <w:kern w:val="2"/>
          <w:sz w:val="28"/>
          <w:szCs w:val="22"/>
          <w:lang w:val="en-US" w:eastAsia="zh-CN" w:bidi="ar-SA"/>
        </w:rPr>
        <w:t>月，指标完成率为100.00%。所设分值</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 xml:space="preserve">分。        </w:t>
      </w:r>
    </w:p>
    <w:p w14:paraId="36D9491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1.4项目成本节约情况</w:t>
      </w:r>
    </w:p>
    <w:p w14:paraId="67E0041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为有效控制项目实施成本，我单位在实施项目前就该项目设定了成本控制指标，实施过程中我单位通过公开招标的方式有效降低了项目执行成本，具体指标设置及完成情况如下：</w:t>
      </w:r>
    </w:p>
    <w:p w14:paraId="095D7C8A">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“工程</w:t>
      </w:r>
      <w:r>
        <w:rPr>
          <w:rFonts w:hint="eastAsia" w:ascii="仿宋_GB2312" w:cs="Times New Roman"/>
          <w:color w:val="000000"/>
          <w:kern w:val="2"/>
          <w:sz w:val="28"/>
          <w:szCs w:val="22"/>
          <w:lang w:val="en-US" w:eastAsia="zh-CN" w:bidi="ar-SA"/>
        </w:rPr>
        <w:t>费用</w:t>
      </w:r>
      <w:r>
        <w:rPr>
          <w:rFonts w:hint="eastAsia" w:ascii="仿宋_GB2312" w:hAnsi="Times New Roman" w:eastAsia="仿宋_GB2312" w:cs="Times New Roman"/>
          <w:color w:val="000000"/>
          <w:kern w:val="2"/>
          <w:sz w:val="28"/>
          <w:szCs w:val="22"/>
          <w:lang w:val="en-US" w:eastAsia="zh-CN" w:bidi="ar-SA"/>
        </w:rPr>
        <w:t>”指标，预期指标值为</w:t>
      </w:r>
      <w:r>
        <w:rPr>
          <w:rFonts w:hint="eastAsia" w:ascii="仿宋_GB2312" w:cs="Times New Roman"/>
          <w:color w:val="000000"/>
          <w:kern w:val="2"/>
          <w:sz w:val="28"/>
          <w:szCs w:val="22"/>
          <w:lang w:val="en-US" w:eastAsia="zh-CN" w:bidi="ar-SA"/>
        </w:rPr>
        <w:t>小于等于</w:t>
      </w:r>
      <w:r>
        <w:rPr>
          <w:rFonts w:hint="eastAsia" w:ascii="仿宋_GB2312" w:hAnsi="Times New Roman" w:eastAsia="仿宋_GB2312" w:cs="Times New Roman"/>
          <w:color w:val="000000"/>
          <w:kern w:val="2"/>
          <w:sz w:val="28"/>
          <w:szCs w:val="22"/>
          <w:lang w:val="en-US" w:eastAsia="zh-CN" w:bidi="ar-SA"/>
        </w:rPr>
        <w:t>735.91万元, 全年实际值为</w:t>
      </w:r>
      <w:r>
        <w:rPr>
          <w:rFonts w:hint="eastAsia" w:ascii="仿宋_GB2312" w:cs="Times New Roman"/>
          <w:color w:val="000000"/>
          <w:kern w:val="2"/>
          <w:sz w:val="28"/>
          <w:szCs w:val="22"/>
          <w:lang w:val="en-US" w:eastAsia="zh-CN" w:bidi="ar-SA"/>
        </w:rPr>
        <w:t>653.90</w:t>
      </w:r>
      <w:r>
        <w:rPr>
          <w:rFonts w:hint="eastAsia" w:ascii="仿宋_GB2312" w:hAnsi="Times New Roman" w:eastAsia="仿宋_GB2312" w:cs="Times New Roman"/>
          <w:color w:val="000000"/>
          <w:kern w:val="2"/>
          <w:sz w:val="28"/>
          <w:szCs w:val="22"/>
          <w:lang w:val="en-US" w:eastAsia="zh-CN" w:bidi="ar-SA"/>
        </w:rPr>
        <w:t>万元，指标完成率为</w:t>
      </w:r>
      <w:r>
        <w:rPr>
          <w:rFonts w:hint="eastAsia" w:ascii="仿宋_GB2312" w:cs="Times New Roman"/>
          <w:color w:val="000000"/>
          <w:kern w:val="2"/>
          <w:sz w:val="28"/>
          <w:szCs w:val="22"/>
          <w:lang w:val="en-US" w:eastAsia="zh-CN" w:bidi="ar-SA"/>
        </w:rPr>
        <w:t>88.86</w:t>
      </w:r>
      <w:r>
        <w:rPr>
          <w:rFonts w:hint="eastAsia" w:ascii="仿宋_GB2312" w:hAnsi="Times New Roman" w:eastAsia="仿宋_GB2312" w:cs="Times New Roman"/>
          <w:color w:val="000000"/>
          <w:kern w:val="2"/>
          <w:sz w:val="28"/>
          <w:szCs w:val="22"/>
          <w:lang w:val="en-US" w:eastAsia="zh-CN" w:bidi="ar-SA"/>
        </w:rPr>
        <w:t>%。所设分值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2.67</w:t>
      </w:r>
      <w:r>
        <w:rPr>
          <w:rFonts w:hint="eastAsia" w:ascii="仿宋_GB2312" w:hAnsi="Times New Roman" w:eastAsia="仿宋_GB2312" w:cs="Times New Roman"/>
          <w:color w:val="000000"/>
          <w:kern w:val="2"/>
          <w:sz w:val="28"/>
          <w:szCs w:val="22"/>
          <w:lang w:val="en-US" w:eastAsia="zh-CN" w:bidi="ar-SA"/>
        </w:rPr>
        <w:t>分。</w:t>
      </w:r>
    </w:p>
    <w:p w14:paraId="24449E1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偏差原因：项目已完工，最总审定金额为687.49万元，剩余资金结余，财政已收回。</w:t>
      </w:r>
    </w:p>
    <w:p w14:paraId="0522128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330706C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“工程建设其他费用”指标，预期指标值为</w:t>
      </w:r>
      <w:r>
        <w:rPr>
          <w:rFonts w:hint="eastAsia" w:ascii="仿宋_GB2312" w:cs="Times New Roman"/>
          <w:color w:val="000000"/>
          <w:kern w:val="2"/>
          <w:sz w:val="28"/>
          <w:szCs w:val="22"/>
          <w:lang w:val="en-US" w:eastAsia="zh-CN" w:bidi="ar-SA"/>
        </w:rPr>
        <w:t>小于等于</w:t>
      </w:r>
      <w:r>
        <w:rPr>
          <w:rFonts w:hint="eastAsia" w:ascii="仿宋_GB2312" w:hAnsi="Times New Roman" w:eastAsia="仿宋_GB2312" w:cs="Times New Roman"/>
          <w:color w:val="000000"/>
          <w:kern w:val="2"/>
          <w:sz w:val="28"/>
          <w:szCs w:val="22"/>
          <w:lang w:val="en-US" w:eastAsia="zh-CN" w:bidi="ar-SA"/>
        </w:rPr>
        <w:t>42.57万元, 全年实际值为</w:t>
      </w:r>
      <w:r>
        <w:rPr>
          <w:rFonts w:hint="eastAsia" w:ascii="仿宋_GB2312" w:cs="Times New Roman"/>
          <w:color w:val="000000"/>
          <w:kern w:val="2"/>
          <w:sz w:val="28"/>
          <w:szCs w:val="22"/>
          <w:lang w:val="en-US" w:eastAsia="zh-CN" w:bidi="ar-SA"/>
        </w:rPr>
        <w:t>33.59</w:t>
      </w:r>
      <w:r>
        <w:rPr>
          <w:rFonts w:hint="eastAsia" w:ascii="仿宋_GB2312" w:hAnsi="Times New Roman" w:eastAsia="仿宋_GB2312" w:cs="Times New Roman"/>
          <w:color w:val="000000"/>
          <w:kern w:val="2"/>
          <w:sz w:val="28"/>
          <w:szCs w:val="22"/>
          <w:lang w:val="en-US" w:eastAsia="zh-CN" w:bidi="ar-SA"/>
        </w:rPr>
        <w:t>万元，指标完成率为</w:t>
      </w:r>
      <w:r>
        <w:rPr>
          <w:rFonts w:hint="eastAsia" w:ascii="仿宋_GB2312" w:cs="Times New Roman"/>
          <w:color w:val="000000"/>
          <w:kern w:val="2"/>
          <w:sz w:val="28"/>
          <w:szCs w:val="22"/>
          <w:lang w:val="en-US" w:eastAsia="zh-CN" w:bidi="ar-SA"/>
        </w:rPr>
        <w:t>78.91</w:t>
      </w:r>
      <w:r>
        <w:rPr>
          <w:rFonts w:hint="eastAsia" w:ascii="仿宋_GB2312" w:hAnsi="Times New Roman" w:eastAsia="仿宋_GB2312" w:cs="Times New Roman"/>
          <w:color w:val="000000"/>
          <w:kern w:val="2"/>
          <w:sz w:val="28"/>
          <w:szCs w:val="22"/>
          <w:lang w:val="en-US" w:eastAsia="zh-CN" w:bidi="ar-SA"/>
        </w:rPr>
        <w:t>%。所设分值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2.37</w:t>
      </w:r>
      <w:r>
        <w:rPr>
          <w:rFonts w:hint="eastAsia" w:ascii="仿宋_GB2312" w:hAnsi="Times New Roman" w:eastAsia="仿宋_GB2312" w:cs="Times New Roman"/>
          <w:color w:val="000000"/>
          <w:kern w:val="2"/>
          <w:sz w:val="28"/>
          <w:szCs w:val="22"/>
          <w:lang w:val="en-US" w:eastAsia="zh-CN" w:bidi="ar-SA"/>
        </w:rPr>
        <w:t>分。</w:t>
      </w:r>
    </w:p>
    <w:p w14:paraId="3139EC4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偏差原因：项目已完工，最总审定金额为687.49万元，剩余资金结余，财政已收回。</w:t>
      </w:r>
    </w:p>
    <w:p w14:paraId="71177487">
      <w:pPr>
        <w:pStyle w:val="53"/>
        <w:spacing w:line="560" w:lineRule="exact"/>
        <w:ind w:left="3" w:right="3" w:firstLine="560"/>
        <w:rPr>
          <w:rFonts w:hint="default"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69E8370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2.效益指标完成情况分析</w:t>
      </w:r>
    </w:p>
    <w:p w14:paraId="52BE688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2.1项目实施的经济效益分析</w:t>
      </w:r>
    </w:p>
    <w:p w14:paraId="19B3896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“带动</w:t>
      </w:r>
      <w:r>
        <w:rPr>
          <w:rFonts w:hint="eastAsia" w:ascii="仿宋_GB2312" w:cs="Times New Roman"/>
          <w:color w:val="000000"/>
          <w:kern w:val="2"/>
          <w:sz w:val="28"/>
          <w:szCs w:val="22"/>
          <w:lang w:val="en-US" w:eastAsia="zh-CN" w:bidi="ar-SA"/>
        </w:rPr>
        <w:t>增加</w:t>
      </w:r>
      <w:r>
        <w:rPr>
          <w:rFonts w:hint="eastAsia" w:ascii="仿宋_GB2312" w:hAnsi="Times New Roman" w:eastAsia="仿宋_GB2312" w:cs="Times New Roman"/>
          <w:color w:val="000000"/>
          <w:kern w:val="2"/>
          <w:sz w:val="28"/>
          <w:szCs w:val="22"/>
          <w:lang w:val="en-US" w:eastAsia="zh-CN" w:bidi="ar-SA"/>
        </w:rPr>
        <w:t>农户全年总收入”指标，指标预期值为</w:t>
      </w:r>
      <w:r>
        <w:rPr>
          <w:rFonts w:hint="eastAsia" w:ascii="仿宋_GB2312" w:cs="Times New Roman"/>
          <w:color w:val="000000"/>
          <w:kern w:val="2"/>
          <w:sz w:val="28"/>
          <w:szCs w:val="22"/>
          <w:lang w:val="en-US" w:eastAsia="zh-CN" w:bidi="ar-SA"/>
        </w:rPr>
        <w:t>大于等于9</w:t>
      </w:r>
      <w:r>
        <w:rPr>
          <w:rFonts w:hint="eastAsia" w:ascii="仿宋_GB2312" w:hAnsi="Times New Roman" w:eastAsia="仿宋_GB2312" w:cs="Times New Roman"/>
          <w:color w:val="000000"/>
          <w:kern w:val="2"/>
          <w:sz w:val="28"/>
          <w:szCs w:val="22"/>
          <w:lang w:val="en-US" w:eastAsia="zh-CN" w:bidi="ar-SA"/>
        </w:rPr>
        <w:t>万元，实际完成值为</w:t>
      </w:r>
      <w:r>
        <w:rPr>
          <w:rFonts w:hint="eastAsia" w:ascii="仿宋_GB2312" w:cs="Times New Roman"/>
          <w:color w:val="000000"/>
          <w:kern w:val="2"/>
          <w:sz w:val="28"/>
          <w:szCs w:val="22"/>
          <w:lang w:val="en-US" w:eastAsia="zh-CN" w:bidi="ar-SA"/>
        </w:rPr>
        <w:t>16.53</w:t>
      </w:r>
      <w:r>
        <w:rPr>
          <w:rFonts w:hint="eastAsia" w:ascii="仿宋_GB2312" w:hAnsi="Times New Roman" w:eastAsia="仿宋_GB2312" w:cs="Times New Roman"/>
          <w:color w:val="000000"/>
          <w:kern w:val="2"/>
          <w:sz w:val="28"/>
          <w:szCs w:val="22"/>
          <w:lang w:val="en-US" w:eastAsia="zh-CN" w:bidi="ar-SA"/>
        </w:rPr>
        <w:t>万元，指标完成率为100.00%。所设分值</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w:t>
      </w:r>
    </w:p>
    <w:p w14:paraId="68372B6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2.2项目实施的社会效益分析</w:t>
      </w:r>
    </w:p>
    <w:p w14:paraId="76D9550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“受益建档立卡脱贫户</w:t>
      </w:r>
      <w:r>
        <w:rPr>
          <w:rFonts w:hint="eastAsia" w:ascii="仿宋_GB2312" w:cs="Times New Roman"/>
          <w:color w:val="000000"/>
          <w:kern w:val="2"/>
          <w:sz w:val="28"/>
          <w:szCs w:val="22"/>
          <w:lang w:val="en-US" w:eastAsia="zh-CN" w:bidi="ar-SA"/>
        </w:rPr>
        <w:t>人</w:t>
      </w:r>
      <w:r>
        <w:rPr>
          <w:rFonts w:hint="eastAsia" w:ascii="仿宋_GB2312" w:hAnsi="Times New Roman" w:eastAsia="仿宋_GB2312" w:cs="Times New Roman"/>
          <w:color w:val="000000"/>
          <w:kern w:val="2"/>
          <w:sz w:val="28"/>
          <w:szCs w:val="22"/>
          <w:lang w:val="en-US" w:eastAsia="zh-CN" w:bidi="ar-SA"/>
        </w:rPr>
        <w:t>数”指标，指标预期值为</w:t>
      </w:r>
      <w:r>
        <w:rPr>
          <w:rFonts w:hint="eastAsia" w:ascii="仿宋_GB2312" w:cs="Times New Roman"/>
          <w:color w:val="000000"/>
          <w:kern w:val="2"/>
          <w:sz w:val="28"/>
          <w:szCs w:val="22"/>
          <w:lang w:val="en-US" w:eastAsia="zh-CN" w:bidi="ar-SA"/>
        </w:rPr>
        <w:t>大于等于3</w:t>
      </w:r>
      <w:r>
        <w:rPr>
          <w:rFonts w:hint="eastAsia" w:ascii="仿宋_GB2312" w:hAnsi="Times New Roman" w:eastAsia="仿宋_GB2312" w:cs="Times New Roman"/>
          <w:color w:val="000000"/>
          <w:kern w:val="2"/>
          <w:sz w:val="28"/>
          <w:szCs w:val="22"/>
          <w:lang w:val="en-US" w:eastAsia="zh-CN" w:bidi="ar-SA"/>
        </w:rPr>
        <w:t>0人，实际完成值为</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0人，指标完成率为100%。所设分值</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w:t>
      </w:r>
    </w:p>
    <w:p w14:paraId="47E1A51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2.3项目实施的可持续影响分析</w:t>
      </w:r>
    </w:p>
    <w:p w14:paraId="2AC212D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主体结构使用年限</w:t>
      </w:r>
      <w:r>
        <w:rPr>
          <w:rFonts w:hint="eastAsia" w:ascii="仿宋_GB2312" w:hAnsi="Times New Roman" w:eastAsia="仿宋_GB2312" w:cs="Times New Roman"/>
          <w:color w:val="000000"/>
          <w:kern w:val="2"/>
          <w:sz w:val="28"/>
          <w:szCs w:val="22"/>
          <w:lang w:val="en-US" w:eastAsia="zh-CN" w:bidi="ar-SA"/>
        </w:rPr>
        <w:t>”指标，指标预期值为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1</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年，实际完成值为1</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年，指标完成率为100.00%。所设分值</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分。</w:t>
      </w:r>
    </w:p>
    <w:p w14:paraId="22A5877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3.满意度指标完成情况分析</w:t>
      </w:r>
    </w:p>
    <w:p w14:paraId="5725A4B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项目受益人口</w:t>
      </w:r>
      <w:r>
        <w:rPr>
          <w:rFonts w:hint="eastAsia" w:ascii="仿宋_GB2312" w:hAnsi="Times New Roman" w:eastAsia="仿宋_GB2312" w:cs="Times New Roman"/>
          <w:color w:val="000000"/>
          <w:kern w:val="2"/>
          <w:sz w:val="28"/>
          <w:szCs w:val="22"/>
          <w:lang w:val="en-US" w:eastAsia="zh-CN" w:bidi="ar-SA"/>
        </w:rPr>
        <w:t>满意度”指标，指标预期指标值为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95%，实际完成值为95%，指标完成率为100.00%。所设分值10分，实际得分10分。</w:t>
      </w:r>
    </w:p>
    <w:p w14:paraId="047FF09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项目实施完成后我单位就该项目的满意度采取抽样发放调查问卷的方式开展调查，通过对调查问卷的梳理和统计，</w:t>
      </w:r>
      <w:r>
        <w:rPr>
          <w:rFonts w:hint="eastAsia" w:ascii="仿宋_GB2312" w:cs="Times New Roman"/>
          <w:color w:val="000000"/>
          <w:kern w:val="2"/>
          <w:sz w:val="28"/>
          <w:szCs w:val="22"/>
          <w:lang w:val="en-US" w:eastAsia="zh-CN" w:bidi="ar-SA"/>
        </w:rPr>
        <w:t>项目受益人口</w:t>
      </w:r>
      <w:r>
        <w:rPr>
          <w:rFonts w:hint="eastAsia" w:ascii="仿宋_GB2312" w:hAnsi="Times New Roman" w:eastAsia="仿宋_GB2312" w:cs="Times New Roman"/>
          <w:color w:val="000000"/>
          <w:kern w:val="2"/>
          <w:sz w:val="28"/>
          <w:szCs w:val="22"/>
          <w:lang w:val="en-US" w:eastAsia="zh-CN" w:bidi="ar-SA"/>
        </w:rPr>
        <w:t>满意度指标综合满意率为95.00%。</w:t>
      </w:r>
    </w:p>
    <w:p w14:paraId="4752C41D">
      <w:pPr>
        <w:pStyle w:val="30"/>
        <w:numPr>
          <w:ilvl w:val="0"/>
          <w:numId w:val="1"/>
        </w:numPr>
        <w:spacing w:before="120"/>
        <w:ind w:left="0" w:leftChars="0" w:right="3" w:firstLine="562" w:firstLineChars="200"/>
        <w:rPr>
          <w:rFonts w:hint="eastAsia"/>
        </w:rPr>
      </w:pPr>
      <w:r>
        <w:rPr>
          <w:rFonts w:hint="eastAsia"/>
        </w:rPr>
        <w:t>偏离绩效目标的原因和下一步改进措施</w:t>
      </w:r>
    </w:p>
    <w:p w14:paraId="5073B06B">
      <w:pPr>
        <w:pStyle w:val="53"/>
        <w:spacing w:line="560" w:lineRule="exact"/>
        <w:ind w:left="3" w:right="3" w:firstLine="560"/>
        <w:rPr>
          <w:rFonts w:hint="default"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1.时效指标-工程开工时间：</w:t>
      </w:r>
      <w:r>
        <w:rPr>
          <w:rFonts w:hint="eastAsia" w:ascii="仿宋_GB2312" w:hAnsi="Times New Roman" w:eastAsia="仿宋_GB2312" w:cs="Times New Roman"/>
          <w:color w:val="000000"/>
          <w:kern w:val="2"/>
          <w:sz w:val="28"/>
          <w:szCs w:val="22"/>
          <w:lang w:val="en-US" w:eastAsia="zh-CN" w:bidi="ar-SA"/>
        </w:rPr>
        <w:t>预期指标值为</w:t>
      </w:r>
      <w:r>
        <w:rPr>
          <w:rFonts w:hint="eastAsia" w:ascii="仿宋_GB2312" w:cs="Times New Roman"/>
          <w:color w:val="000000"/>
          <w:kern w:val="2"/>
          <w:sz w:val="28"/>
          <w:szCs w:val="22"/>
          <w:lang w:val="en-US" w:eastAsia="zh-CN" w:bidi="ar-SA"/>
        </w:rPr>
        <w:t>2024年1月，实际完成值为2024年8月。</w:t>
      </w:r>
    </w:p>
    <w:p w14:paraId="4EBED04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偏差原因：项目前期准备时间较长，7月才招标。</w:t>
      </w:r>
    </w:p>
    <w:p w14:paraId="7A0FE4E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1479DA12">
      <w:pPr>
        <w:pStyle w:val="53"/>
        <w:spacing w:line="560" w:lineRule="exact"/>
        <w:ind w:left="3" w:right="3" w:firstLine="560"/>
        <w:rPr>
          <w:rFonts w:hint="default"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2.成本指标-工程费用-</w:t>
      </w:r>
      <w:r>
        <w:rPr>
          <w:rFonts w:hint="eastAsia" w:ascii="仿宋_GB2312" w:hAnsi="Times New Roman" w:eastAsia="仿宋_GB2312" w:cs="Times New Roman"/>
          <w:color w:val="000000"/>
          <w:kern w:val="2"/>
          <w:sz w:val="28"/>
          <w:szCs w:val="22"/>
          <w:lang w:val="en-US" w:eastAsia="zh-CN" w:bidi="ar-SA"/>
        </w:rPr>
        <w:t>预期指标值为</w:t>
      </w:r>
      <w:r>
        <w:rPr>
          <w:rFonts w:hint="eastAsia" w:ascii="仿宋_GB2312" w:cs="Times New Roman"/>
          <w:color w:val="000000"/>
          <w:kern w:val="2"/>
          <w:sz w:val="28"/>
          <w:szCs w:val="22"/>
          <w:lang w:val="en-US" w:eastAsia="zh-CN" w:bidi="ar-SA"/>
        </w:rPr>
        <w:t>小于等于735.91</w:t>
      </w:r>
      <w:r>
        <w:rPr>
          <w:rFonts w:hint="eastAsia" w:ascii="仿宋_GB2312" w:hAnsi="Times New Roman" w:eastAsia="仿宋_GB2312" w:cs="Times New Roman"/>
          <w:color w:val="000000"/>
          <w:kern w:val="2"/>
          <w:sz w:val="28"/>
          <w:szCs w:val="22"/>
          <w:lang w:val="en-US" w:eastAsia="zh-CN" w:bidi="ar-SA"/>
        </w:rPr>
        <w:t>万元, 全年实际值为</w:t>
      </w:r>
      <w:r>
        <w:rPr>
          <w:rFonts w:hint="eastAsia" w:ascii="仿宋_GB2312" w:cs="Times New Roman"/>
          <w:color w:val="000000"/>
          <w:kern w:val="2"/>
          <w:sz w:val="28"/>
          <w:szCs w:val="22"/>
          <w:lang w:val="en-US" w:eastAsia="zh-CN" w:bidi="ar-SA"/>
        </w:rPr>
        <w:t>653.9</w:t>
      </w:r>
      <w:r>
        <w:rPr>
          <w:rFonts w:hint="eastAsia" w:ascii="仿宋_GB2312" w:hAnsi="Times New Roman" w:eastAsia="仿宋_GB2312" w:cs="Times New Roman"/>
          <w:color w:val="000000"/>
          <w:kern w:val="2"/>
          <w:sz w:val="28"/>
          <w:szCs w:val="22"/>
          <w:lang w:val="en-US" w:eastAsia="zh-CN" w:bidi="ar-SA"/>
        </w:rPr>
        <w:t>万元</w:t>
      </w:r>
      <w:r>
        <w:rPr>
          <w:rFonts w:hint="eastAsia" w:ascii="仿宋_GB2312" w:cs="Times New Roman"/>
          <w:color w:val="000000"/>
          <w:kern w:val="2"/>
          <w:sz w:val="28"/>
          <w:szCs w:val="22"/>
          <w:lang w:val="en-US" w:eastAsia="zh-CN" w:bidi="ar-SA"/>
        </w:rPr>
        <w:t>.</w:t>
      </w:r>
    </w:p>
    <w:p w14:paraId="7A82AFF2">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偏差原因：项目已完工，最总审定金额为687.49万元，剩余资金结余，财政已收回。</w:t>
      </w:r>
    </w:p>
    <w:p w14:paraId="1DE39C52">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63A2C3E4">
      <w:pPr>
        <w:pStyle w:val="53"/>
        <w:spacing w:line="560" w:lineRule="exact"/>
        <w:ind w:left="3" w:right="3" w:firstLine="560"/>
        <w:rPr>
          <w:rFonts w:hint="default"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3.成本指标-工程建设其他费用-</w:t>
      </w:r>
      <w:r>
        <w:rPr>
          <w:rFonts w:hint="eastAsia" w:ascii="仿宋_GB2312" w:hAnsi="Times New Roman" w:eastAsia="仿宋_GB2312" w:cs="Times New Roman"/>
          <w:color w:val="000000"/>
          <w:kern w:val="2"/>
          <w:sz w:val="28"/>
          <w:szCs w:val="22"/>
          <w:lang w:val="en-US" w:eastAsia="zh-CN" w:bidi="ar-SA"/>
        </w:rPr>
        <w:t>预期指标值为</w:t>
      </w:r>
      <w:r>
        <w:rPr>
          <w:rFonts w:hint="eastAsia" w:ascii="仿宋_GB2312" w:cs="Times New Roman"/>
          <w:color w:val="000000"/>
          <w:kern w:val="2"/>
          <w:sz w:val="28"/>
          <w:szCs w:val="22"/>
          <w:lang w:val="en-US" w:eastAsia="zh-CN" w:bidi="ar-SA"/>
        </w:rPr>
        <w:t>小于等于42.57</w:t>
      </w:r>
      <w:r>
        <w:rPr>
          <w:rFonts w:hint="eastAsia" w:ascii="仿宋_GB2312" w:hAnsi="Times New Roman" w:eastAsia="仿宋_GB2312" w:cs="Times New Roman"/>
          <w:color w:val="000000"/>
          <w:kern w:val="2"/>
          <w:sz w:val="28"/>
          <w:szCs w:val="22"/>
          <w:lang w:val="en-US" w:eastAsia="zh-CN" w:bidi="ar-SA"/>
        </w:rPr>
        <w:t>万元, 全年实际值为</w:t>
      </w:r>
      <w:r>
        <w:rPr>
          <w:rFonts w:hint="eastAsia" w:ascii="仿宋_GB2312" w:cs="Times New Roman"/>
          <w:color w:val="000000"/>
          <w:kern w:val="2"/>
          <w:sz w:val="28"/>
          <w:szCs w:val="22"/>
          <w:lang w:val="en-US" w:eastAsia="zh-CN" w:bidi="ar-SA"/>
        </w:rPr>
        <w:t>33.59</w:t>
      </w:r>
      <w:r>
        <w:rPr>
          <w:rFonts w:hint="eastAsia" w:ascii="仿宋_GB2312" w:hAnsi="Times New Roman" w:eastAsia="仿宋_GB2312" w:cs="Times New Roman"/>
          <w:color w:val="000000"/>
          <w:kern w:val="2"/>
          <w:sz w:val="28"/>
          <w:szCs w:val="22"/>
          <w:lang w:val="en-US" w:eastAsia="zh-CN" w:bidi="ar-SA"/>
        </w:rPr>
        <w:t>万元</w:t>
      </w:r>
      <w:r>
        <w:rPr>
          <w:rFonts w:hint="eastAsia" w:ascii="仿宋_GB2312" w:cs="Times New Roman"/>
          <w:color w:val="000000"/>
          <w:kern w:val="2"/>
          <w:sz w:val="28"/>
          <w:szCs w:val="22"/>
          <w:lang w:val="en-US" w:eastAsia="zh-CN" w:bidi="ar-SA"/>
        </w:rPr>
        <w:t>。</w:t>
      </w:r>
    </w:p>
    <w:p w14:paraId="189A6EA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偏差原因：项目已完工，最总审定金额为687.49万元，剩余资金结余，财政已收回。</w:t>
      </w:r>
    </w:p>
    <w:p w14:paraId="77A669D2">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5A65866C">
      <w:pPr>
        <w:pStyle w:val="30"/>
        <w:spacing w:before="120"/>
        <w:ind w:left="0" w:leftChars="0" w:right="3" w:firstLine="562" w:firstLineChars="200"/>
      </w:pPr>
      <w:r>
        <w:rPr>
          <w:rFonts w:hint="eastAsia"/>
        </w:rPr>
        <w:t>五、绩效自评结果拟应用和公开情况</w:t>
      </w:r>
    </w:p>
    <w:p w14:paraId="742F3C2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项目本次评价通过文件研读、实地调研、数据采集、问卷调查方式下，全面了解于田县易地搬迁安置点高标准温室大棚建设项目（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）资金的使用效率和效果，从而得出以下综合评价结论：在绩效目标方面，本项目共设置一级指标3个，二级指标8个，三级指标</w:t>
      </w:r>
      <w:r>
        <w:rPr>
          <w:rFonts w:hint="eastAsia" w:ascii="仿宋_GB2312" w:cs="Times New Roman"/>
          <w:color w:val="000000"/>
          <w:kern w:val="2"/>
          <w:sz w:val="28"/>
          <w:szCs w:val="22"/>
          <w:lang w:val="en-US" w:eastAsia="zh-CN" w:bidi="ar-SA"/>
        </w:rPr>
        <w:t>21</w:t>
      </w:r>
      <w:r>
        <w:rPr>
          <w:rFonts w:hint="eastAsia" w:ascii="仿宋_GB2312" w:hAnsi="Times New Roman" w:eastAsia="仿宋_GB2312" w:cs="Times New Roman"/>
          <w:color w:val="000000"/>
          <w:kern w:val="2"/>
          <w:sz w:val="28"/>
          <w:szCs w:val="22"/>
          <w:lang w:val="en-US" w:eastAsia="zh-CN" w:bidi="ar-SA"/>
        </w:rPr>
        <w:t>个，其中已完成三级指标</w:t>
      </w:r>
      <w:r>
        <w:rPr>
          <w:rFonts w:hint="eastAsia" w:ascii="仿宋_GB2312" w:cs="Times New Roman"/>
          <w:color w:val="000000"/>
          <w:kern w:val="2"/>
          <w:sz w:val="28"/>
          <w:szCs w:val="22"/>
          <w:lang w:val="en-US" w:eastAsia="zh-CN" w:bidi="ar-SA"/>
        </w:rPr>
        <w:t>18</w:t>
      </w:r>
      <w:r>
        <w:rPr>
          <w:rFonts w:hint="eastAsia" w:ascii="仿宋_GB2312" w:hAnsi="Times New Roman" w:eastAsia="仿宋_GB2312" w:cs="Times New Roman"/>
          <w:color w:val="000000"/>
          <w:kern w:val="2"/>
          <w:sz w:val="28"/>
          <w:szCs w:val="22"/>
          <w:lang w:val="en-US" w:eastAsia="zh-CN" w:bidi="ar-SA"/>
        </w:rPr>
        <w:t>个，指标完成率为</w:t>
      </w:r>
      <w:r>
        <w:rPr>
          <w:rFonts w:hint="eastAsia" w:ascii="仿宋_GB2312" w:cs="Times New Roman"/>
          <w:color w:val="000000"/>
          <w:kern w:val="2"/>
          <w:sz w:val="28"/>
          <w:szCs w:val="22"/>
          <w:lang w:val="en-US" w:eastAsia="zh-CN" w:bidi="ar-SA"/>
        </w:rPr>
        <w:t>85.71</w:t>
      </w:r>
      <w:r>
        <w:rPr>
          <w:rFonts w:hint="eastAsia" w:ascii="仿宋_GB2312" w:hAnsi="Times New Roman" w:eastAsia="仿宋_GB2312" w:cs="Times New Roman"/>
          <w:color w:val="000000"/>
          <w:kern w:val="2"/>
          <w:sz w:val="28"/>
          <w:szCs w:val="22"/>
          <w:lang w:val="en-US" w:eastAsia="zh-CN" w:bidi="ar-SA"/>
        </w:rPr>
        <w:t>%；在资金使用方面，严格按照《于田县扶贫资金财务管理制度》、《于田县农业农村局财务管理制度》执行，保障了资金使用规范、安全，无挪用、截留资金的情况发生。在项目管理方面，制定了《于田县易地搬迁安置点高标准温室大棚建设项目（</w:t>
      </w:r>
      <w:r>
        <w:rPr>
          <w:rFonts w:hint="eastAsia" w:ascii="仿宋_GB2312" w:cs="Times New Roman"/>
          <w:color w:val="000000"/>
          <w:kern w:val="2"/>
          <w:sz w:val="28"/>
          <w:szCs w:val="22"/>
          <w:lang w:val="en-US" w:eastAsia="zh-CN" w:bidi="ar-SA"/>
        </w:rPr>
        <w:t>三期</w:t>
      </w:r>
      <w:r>
        <w:rPr>
          <w:rFonts w:hint="eastAsia" w:ascii="仿宋_GB2312" w:hAnsi="Times New Roman" w:eastAsia="仿宋_GB2312" w:cs="Times New Roman"/>
          <w:color w:val="000000"/>
          <w:kern w:val="2"/>
          <w:sz w:val="28"/>
          <w:szCs w:val="22"/>
          <w:lang w:val="en-US" w:eastAsia="zh-CN" w:bidi="ar-SA"/>
        </w:rPr>
        <w:t>）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7E66B80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项目最终得分为</w:t>
      </w:r>
      <w:r>
        <w:rPr>
          <w:rFonts w:hint="eastAsia" w:ascii="仿宋_GB2312" w:cs="Times New Roman"/>
          <w:color w:val="000000"/>
          <w:kern w:val="2"/>
          <w:sz w:val="28"/>
          <w:szCs w:val="22"/>
          <w:lang w:val="en-US" w:eastAsia="zh-CN" w:bidi="ar-SA"/>
        </w:rPr>
        <w:t>96.67</w:t>
      </w:r>
      <w:r>
        <w:rPr>
          <w:rFonts w:hint="eastAsia" w:ascii="仿宋_GB2312" w:hAnsi="Times New Roman" w:eastAsia="仿宋_GB2312" w:cs="Times New Roman"/>
          <w:color w:val="000000"/>
          <w:kern w:val="2"/>
          <w:sz w:val="28"/>
          <w:szCs w:val="22"/>
          <w:lang w:val="en-US" w:eastAsia="zh-CN" w:bidi="ar-SA"/>
        </w:rPr>
        <w:t>分，评价等级为优。</w:t>
      </w:r>
    </w:p>
    <w:p w14:paraId="4C9965A2">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2C5772E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FFA3E3F">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0A4D1DF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状况：该项目不存在立项，由于田县水务服务中心负责项目的实施方案，并由于田县乡村振兴局、于田县财政局审核后，下发了《关于对于田县易地搬迁安置点高标准温室大棚建设项目（三期）实施方案的批复》（于发改项目〔2024〕179 号）。</w:t>
      </w:r>
    </w:p>
    <w:p w14:paraId="170843B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资金状况：预算资金来源为乡村振兴衔接资金，文件依据：关于对于田县易地搬迁安置点高标准温室大棚建设项目（三期）实施方案的批复》（于发改项目〔2024〕179 号）。</w:t>
      </w:r>
    </w:p>
    <w:p w14:paraId="05DD315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过程状况：该项目于202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年4月制订初步设计报告并得到批复，202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年5月10日发布招标公告进行招标，202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12月</w:t>
      </w:r>
      <w:r>
        <w:rPr>
          <w:rFonts w:hint="eastAsia" w:ascii="仿宋_GB2312" w:hAnsi="Times New Roman" w:eastAsia="仿宋_GB2312" w:cs="Times New Roman"/>
          <w:color w:val="000000"/>
          <w:kern w:val="2"/>
          <w:sz w:val="28"/>
          <w:szCs w:val="22"/>
          <w:lang w:val="en-US" w:eastAsia="zh-CN" w:bidi="ar-SA"/>
        </w:rPr>
        <w:t>完工。</w:t>
      </w:r>
    </w:p>
    <w:p w14:paraId="7E335F3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结果状况：202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12</w:t>
      </w:r>
      <w:r>
        <w:rPr>
          <w:rFonts w:hint="eastAsia" w:ascii="仿宋_GB2312" w:hAnsi="Times New Roman" w:eastAsia="仿宋_GB2312" w:cs="Times New Roman"/>
          <w:color w:val="000000"/>
          <w:kern w:val="2"/>
          <w:sz w:val="28"/>
          <w:szCs w:val="22"/>
          <w:lang w:val="en-US" w:eastAsia="zh-CN" w:bidi="ar-SA"/>
        </w:rPr>
        <w:t>月于田县发展和改革委员会，于田县乡村振兴局，财政局，档案局，住建局、</w:t>
      </w:r>
      <w:r>
        <w:rPr>
          <w:rFonts w:hint="eastAsia" w:ascii="仿宋_GB2312" w:cs="Times New Roman"/>
          <w:color w:val="000000"/>
          <w:kern w:val="2"/>
          <w:sz w:val="28"/>
          <w:szCs w:val="22"/>
          <w:lang w:val="en-US" w:eastAsia="zh-CN" w:bidi="ar-SA"/>
        </w:rPr>
        <w:t>生态环境局</w:t>
      </w:r>
      <w:r>
        <w:rPr>
          <w:rFonts w:hint="eastAsia" w:ascii="仿宋_GB2312" w:hAnsi="Times New Roman" w:eastAsia="仿宋_GB2312" w:cs="Times New Roman"/>
          <w:color w:val="000000"/>
          <w:kern w:val="2"/>
          <w:sz w:val="28"/>
          <w:szCs w:val="22"/>
          <w:lang w:val="en-US" w:eastAsia="zh-CN" w:bidi="ar-SA"/>
        </w:rPr>
        <w:t>和参建单位联合竣工验收结果状况：合格。</w:t>
      </w:r>
    </w:p>
    <w:p w14:paraId="086B7E00">
      <w:pPr>
        <w:pStyle w:val="53"/>
        <w:spacing w:line="560" w:lineRule="exact"/>
        <w:ind w:left="3" w:right="3" w:firstLine="562"/>
        <w:rPr>
          <w:rStyle w:val="20"/>
          <w:rFonts w:ascii="楷体_GB2312"/>
        </w:rPr>
      </w:pPr>
      <w:r>
        <w:rPr>
          <w:rStyle w:val="20"/>
          <w:rFonts w:hint="eastAsia" w:ascii="楷体_GB2312"/>
        </w:rPr>
        <w:t>（三）主要经验及做法</w:t>
      </w:r>
    </w:p>
    <w:p w14:paraId="0C0158D2">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kern w:val="2"/>
          <w:sz w:val="28"/>
          <w:szCs w:val="22"/>
          <w:lang w:val="en-US" w:eastAsia="zh-CN" w:bidi="ar-SA"/>
        </w:rPr>
        <w:t>2024年于田县易地搬迁安置点高标准温室大棚建设项目（三期）资金安排、使用过程中严格执行乡村振兴项目资金管理制度，确保乡村振兴项目正常运行为构建长效稳定奠定物质基础。</w:t>
      </w:r>
    </w:p>
    <w:p w14:paraId="44E2F1DC">
      <w:pPr>
        <w:spacing w:line="560" w:lineRule="exact"/>
        <w:ind w:firstLine="562" w:firstLineChars="200"/>
        <w:rPr>
          <w:rStyle w:val="20"/>
          <w:rFonts w:ascii="楷体_GB2312"/>
          <w:sz w:val="28"/>
        </w:rPr>
      </w:pPr>
      <w:r>
        <w:rPr>
          <w:rStyle w:val="20"/>
          <w:rFonts w:hint="eastAsia" w:ascii="楷体_GB2312"/>
          <w:sz w:val="28"/>
        </w:rPr>
        <w:t>（四）存在的问题</w:t>
      </w:r>
    </w:p>
    <w:p w14:paraId="55FE7C23">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2024年于田县易地搬迁安置点高标准温室大棚建设项目（三期）资金安排、使用过程中存在一些问题，主要是资金申报，审批，发放过程中存在对资金拨付缓慢问题。</w:t>
      </w:r>
    </w:p>
    <w:p w14:paraId="17426768">
      <w:pPr>
        <w:spacing w:line="560" w:lineRule="exact"/>
        <w:ind w:firstLine="562" w:firstLineChars="200"/>
        <w:rPr>
          <w:rStyle w:val="20"/>
          <w:rFonts w:ascii="楷体_GB2312"/>
          <w:sz w:val="28"/>
        </w:rPr>
      </w:pPr>
      <w:r>
        <w:rPr>
          <w:rStyle w:val="20"/>
          <w:rFonts w:hint="eastAsia" w:ascii="楷体_GB2312"/>
          <w:sz w:val="28"/>
        </w:rPr>
        <w:t>（五）建议</w:t>
      </w:r>
    </w:p>
    <w:p w14:paraId="09315A4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24C74BE">
      <w:pPr>
        <w:spacing w:line="560" w:lineRule="exact"/>
        <w:ind w:firstLine="562" w:firstLineChars="200"/>
        <w:rPr>
          <w:rStyle w:val="20"/>
          <w:rFonts w:ascii="楷体_GB2312"/>
          <w:sz w:val="28"/>
        </w:rPr>
      </w:pPr>
      <w:r>
        <w:rPr>
          <w:rStyle w:val="20"/>
          <w:rFonts w:hint="eastAsia" w:ascii="楷体_GB2312"/>
          <w:sz w:val="28"/>
        </w:rPr>
        <w:t>（六）项目绩效公告公示情况</w:t>
      </w:r>
    </w:p>
    <w:p w14:paraId="1A30E966">
      <w:pPr>
        <w:pStyle w:val="53"/>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38C9B2BD">
        <w:pPr>
          <w:pStyle w:val="14"/>
          <w:jc w:val="center"/>
        </w:pPr>
        <w:r>
          <w:fldChar w:fldCharType="begin"/>
        </w:r>
        <w:r>
          <w:instrText xml:space="preserve">PAGE   \* MERGEFORMAT</w:instrText>
        </w:r>
        <w:r>
          <w:fldChar w:fldCharType="separate"/>
        </w:r>
        <w:r>
          <w:rPr>
            <w:lang w:val="zh-CN"/>
          </w:rPr>
          <w:t>1</w:t>
        </w:r>
        <w:r>
          <w:fldChar w:fldCharType="end"/>
        </w:r>
      </w:p>
    </w:sdtContent>
  </w:sdt>
  <w:p w14:paraId="0309E36E">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51816">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54C286"/>
    <w:multiLevelType w:val="singleLevel"/>
    <w:tmpl w:val="6E54C28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NWZlY2M2YjcxNmZjZmYyODY1MDg0Y2QwMDhiZTYxOGU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5A87E95"/>
    <w:rsid w:val="16015133"/>
    <w:rsid w:val="19252F86"/>
    <w:rsid w:val="1B2F02C6"/>
    <w:rsid w:val="3E982E81"/>
    <w:rsid w:val="5DE13318"/>
    <w:rsid w:val="5FF57804"/>
    <w:rsid w:val="6BC53F6A"/>
    <w:rsid w:val="71871EDE"/>
    <w:rsid w:val="78C80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2"/>
    <w:autoRedefine/>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4"/>
    <w:qFormat/>
    <w:uiPriority w:val="9"/>
    <w:pPr>
      <w:keepNext/>
      <w:keepLines/>
      <w:spacing w:before="260" w:after="260" w:line="415" w:lineRule="auto"/>
      <w:outlineLvl w:val="2"/>
    </w:pPr>
    <w:rPr>
      <w:rFonts w:cs="宋体"/>
      <w:b/>
      <w:bCs/>
      <w:szCs w:val="32"/>
    </w:rPr>
  </w:style>
  <w:style w:type="paragraph" w:styleId="6">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3"/>
    <w:qFormat/>
    <w:uiPriority w:val="9"/>
    <w:pPr>
      <w:keepNext/>
      <w:keepLines/>
      <w:spacing w:before="240" w:after="64" w:line="320" w:lineRule="auto"/>
      <w:outlineLvl w:val="6"/>
    </w:pPr>
    <w:rPr>
      <w:b/>
      <w:bCs/>
      <w:sz w:val="24"/>
      <w:szCs w:val="24"/>
    </w:rPr>
  </w:style>
  <w:style w:type="paragraph" w:styleId="10">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autoRedefine/>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pPr>
      <w:spacing w:before="120"/>
    </w:pPr>
    <w:rPr>
      <w:rFonts w:ascii="Arial" w:hAnsi="Arial" w:cs="Arial"/>
      <w:sz w:val="24"/>
    </w:rPr>
  </w:style>
  <w:style w:type="paragraph" w:styleId="12">
    <w:name w:val="annotation text"/>
    <w:basedOn w:val="1"/>
    <w:link w:val="68"/>
    <w:autoRedefine/>
    <w:semiHidden/>
    <w:unhideWhenUsed/>
    <w:qFormat/>
    <w:uiPriority w:val="99"/>
    <w:pPr>
      <w:jc w:val="left"/>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2"/>
    <w:next w:val="12"/>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3"/>
    <w:qFormat/>
    <w:locked/>
    <w:uiPriority w:val="9"/>
    <w:rPr>
      <w:b/>
      <w:bCs/>
      <w:kern w:val="44"/>
      <w:sz w:val="44"/>
      <w:szCs w:val="44"/>
    </w:rPr>
  </w:style>
  <w:style w:type="character" w:customStyle="1" w:styleId="23">
    <w:name w:val="标题 2 Char"/>
    <w:basedOn w:val="19"/>
    <w:link w:val="4"/>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5"/>
    <w:semiHidden/>
    <w:qFormat/>
    <w:locked/>
    <w:uiPriority w:val="9"/>
    <w:rPr>
      <w:b/>
      <w:bCs/>
      <w:sz w:val="32"/>
      <w:szCs w:val="32"/>
    </w:rPr>
  </w:style>
  <w:style w:type="character" w:customStyle="1" w:styleId="25">
    <w:name w:val="标题 4 Char"/>
    <w:basedOn w:val="19"/>
    <w:link w:val="6"/>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7"/>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3"/>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4"/>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5"/>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6"/>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7"/>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8"/>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8"/>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9"/>
    <w:semiHidden/>
    <w:qFormat/>
    <w:uiPriority w:val="9"/>
    <w:rPr>
      <w:rFonts w:asciiTheme="minorHAnsi" w:hAnsiTheme="minorHAnsi" w:eastAsiaTheme="minorEastAsia"/>
      <w:b/>
      <w:bCs/>
      <w:kern w:val="2"/>
      <w:sz w:val="24"/>
      <w:szCs w:val="24"/>
    </w:rPr>
  </w:style>
  <w:style w:type="character" w:customStyle="1" w:styleId="64">
    <w:name w:val="标题 8 Char"/>
    <w:basedOn w:val="19"/>
    <w:link w:val="10"/>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1"/>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2"/>
    <w:semiHidden/>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7255</Words>
  <Characters>7969</Characters>
  <Lines>9</Lines>
  <Paragraphs>15</Paragraphs>
  <TotalTime>27</TotalTime>
  <ScaleCrop>false</ScaleCrop>
  <LinksUpToDate>false</LinksUpToDate>
  <CharactersWithSpaces>8270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2025-12-15T10:11:50Z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210C152DE3C14F43A55C5F0025BEDDD4_13</vt:lpwstr>
  </property>
  <property fmtid="{D5CDD505-2E9C-101B-9397-08002B2CF9AE}" pid="4" name="KSOTemplateDocerSaveRecord">
    <vt:lpwstr>eyJoZGlkIjoiOTIyNzdhMmIxNTc5NDEzMzgyZTVhMjkwNDNiZTdlNzMiLCJ1c2VySWQiOiIxMTQxMzI3MTgwIn0=</vt:lpwstr>
  </property>
</Properties>
</file>