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line="480" w:lineRule="auto"/>
        <w:ind w:firstLine="883" w:firstLineChars="200"/>
        <w:jc w:val="center"/>
        <w:outlineLvl w:val="0"/>
        <w:rPr>
          <w:rFonts w:ascii="仿宋_GB2312" w:hAnsi="Arial"/>
          <w:b/>
          <w:sz w:val="44"/>
          <w:szCs w:val="44"/>
        </w:rPr>
      </w:pPr>
    </w:p>
    <w:p>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pPr>
        <w:spacing w:line="700" w:lineRule="exact"/>
        <w:ind w:firstLine="1040" w:firstLineChars="200"/>
        <w:jc w:val="center"/>
        <w:rPr>
          <w:rFonts w:ascii="方正大标宋简体" w:hAnsi="华文中宋" w:eastAsia="方正大标宋简体" w:cs="宋体"/>
          <w:kern w:val="0"/>
          <w:sz w:val="52"/>
          <w:szCs w:val="52"/>
        </w:rPr>
      </w:pPr>
    </w:p>
    <w:p>
      <w:pPr>
        <w:spacing w:line="540" w:lineRule="exact"/>
        <w:ind w:firstLine="720" w:firstLineChars="200"/>
        <w:jc w:val="center"/>
        <w:rPr>
          <w:rFonts w:hAnsi="宋体" w:cs="宋体"/>
          <w:kern w:val="0"/>
          <w:sz w:val="36"/>
          <w:szCs w:val="36"/>
        </w:rPr>
      </w:pPr>
      <w:r>
        <w:rPr>
          <w:rFonts w:hint="eastAsia" w:hAnsi="宋体" w:cs="宋体"/>
          <w:color w:val="auto"/>
          <w:kern w:val="0"/>
          <w:sz w:val="36"/>
          <w:szCs w:val="36"/>
        </w:rPr>
        <w:t>（202</w:t>
      </w:r>
      <w:r>
        <w:rPr>
          <w:rFonts w:hint="eastAsia" w:hAnsi="宋体" w:cs="宋体"/>
          <w:color w:val="auto"/>
          <w:kern w:val="0"/>
          <w:sz w:val="36"/>
          <w:szCs w:val="36"/>
          <w:lang w:val="en-US" w:eastAsia="zh-CN"/>
        </w:rPr>
        <w:t>4</w:t>
      </w:r>
      <w:r>
        <w:rPr>
          <w:rFonts w:hint="eastAsia" w:hAnsi="宋体" w:cs="宋体"/>
          <w:color w:val="auto"/>
          <w:kern w:val="0"/>
          <w:sz w:val="36"/>
          <w:szCs w:val="36"/>
        </w:rPr>
        <w:t>年度）</w:t>
      </w:r>
    </w:p>
    <w:p>
      <w:pPr>
        <w:spacing w:line="540" w:lineRule="exact"/>
        <w:ind w:firstLine="600" w:firstLineChars="200"/>
        <w:jc w:val="center"/>
        <w:rPr>
          <w:rFonts w:hAnsi="宋体" w:cs="宋体"/>
          <w:kern w:val="0"/>
          <w:sz w:val="30"/>
          <w:szCs w:val="30"/>
        </w:rPr>
      </w:pPr>
    </w:p>
    <w:p>
      <w:pPr>
        <w:spacing w:line="540" w:lineRule="exact"/>
        <w:ind w:firstLine="600" w:firstLineChars="200"/>
        <w:jc w:val="center"/>
        <w:rPr>
          <w:rFonts w:hAnsi="宋体" w:cs="宋体"/>
          <w:kern w:val="0"/>
          <w:sz w:val="30"/>
          <w:szCs w:val="30"/>
        </w:rPr>
      </w:pPr>
    </w:p>
    <w:p>
      <w:pPr>
        <w:spacing w:line="540" w:lineRule="exact"/>
        <w:ind w:firstLine="600" w:firstLineChars="200"/>
        <w:jc w:val="center"/>
        <w:rPr>
          <w:rFonts w:hAnsi="宋体" w:cs="宋体"/>
          <w:kern w:val="0"/>
          <w:sz w:val="30"/>
          <w:szCs w:val="30"/>
        </w:rPr>
      </w:pPr>
    </w:p>
    <w:p>
      <w:pPr>
        <w:spacing w:line="540" w:lineRule="exact"/>
        <w:ind w:firstLine="600" w:firstLineChars="200"/>
        <w:jc w:val="center"/>
        <w:rPr>
          <w:rFonts w:hAnsi="宋体" w:cs="宋体"/>
          <w:kern w:val="0"/>
          <w:sz w:val="30"/>
          <w:szCs w:val="30"/>
        </w:rPr>
      </w:pPr>
    </w:p>
    <w:p>
      <w:pPr>
        <w:spacing w:line="540" w:lineRule="exact"/>
        <w:ind w:firstLine="600" w:firstLineChars="200"/>
        <w:rPr>
          <w:rFonts w:hAnsi="宋体" w:cs="宋体"/>
          <w:kern w:val="0"/>
          <w:sz w:val="30"/>
          <w:szCs w:val="30"/>
        </w:rPr>
      </w:pPr>
    </w:p>
    <w:p>
      <w:pPr>
        <w:spacing w:line="540" w:lineRule="exact"/>
        <w:ind w:firstLine="600" w:firstLineChars="200"/>
        <w:rPr>
          <w:rFonts w:hAnsi="宋体" w:cs="宋体"/>
          <w:kern w:val="0"/>
          <w:sz w:val="30"/>
          <w:szCs w:val="30"/>
        </w:rPr>
      </w:pPr>
    </w:p>
    <w:p>
      <w:pPr>
        <w:spacing w:line="360" w:lineRule="auto"/>
        <w:ind w:left="640" w:leftChars="200" w:firstLine="640" w:firstLineChars="200"/>
        <w:rPr>
          <w:rFonts w:ascii="仿宋" w:hAnsi="仿宋" w:eastAsia="仿宋" w:cs="仿宋"/>
          <w:szCs w:val="32"/>
        </w:rPr>
      </w:pPr>
    </w:p>
    <w:p>
      <w:pPr>
        <w:spacing w:line="360" w:lineRule="auto"/>
        <w:ind w:left="640" w:leftChars="200" w:firstLine="640" w:firstLineChars="200"/>
        <w:rPr>
          <w:rFonts w:ascii="仿宋" w:hAnsi="仿宋" w:eastAsia="仿宋" w:cs="仿宋"/>
          <w:szCs w:val="32"/>
        </w:rPr>
      </w:pPr>
    </w:p>
    <w:p>
      <w:pPr>
        <w:spacing w:line="560" w:lineRule="exact"/>
        <w:ind w:left="640" w:leftChars="200" w:firstLine="640" w:firstLineChars="200"/>
        <w:rPr>
          <w:rFonts w:ascii="仿宋" w:hAnsi="仿宋" w:eastAsia="仿宋" w:cs="仿宋"/>
          <w:szCs w:val="32"/>
        </w:rPr>
      </w:pPr>
    </w:p>
    <w:p>
      <w:pPr>
        <w:spacing w:line="560" w:lineRule="exact"/>
        <w:ind w:left="2240" w:leftChars="200" w:hanging="1600" w:hangingChars="500"/>
        <w:jc w:val="left"/>
        <w:rPr>
          <w:rFonts w:hint="eastAsia" w:ascii="仿宋" w:hAnsi="仿宋" w:eastAsia="仿宋" w:cs="仿宋"/>
          <w:szCs w:val="32"/>
        </w:rPr>
      </w:pPr>
      <w:r>
        <w:rPr>
          <w:rFonts w:hint="eastAsia" w:ascii="仿宋" w:hAnsi="仿宋" w:eastAsia="仿宋" w:cs="仿宋"/>
          <w:szCs w:val="32"/>
        </w:rPr>
        <w:t>项目名称:于田县2024年也斯尤勒滚村红柳大芸基地附属配套道路建设项目(X671线K31+030岔口-皮什盖村、亚芒崖桥改建项目)</w:t>
      </w:r>
    </w:p>
    <w:p>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实施单位(公章):</w:t>
      </w:r>
      <w:r>
        <w:rPr>
          <w:rFonts w:hint="eastAsia" w:ascii="仿宋" w:hAnsi="仿宋" w:eastAsia="仿宋" w:cs="仿宋"/>
          <w:szCs w:val="32"/>
          <w:lang w:val="en-US" w:eastAsia="zh-CN"/>
        </w:rPr>
        <w:t>于田县交通运输局</w:t>
      </w:r>
    </w:p>
    <w:p>
      <w:pPr>
        <w:spacing w:line="560" w:lineRule="exact"/>
        <w:ind w:firstLine="640" w:firstLineChars="200"/>
        <w:rPr>
          <w:rFonts w:ascii="仿宋" w:hAnsi="仿宋" w:eastAsia="仿宋" w:cs="仿宋"/>
          <w:szCs w:val="32"/>
        </w:rPr>
      </w:pPr>
      <w:r>
        <w:rPr>
          <w:rFonts w:hint="eastAsia" w:ascii="仿宋" w:hAnsi="仿宋" w:eastAsia="仿宋" w:cs="仿宋"/>
          <w:szCs w:val="32"/>
        </w:rPr>
        <w:t>主管部门(公章):</w:t>
      </w:r>
      <w:r>
        <w:rPr>
          <w:rFonts w:hint="eastAsia" w:ascii="仿宋" w:hAnsi="仿宋" w:eastAsia="仿宋" w:cs="仿宋"/>
          <w:szCs w:val="32"/>
          <w:lang w:val="en-US" w:eastAsia="zh-CN"/>
        </w:rPr>
        <w:t>于田县交通运输局</w:t>
      </w:r>
    </w:p>
    <w:p>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戴帅</w:t>
      </w:r>
    </w:p>
    <w:p>
      <w:pPr>
        <w:spacing w:line="560" w:lineRule="exact"/>
        <w:ind w:firstLine="640" w:firstLineChars="200"/>
        <w:rPr>
          <w:rStyle w:val="18"/>
          <w:rFonts w:ascii="黑体" w:hAnsi="黑体" w:eastAsia="黑体" w:cs="Times New Roman"/>
          <w:spacing w:val="-4"/>
          <w:szCs w:val="32"/>
        </w:rPr>
      </w:pPr>
      <w:r>
        <w:rPr>
          <w:rFonts w:hint="eastAsia" w:ascii="仿宋" w:hAnsi="仿宋" w:eastAsia="仿宋" w:cs="仿宋"/>
          <w:szCs w:val="32"/>
        </w:rPr>
        <w:t>填报时间: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15</w:t>
      </w:r>
      <w:r>
        <w:rPr>
          <w:rFonts w:ascii="仿宋" w:hAnsi="仿宋" w:eastAsia="仿宋" w:cs="仿宋"/>
          <w:szCs w:val="32"/>
        </w:rPr>
        <w:t>日</w:t>
      </w:r>
    </w:p>
    <w:p>
      <w:pPr>
        <w:spacing w:line="360" w:lineRule="auto"/>
        <w:ind w:firstLine="627" w:firstLineChars="200"/>
        <w:rPr>
          <w:rStyle w:val="18"/>
          <w:rFonts w:ascii="黑体" w:hAnsi="黑体" w:eastAsia="黑体" w:cs="Times New Roman"/>
          <w:spacing w:val="-4"/>
          <w:szCs w:val="32"/>
        </w:rPr>
      </w:pPr>
      <w:r>
        <w:rPr>
          <w:rStyle w:val="18"/>
          <w:rFonts w:hint="eastAsia" w:ascii="黑体" w:hAnsi="黑体" w:eastAsia="黑体" w:cs="Times New Roman"/>
          <w:spacing w:val="-4"/>
          <w:szCs w:val="32"/>
        </w:rPr>
        <w:t>一、绩效目标分解下达情况</w:t>
      </w:r>
    </w:p>
    <w:p>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pPr>
        <w:pStyle w:val="52"/>
        <w:ind w:left="3" w:right="3" w:firstLine="562"/>
        <w:rPr>
          <w:rFonts w:ascii="仿宋_GB2312"/>
          <w:b/>
          <w:szCs w:val="32"/>
        </w:rPr>
      </w:pPr>
      <w:r>
        <w:rPr>
          <w:rFonts w:hint="eastAsia" w:ascii="仿宋_GB2312"/>
          <w:b/>
          <w:szCs w:val="32"/>
        </w:rPr>
        <w:t>1.下达预算情况</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项目根据于田县发展和改革委员会下发的《关于对于田县2024年也斯尤勒滚村红柳大芸基地附属配套道路建设项目(X671线K31+030岔口-皮什盖村、亚芒崖桥改建项目）建议书的批复》（于发改项目[2024]182号）、《关于对于田县2024年也斯尤勒滚村红柳大芸基地附属配套道路建设项目(X671线K31+030岔口-皮什盖村、亚芒崖桥改建项目）实施方案的批复》（于发改项目[2024]186号）文批复立项实施，于田县2024年也斯尤勒滚村红柳大芸基地附属配套道路建设项目(X671线K31+030岔口-皮什盖村、亚芒崖桥改建项目）预算安排总额为3700万元，其中：乡村振兴衔接资金1881万元、其他资金1819万元。财政拨款预算资金到位率为100.00%。</w:t>
      </w:r>
    </w:p>
    <w:p>
      <w:pPr>
        <w:pStyle w:val="52"/>
        <w:ind w:left="3" w:right="3" w:firstLine="562"/>
        <w:rPr>
          <w:rFonts w:ascii="仿宋_GB2312"/>
          <w:b/>
          <w:szCs w:val="32"/>
        </w:rPr>
      </w:pPr>
      <w:r>
        <w:rPr>
          <w:rFonts w:hint="eastAsia" w:ascii="仿宋_GB2312"/>
          <w:b/>
          <w:szCs w:val="32"/>
        </w:rPr>
        <w:t>2.项目实施背景</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也斯尤勒滚村道路起点位于奥依托格拉克乡，终点位于也斯尤勒滚村，为规划新建道路。规划路基宽度7.5米，路面宽度6.5米。属于于田东防沙治沙工程，红柳大芸基地的附属配套设施。路线穿越风积沙沙漠区，无原有道路，沙丘类型复杂多样，复合型沙山和沙垄，宛若憩息在大地上的条条巨龙，塔型沙丘群，呈羽毛状、鱼鳞状沙丘，变幻莫测。沙漠植被极端 稀少；几乎整个地区都缺乏植物覆盖。在沙丘间的凹地中，有稀疏的红柳、 梭梭灌木丛和芦苇。</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皮什盖村道路起点位于X671县道K31+030岔口，终点位于皮什盖村，路线编号Y127线，路线全长17.85公里，路基宽度5.0米，路面宽度4.0米。Y127 线是乡镇和村庄的主要干道，是沿线居民出入的重要道路，建于2016年以前，早已达到使用年限。老路均为沥青路，宽度较窄，基本为单车道，路面破损严重。路基较稳定，无较大沉降。桥涵有淤堵，需沿线村民在灌溉前进行清理。桥涵结构稳定，满足现阶段需要，路线交通安全设施有破损缺失较多。道路两侧为水渠、林带、电杆等。</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古再村三中路，位于木尕拉镇，起点位于卡鲁克路，终点位于外环路，途径于田县第三中学和于田县第二小学。老路为沥青路，破损较严重。</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亚芒崖桥，位于奥依托格拉克乡，路线编号为X687线，老桥为2-8米石 拱桥，桥宽8.0米，桥长25.5米。桥梁修建年代较久远，采用荷载标准较底，桥梁破损，开裂较严重，不能满足现阶段通行需要.</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由于上述原因开展于田县2024年也斯尤勒滚村红柳大芸基地附属配套道路建设项目(X671线K31+030岔口-皮什盖村、亚芒崖桥改建项目），本项目由于田县交通运输局主管及实施，项目施工期为2024年9月-2024年12月。</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工程实施后，为沿线居民提供良好的生活环境，提升道路通行能力，更重要是为道路侧居民提供便利的交通条件，解决车辆通行问题，能够提高沿线居民的生活条件，为乡村振兴目标的完成起推动作用。农村公路的建设有助于改善交通安全状况。在山区，由于交通条件差，很多事故和伤亡事件都与道路状况不佳有关。修建良好的农村公路可以提 高交通安全水平，减少交通事故发生率，保护人民生命财产安全。农村公路的建设也有助于推动乡村旅游和乡村振兴战略的实施。农村地区拥有独特的自然风景和人文资源，吸引了大量游客前来观光和休闲。良好的道路连接能够提升乡村旅游的便利性，增加游客流量，带动当地经济发展。</w:t>
      </w:r>
    </w:p>
    <w:p>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X671线K31+030岔口-皮什盖村、亚芒崖桥改建项目)，根据发展和改革委员会下达《关于对于田县2024年也斯尤勒滚村红柳大芸基地附属配套道路建设项目(X671线K31+030岔口-皮什盖村、亚芒崖桥改建项目）建议书的批复》（于发改项[2024]182号）、《关于对于田县2024年也斯尤勒滚村红柳大芸基地附属配套道路建设项目(X671线K31+030岔口-皮什盖村、亚芒崖桥改建项目）实施方案的批复》（于发改项目[2024]186号）及该项目实施方案，实施范围涉及木尕拉镇、奥依托格拉克乡、阿羌乡3个乡镇。 建设内容：建设里程38.73公里，新建1条路线，改建2条路线，改造危桥一座，设计等级为：公路四级，路面宽度为4-6.5m,路基宽度为5-7.5m。其工程内容主要为路基工程、路面工程、桥涵工程、交通安全设施。</w:t>
      </w:r>
    </w:p>
    <w:p>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pPr>
        <w:spacing w:line="560" w:lineRule="exact"/>
        <w:ind w:firstLine="560" w:firstLineChars="200"/>
        <w:rPr>
          <w:rFonts w:hint="eastAsia" w:ascii="仿宋" w:hAnsi="仿宋" w:eastAsia="仿宋" w:cs="仿宋"/>
          <w:szCs w:val="32"/>
          <w:lang w:val="en-US" w:eastAsia="zh-CN"/>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于田县2024年也斯尤勒滚村红柳大芸基地附属配套道路建设项目(X671线K31+030岔口-皮什盖村、亚芒崖桥改建项目)性质为交通工程建设项目，属于乡村振兴衔接资金项目。</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（二）财政专项乡村振兴衔接资金项目绩效目标设定情况</w:t>
      </w:r>
    </w:p>
    <w:p>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X671线K31+030岔口-皮什盖村、亚芒崖桥改建项目)总投资3700万元，申请乡村振兴衔接资金、专向资金及其他资金。主要内容为：建设里程38.73公里，新建1条路线，改建2条路线，改造危桥一座，设计等级为：公路四级，路面宽度为4-6.5m,路基宽度为5-7.5m。其工程内容主要为路基工程、路面工程、桥涵工程、交通安全设施。分布在木尕拉镇、奥依托格拉克乡、阿羌乡3个乡镇中。</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通过于田县2024年也斯尤勒滚村红柳大芸基地附属配套道路建设项目(X671线K31+030岔口-皮什盖村、亚芒崖桥改建项目)实施，有利于改善于田县现有道路整体通行能力,能够有效提高沿线群众的生产生活出行条件,进一步改善其交通运营条件;促使农牧业和手工业得到发展,从而促进周边的经济发展,同时加快项目周边村庄建设步伐,完善村、镇基础设施建设,巩固村镇脱贫攻坚成果,推进乡村振兴,促进社会团结和谐、安居乐业、稳定繁荣的需要。</w:t>
      </w:r>
    </w:p>
    <w:p>
      <w:pPr>
        <w:pStyle w:val="52"/>
        <w:spacing w:line="560" w:lineRule="exact"/>
        <w:ind w:left="3" w:right="3" w:firstLine="562"/>
        <w:rPr>
          <w:rFonts w:ascii="仿宋_GB2312"/>
          <w:b/>
          <w:bCs/>
          <w:szCs w:val="32"/>
        </w:rPr>
      </w:pPr>
      <w:r>
        <w:rPr>
          <w:rFonts w:hint="eastAsia" w:ascii="仿宋_GB2312"/>
          <w:b/>
          <w:bCs/>
          <w:szCs w:val="32"/>
        </w:rPr>
        <w:t>2.具体绩效指标</w:t>
      </w:r>
    </w:p>
    <w:p>
      <w:pPr>
        <w:pStyle w:val="52"/>
        <w:spacing w:line="560" w:lineRule="exact"/>
        <w:ind w:left="3" w:right="3" w:firstLine="560"/>
        <w:rPr>
          <w:rFonts w:hint="eastAsia" w:ascii="仿宋" w:hAnsi="仿宋" w:eastAsia="仿宋" w:cs="仿宋"/>
          <w:color w:val="auto"/>
          <w:kern w:val="2"/>
          <w:sz w:val="32"/>
          <w:szCs w:val="32"/>
          <w:lang w:val="en-US" w:eastAsia="zh-CN" w:bidi="ar-SA"/>
        </w:rPr>
      </w:pPr>
      <w:r>
        <w:rPr>
          <w:rFonts w:hint="eastAsia" w:ascii="仿宋" w:hAnsi="仿宋" w:eastAsia="仿宋" w:cs="仿宋"/>
          <w:b w:val="0"/>
          <w:color w:val="auto"/>
          <w:kern w:val="2"/>
          <w:sz w:val="28"/>
          <w:szCs w:val="28"/>
          <w:lang w:val="en-US" w:eastAsia="zh-CN" w:bidi="ar-SA"/>
        </w:rPr>
        <w:t>根据《自治区财政专项扶贫资金绩效管理操作指南》（新财预〔2019〕170号）的规定，结合项目具体情况，本项目共设置一级指标3个，二级指标7个，三级指标11个。</w:t>
      </w:r>
    </w:p>
    <w:p>
      <w:pPr>
        <w:pStyle w:val="29"/>
        <w:spacing w:before="120"/>
        <w:ind w:left="0" w:leftChars="0" w:right="3" w:firstLine="562" w:firstLineChars="200"/>
        <w:rPr>
          <w:rFonts w:eastAsia="宋体"/>
          <w:sz w:val="21"/>
        </w:rPr>
      </w:pPr>
      <w:r>
        <w:rPr>
          <w:rFonts w:hint="eastAsia"/>
        </w:rPr>
        <w:t>二、绩效自评工作开展情况</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（一）绩效自评工作开展范围</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本次自评范围涵盖项目总体绩效目标、各项绩效指标完成情况以及预算执行情况。</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（二）绩效自评工作对象</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于田县2024年也斯尤勒滚村红柳大芸基地附属配套道路建设项目(X671线K31+030岔口-皮什盖村、亚芒崖桥改建项目)资金的使用管理、项目产出、综合效益等进行评价。</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（三）绩效自评工作方式</w:t>
      </w:r>
    </w:p>
    <w:p>
      <w:pPr>
        <w:pStyle w:val="33"/>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1.前期准备</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2024年，认真学习相关要求与规定，成立绩效自评工作组，作为绩效自评工作具体实施机构。成员构成如下：</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组    长：闫志刚           于田县交通运输局党组书记</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副组长：戴帅               于田县交通运输局局长</w:t>
      </w:r>
    </w:p>
    <w:p>
      <w:pPr>
        <w:pStyle w:val="52"/>
        <w:spacing w:line="560" w:lineRule="exact"/>
        <w:ind w:left="3" w:right="3" w:firstLine="560"/>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    员：董利平           办公室主任</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办公室负责项目的计划制定、实施，督查、指导相关单位共同做好项目管理工作。切实把该项目作为交通运输枢纽建设的重要举措来抓，加强领导，明确分工，落实责任，密切配合，形成合力，推动该项目顺利实施。由于田县交通运输局牵头，负责整个项目的统筹安排和经费使用管理工作，实现分级管理制度。</w:t>
      </w:r>
    </w:p>
    <w:p>
      <w:pPr>
        <w:pStyle w:val="33"/>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2.组织实施</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成立绩效自评工作组后，经评价组通过实地调研等方式，采用综合分析法对项目的决策、管理、绩效进行的综合评价分析。</w:t>
      </w:r>
    </w:p>
    <w:p>
      <w:pPr>
        <w:pStyle w:val="33"/>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3.分析评价。</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首先按照指标体系进行定量、定性分析。其次开展量化打分、综合评价工作，形成初步评价结论。最后归纳整体项目情况与存在问题，撰写绩效自评报告。</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（1）绩效自评指标体系</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按照《自治区财政专项扶贫资金绩效管理操作指南》（新财预〔2019〕170号）文件要求，并根据项目各项指标重要程度确定二级指标的分值，并对核心指标赋予更高的权重。其中：数量指标6分、质量指标12分，时效指标18分、成本指标14分、社会效益指标15分、可持续影响指标15分、满意度指标10分、预算资金执行率10分，满分100分。</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（2）绩效自评方法</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本次绩效自评采用比较法和综合分析法对项目资金的使用管理、项目产出、综合效益等进行评价。</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（3）绩效自评标准</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（4）绩效自评等级</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绩效自评总分值100分，根据评分结果，90（含）-100分为优、80（含）-90分为良、60（含）-80分为中、60分以下为差。</w:t>
      </w:r>
    </w:p>
    <w:p>
      <w:pPr>
        <w:pStyle w:val="29"/>
        <w:spacing w:before="120"/>
        <w:ind w:leftChars="0" w:right="3" w:firstLine="562" w:firstLineChars="200"/>
      </w:pPr>
      <w:r>
        <w:rPr>
          <w:rFonts w:hint="eastAsia"/>
        </w:rPr>
        <w:t>三、绩效目标自评完成情况分析</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（一）资金投入情况分析</w:t>
      </w:r>
    </w:p>
    <w:p>
      <w:pPr>
        <w:pStyle w:val="33"/>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1.项目资金到位情况分析</w:t>
      </w:r>
    </w:p>
    <w:p>
      <w:pPr>
        <w:pStyle w:val="52"/>
        <w:spacing w:line="560" w:lineRule="exact"/>
        <w:ind w:left="0" w:leftChars="0"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X671线K31+030岔口-皮什盖村、亚芒崖桥改建项目)预算安排总额为3700万元，其中：乡村振兴衔接资金1881万元、其他资金1819万元。财政拨款预算资金到位率为100.00%。</w:t>
      </w:r>
    </w:p>
    <w:p>
      <w:pPr>
        <w:pStyle w:val="52"/>
        <w:spacing w:line="560" w:lineRule="exact"/>
        <w:ind w:left="0" w:leftChars="0" w:right="3" w:firstLine="562"/>
        <w:rPr>
          <w:b/>
        </w:rPr>
      </w:pPr>
      <w:r>
        <w:rPr>
          <w:rFonts w:hint="eastAsia"/>
          <w:b/>
        </w:rPr>
        <w:t>2.项目资金执行情况分析</w:t>
      </w:r>
    </w:p>
    <w:p>
      <w:pPr>
        <w:pStyle w:val="52"/>
        <w:spacing w:line="560" w:lineRule="exact"/>
        <w:ind w:left="3" w:right="3" w:firstLine="560"/>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于田县2024年也斯尤勒滚村红柳大芸基地附属配套道路建设项目(X671线K31+030岔口-皮什盖村、亚芒崖桥改建项目)预算投入资金3700万元，其中：财政拨款1881万元，其他资金1819万元。截至2024年12月31日，项目实际支出1881万元，预算执行率为50.84%。财务结算暂未出具，正在审计中。</w:t>
      </w:r>
    </w:p>
    <w:p>
      <w:pPr>
        <w:pStyle w:val="52"/>
        <w:spacing w:line="560" w:lineRule="exact"/>
        <w:ind w:left="0" w:leftChars="0" w:right="3" w:firstLine="562"/>
        <w:rPr>
          <w:rFonts w:hint="eastAsia"/>
          <w:b/>
        </w:rPr>
      </w:pPr>
      <w:r>
        <w:rPr>
          <w:rFonts w:hint="eastAsia"/>
          <w:b/>
        </w:rPr>
        <w:t>3.项目资金管理情况分析</w:t>
      </w:r>
    </w:p>
    <w:p>
      <w:pPr>
        <w:pStyle w:val="52"/>
        <w:spacing w:line="560" w:lineRule="exact"/>
        <w:ind w:left="0" w:leftChars="0" w:right="3" w:firstLine="56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28"/>
          <w:szCs w:val="28"/>
          <w:lang w:val="en-US" w:eastAsia="zh-CN" w:bidi="ar-SA"/>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pPr>
        <w:pStyle w:val="52"/>
        <w:spacing w:line="560" w:lineRule="exact"/>
        <w:ind w:leftChars="0" w:right="3" w:firstLine="562"/>
        <w:rPr>
          <w:b/>
        </w:rPr>
      </w:pPr>
      <w:r>
        <w:rPr>
          <w:rFonts w:hint="eastAsia"/>
          <w:b/>
        </w:rPr>
        <w:t>4.项目管理情况分析</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在项目实施中，于田县交通运输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pPr>
        <w:spacing w:line="58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（二）绩效目标完成情况分析</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项目2024年截止12月底，项目已完成建设里程38.73公里，新建1条路线，改建2条路线，改造危桥一座，设计等级为：公路四级，路面宽度为4-6.5m,路基宽度为5-7.5m。其工程内容主要为路基工程、路面工程、桥涵工程、交通安全设施。资产由于田县交通运输局养护科室负责运行，维护。项目有效提高沿线群众的生产生活出行条件，进一步改善其交通运营条件;促使农牧业和手工业得到发展,从而促进周边的经济发展,同时加快项目周边村庄建设步伐,完善村、镇基础设施建设,巩固村镇脱贫攻坚成果,推进乡村振兴,促进社会团结和谐、安居乐业、稳定繁荣的需要。</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本项目共设置一级指标3个，二级指标7个，三级指标11个，其中已完成三级指标7个，指标完成率为63.64%，指标完成情况分析如下：</w:t>
      </w:r>
    </w:p>
    <w:p>
      <w:pPr>
        <w:pStyle w:val="52"/>
        <w:spacing w:line="580" w:lineRule="exact"/>
        <w:ind w:left="3" w:right="3" w:firstLine="560"/>
        <w:rPr>
          <w:rFonts w:hint="eastAsia"/>
          <w:b/>
          <w:bCs/>
          <w:lang w:val="en-US" w:eastAsia="zh-CN"/>
        </w:rPr>
      </w:pPr>
      <w:r>
        <w:rPr>
          <w:rFonts w:hint="eastAsia"/>
          <w:b/>
          <w:bCs/>
          <w:lang w:val="en-US" w:eastAsia="zh-CN"/>
        </w:rPr>
        <w:t>1.产出指标完成情况分析</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1.1项目完成数量</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 xml:space="preserve">“新建道路里程公里”指标，预期指标值为大于等于38.73公里,全年实际值为38.73公里，指标完成率为100.00%。所设分值6分，实际得分6分。              </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1.2项目完成质量</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“工程验收合格率”指标，预期指标值为等于100.00%,全年实际值为100.00%，指标完成率为100.00%。所设分值6分，实际得分6分。</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“资金支付合规率”指标，预期指标值为等于100.00%,全年实际值为100.00% ，指标完成率为100.00%。所设分值6分，实际得分6分。</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1.3项目完成时效</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资金支付及时率”指标，预期指标值为等于100.00%,全年实际值为100.00%，指标完成率为51.00%。所设分值6分，实际得分3分。偏差原因：项目正在审计结算，部分资金未支付；改进措施：加快项目审计工作，及时支付项目资金。</w:t>
      </w:r>
    </w:p>
    <w:p>
      <w:pPr>
        <w:pStyle w:val="52"/>
        <w:spacing w:line="560" w:lineRule="exact"/>
        <w:ind w:left="3" w:right="3" w:firstLine="560"/>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“项目开工时间”指标，预期指标值为2024年9月,全年实际值为2024年8月，指标完成率为99.93%。所设分值6分，实际得分5.99分。偏差原因：项目施工进度比预期提前；改进措施：加强项目管理工作.</w:t>
      </w:r>
    </w:p>
    <w:p>
      <w:pPr>
        <w:pStyle w:val="52"/>
        <w:spacing w:line="560" w:lineRule="exact"/>
        <w:ind w:left="3" w:right="3" w:firstLine="56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28"/>
          <w:szCs w:val="28"/>
          <w:lang w:val="en-US" w:eastAsia="zh-CN" w:bidi="ar-SA"/>
        </w:rPr>
        <w:t xml:space="preserve">“项目完工时间”指标，预期指标值为2024年12月,全年实际值为2024年12月，指标完成率为100.00%。所设分值6分，实际得分6分。   </w:t>
      </w:r>
      <w:r>
        <w:rPr>
          <w:rFonts w:hint="eastAsia" w:ascii="仿宋" w:hAnsi="仿宋" w:eastAsia="仿宋" w:cs="仿宋"/>
          <w:b w:val="0"/>
          <w:color w:val="auto"/>
          <w:kern w:val="2"/>
          <w:sz w:val="32"/>
          <w:szCs w:val="32"/>
          <w:lang w:val="en-US" w:eastAsia="zh-CN" w:bidi="ar-SA"/>
        </w:rPr>
        <w:t xml:space="preserve">     </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1.4项目成本节约情况</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为有效控制项目实施成本，我单位在实施项目前就该项目设定了成本控制指标，实施过程中我单位通过公开招标的方式有效降低了项目执行成本，具体指标设置及完成情况如下：</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“建筑安装工程费用”指标，预期指标值为小于等于3400.11万元, 全年实际值为1808.64万元，指标完成率为53.19%。所设分值7分，实际得分3.72分。偏差原因：项目已验收，项目正在审计结算中，部分资金未支付；改进措施：加快项目审计工作，及时支付项目资金。</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“工程建设其他费用”指标，预期指标值为小于等于299.89万元, 全年实际值为72.36万元，指标完成率为24.13%；所设分值7分，实际得分1.69分。偏差原因：项目已验收，项目正在审计结算中，部分资金未支付；改进措施：加快项目审计工作，及时支付项目资金。</w:t>
      </w:r>
    </w:p>
    <w:p>
      <w:pPr>
        <w:pStyle w:val="52"/>
        <w:spacing w:line="580" w:lineRule="exact"/>
        <w:ind w:left="3" w:right="3" w:firstLine="560"/>
        <w:rPr>
          <w:rFonts w:hint="eastAsia"/>
          <w:b/>
          <w:bCs/>
          <w:lang w:val="en-US" w:eastAsia="zh-CN"/>
        </w:rPr>
      </w:pPr>
      <w:r>
        <w:rPr>
          <w:rFonts w:hint="eastAsia"/>
          <w:b/>
          <w:bCs/>
          <w:lang w:val="en-US" w:eastAsia="zh-CN"/>
        </w:rPr>
        <w:t>2.1项目实施的社会效益分析</w:t>
      </w:r>
    </w:p>
    <w:p>
      <w:pPr>
        <w:pStyle w:val="52"/>
        <w:spacing w:line="560" w:lineRule="exact"/>
        <w:ind w:left="0" w:leftChars="0" w:right="3" w:firstLine="56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28"/>
          <w:szCs w:val="28"/>
          <w:lang w:val="en-US" w:eastAsia="zh-CN" w:bidi="ar-SA"/>
        </w:rPr>
        <w:t xml:space="preserve">“提高农村道路的整体通行能力”指标，指标预期值为有效提高，实际完成值为有效提高，指标完成率为100.00%。所设分值15分，实际得分15分。 </w:t>
      </w:r>
      <w:r>
        <w:rPr>
          <w:rFonts w:hint="eastAsia" w:ascii="仿宋" w:hAnsi="仿宋" w:eastAsia="仿宋" w:cs="仿宋"/>
          <w:b w:val="0"/>
          <w:color w:val="auto"/>
          <w:kern w:val="2"/>
          <w:sz w:val="32"/>
          <w:szCs w:val="32"/>
          <w:lang w:val="en-US" w:eastAsia="zh-CN" w:bidi="ar-SA"/>
        </w:rPr>
        <w:t xml:space="preserve">   </w:t>
      </w:r>
    </w:p>
    <w:p>
      <w:pPr>
        <w:pStyle w:val="52"/>
        <w:spacing w:line="580" w:lineRule="exact"/>
        <w:ind w:left="3" w:right="3" w:firstLine="560"/>
        <w:rPr>
          <w:rFonts w:hint="eastAsia"/>
          <w:b w:val="0"/>
          <w:bCs w:val="0"/>
          <w:lang w:val="en-US" w:eastAsia="zh-CN"/>
        </w:rPr>
      </w:pPr>
      <w:r>
        <w:rPr>
          <w:rFonts w:hint="eastAsia"/>
          <w:b w:val="0"/>
          <w:bCs w:val="0"/>
          <w:lang w:val="en-US" w:eastAsia="zh-CN"/>
        </w:rPr>
        <w:t>2.2项目实施的可持续影响分析</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“公路使用年限”指标，指标预期值为大于等于8年，实际完成值为8年，指标完成率为100.00%。所设分值15分，实际得分15分。</w:t>
      </w:r>
    </w:p>
    <w:p>
      <w:pPr>
        <w:pStyle w:val="52"/>
        <w:spacing w:line="580" w:lineRule="exact"/>
        <w:ind w:left="3" w:right="3" w:firstLine="560"/>
        <w:rPr>
          <w:rFonts w:hint="eastAsia"/>
          <w:b/>
          <w:bCs/>
          <w:lang w:val="en-US" w:eastAsia="zh-CN"/>
        </w:rPr>
      </w:pPr>
      <w:r>
        <w:rPr>
          <w:rFonts w:hint="eastAsia"/>
          <w:b/>
          <w:bCs/>
          <w:lang w:val="en-US" w:eastAsia="zh-CN"/>
        </w:rPr>
        <w:t>3.满意度指标完成情况分析</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“受益村民满意度”指标，指标预期指标值为大于等于95%，实际完成值为95%，指标完成率为100.00%。所设分值10分，实际得分10分。</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项目实施完成后我单位就该项目的满意度采取抽样发放调查问卷的方式开展调查，通过对调查问卷的梳理和统计，满意度指标综合满意率为95.00%。</w:t>
      </w:r>
    </w:p>
    <w:p>
      <w:pPr>
        <w:pStyle w:val="29"/>
        <w:spacing w:before="120"/>
        <w:ind w:left="0" w:leftChars="0" w:right="3" w:firstLine="562" w:firstLineChars="200"/>
      </w:pPr>
      <w:r>
        <w:rPr>
          <w:rFonts w:hint="eastAsia"/>
        </w:rPr>
        <w:t>四、偏离绩效目标的原因和下一步改进措施</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1.时效指标-项目开工时间：预期指标值为2024年9月，实际完成值为2024年8月。</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偏离原因：项目施工进度比预期提前。改进措施：加强项目管理工作。</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2.成本指标-建筑安装工程费用：预期指标值为小于等于3400.11万元，实际完成值为3182.67万元。</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偏离原因：项目前期中标价位低于预算价格，有效节约了项目成本。改进措施：按照乡村振兴衔接资金项目管理办法，加强对项目进度实时监督。</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成本指标-工程建设其他费用：预期指标值为小于等于299.89万元，实际完成值为72.36万元。</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偏离原因：项目已验收，项目正在审计结算中，部分资金未支付；改进措施：加快项目审计工作，及时支付项目资金。</w:t>
      </w:r>
    </w:p>
    <w:p>
      <w:pPr>
        <w:pStyle w:val="29"/>
        <w:spacing w:before="120"/>
        <w:ind w:left="0" w:leftChars="0" w:right="3" w:firstLine="562" w:firstLineChars="200"/>
      </w:pPr>
      <w:r>
        <w:rPr>
          <w:rFonts w:hint="eastAsia"/>
        </w:rPr>
        <w:t>五、绩效自评结果拟应用和公开情况</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项目本次评价通过文件研读、实地调研、数据采集、问卷调查方式下，全面了解于田县2024年也斯尤勒滚村红柳大芸基地附属配套道路建设项目(X671线K31+030岔口-皮什盖村、亚芒崖桥改建项目)资金的使用效率和效果，从而得出以下综合评价结论：在绩效目标方面，本项目共设置一级指标3个，二级指标7个，三级指标11个，其中已完成三级指标7个，指标完成率为63.64</w:t>
      </w:r>
      <w:bookmarkStart w:id="0" w:name="_GoBack"/>
      <w:bookmarkEnd w:id="0"/>
      <w:r>
        <w:rPr>
          <w:rFonts w:hint="eastAsia" w:ascii="仿宋" w:hAnsi="仿宋" w:eastAsia="仿宋" w:cs="仿宋"/>
          <w:b w:val="0"/>
          <w:color w:val="auto"/>
          <w:kern w:val="2"/>
          <w:sz w:val="28"/>
          <w:szCs w:val="28"/>
          <w:lang w:val="en-US" w:eastAsia="zh-CN" w:bidi="ar-SA"/>
        </w:rPr>
        <w:t>%；在资金使用方面，严格按照《于田县衔接资金财务管理制度》、《于田县交通运输局财务管理制度》执行，保障了资金使用规范、安全，无挪用、截留资金的情况发生。在项目管理方面，制定了《于田县2024年也斯尤勒滚村红柳大芸基地附属配套道路建设项目(X671线K31+030岔口-皮什盖村、亚芒崖桥改建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项目最终得分为83.48分，评价等级为良。</w:t>
      </w:r>
    </w:p>
    <w:p>
      <w:pPr>
        <w:spacing w:line="560" w:lineRule="exact"/>
        <w:ind w:firstLine="546" w:firstLineChars="200"/>
        <w:rPr>
          <w:rStyle w:val="18"/>
          <w:rFonts w:hint="eastAsia" w:ascii="楷体_GB2312" w:hAnsi="楷体" w:cs="Times New Roman"/>
          <w:spacing w:val="-4"/>
          <w:sz w:val="28"/>
          <w:szCs w:val="32"/>
        </w:rPr>
      </w:pPr>
      <w:r>
        <w:rPr>
          <w:rStyle w:val="18"/>
          <w:rFonts w:hint="eastAsia" w:ascii="楷体_GB2312" w:hAnsi="楷体" w:cs="Times New Roman"/>
          <w:spacing w:val="-4"/>
          <w:sz w:val="28"/>
          <w:szCs w:val="32"/>
        </w:rPr>
        <w:t>（一）绩效自评结果拟应用情况</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pPr>
        <w:spacing w:line="560" w:lineRule="exact"/>
        <w:ind w:firstLine="546" w:firstLineChars="200"/>
        <w:rPr>
          <w:rStyle w:val="18"/>
          <w:rFonts w:ascii="楷体_GB2312" w:hAnsi="楷体" w:cs="Times New Roman"/>
          <w:spacing w:val="-4"/>
          <w:sz w:val="28"/>
          <w:szCs w:val="32"/>
        </w:rPr>
      </w:pPr>
      <w:r>
        <w:rPr>
          <w:rStyle w:val="18"/>
          <w:rFonts w:hint="eastAsia" w:ascii="楷体_GB2312" w:hAnsi="楷体" w:cs="Times New Roman"/>
          <w:spacing w:val="-4"/>
          <w:sz w:val="28"/>
          <w:szCs w:val="32"/>
        </w:rPr>
        <w:t>（二）指标佐证材料说明</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项目状况：</w:t>
      </w:r>
      <w:r>
        <w:rPr>
          <w:rFonts w:hint="eastAsia" w:ascii="仿宋" w:hAnsi="仿宋" w:eastAsia="仿宋" w:cs="仿宋"/>
          <w:b w:val="0"/>
          <w:color w:val="auto"/>
          <w:kern w:val="2"/>
          <w:sz w:val="28"/>
          <w:szCs w:val="28"/>
          <w:lang w:val="en-US" w:eastAsia="zh-CN" w:bidi="ar-SA"/>
        </w:rPr>
        <w:t>由于田县交通运输局负责项目的实施方案，并由于田县发展和改革委员会审核后，下发了关于对于田县2024年也斯尤勒滚村红柳大芸基地附属配套道路建设项目(X671线K31+030岔口-皮什盖村、亚芒崖桥改建项目）建议书的批复》（于发改项目[2024]182号）、《关于对于田县2024年也斯尤勒滚村红柳大芸基地附属配套道路建设项目(X671线K31+030岔口-皮什盖村、亚芒崖桥改建项目）实施方案的批复》（于发改项目[2024]186号）。</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资金状况：</w:t>
      </w:r>
      <w:r>
        <w:rPr>
          <w:rFonts w:hint="eastAsia" w:ascii="仿宋" w:hAnsi="仿宋" w:eastAsia="仿宋" w:cs="仿宋"/>
          <w:b w:val="0"/>
          <w:color w:val="auto"/>
          <w:kern w:val="2"/>
          <w:sz w:val="28"/>
          <w:szCs w:val="28"/>
          <w:lang w:val="en-US" w:eastAsia="zh-CN" w:bidi="ar-SA"/>
        </w:rPr>
        <w:t>预算资金来源为乡村振兴衔接资金、车购税补助资金及其他资金，文件依据：关于对于田县2024年也斯尤勒滚村红柳大芸基地附属配套道路建设项目(X671线K31+030岔口-皮什盖村、亚芒崖桥改建项目）建议书的批复》（于发改项目[2024]182号）、《关于对于田县2024年也斯尤勒滚村红柳大芸基地附属配套道路建设项目(X671线K31+030岔口-皮什盖村、亚芒崖桥改建项目）实施方案的批复》（于发改项目[2024]186号）</w:t>
      </w:r>
    </w:p>
    <w:p>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过程状况：</w:t>
      </w:r>
      <w:r>
        <w:rPr>
          <w:rFonts w:hint="eastAsia" w:ascii="仿宋" w:hAnsi="仿宋" w:eastAsia="仿宋" w:cs="仿宋"/>
          <w:b w:val="0"/>
          <w:color w:val="auto"/>
          <w:kern w:val="2"/>
          <w:sz w:val="28"/>
          <w:szCs w:val="28"/>
          <w:lang w:val="en-US" w:eastAsia="zh-CN" w:bidi="ar-SA"/>
        </w:rPr>
        <w:t>该项目于2024年7月制订项目实施方案并得到批复，2024年11月发布招标公告进行招标，2024年12月完工。</w:t>
      </w:r>
    </w:p>
    <w:p>
      <w:pPr>
        <w:pStyle w:val="52"/>
        <w:spacing w:line="560" w:lineRule="exact"/>
        <w:ind w:left="3" w:right="3" w:firstLine="560"/>
        <w:rPr>
          <w:rFonts w:hint="default" w:ascii="仿宋" w:hAnsi="仿宋" w:eastAsia="仿宋" w:cs="仿宋"/>
          <w:b w:val="0"/>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结果状况：</w:t>
      </w:r>
      <w:r>
        <w:rPr>
          <w:rFonts w:hint="eastAsia" w:ascii="仿宋" w:hAnsi="仿宋" w:eastAsia="仿宋" w:cs="仿宋"/>
          <w:b w:val="0"/>
          <w:color w:val="auto"/>
          <w:kern w:val="2"/>
          <w:sz w:val="28"/>
          <w:szCs w:val="28"/>
          <w:lang w:val="en-US" w:eastAsia="zh-CN" w:bidi="ar-SA"/>
        </w:rPr>
        <w:t>2024年12月21日于田县交通运输局和参建单位联合自验，验收结果为：合格。项目正在完成工程与财务审计工作。</w:t>
      </w:r>
    </w:p>
    <w:p>
      <w:pPr>
        <w:spacing w:line="560" w:lineRule="exact"/>
        <w:ind w:firstLine="546" w:firstLineChars="200"/>
        <w:rPr>
          <w:rStyle w:val="18"/>
          <w:rFonts w:hint="eastAsia" w:ascii="楷体_GB2312" w:hAnsi="楷体" w:cs="Times New Roman"/>
          <w:spacing w:val="-4"/>
          <w:sz w:val="28"/>
          <w:szCs w:val="32"/>
        </w:rPr>
      </w:pPr>
      <w:r>
        <w:rPr>
          <w:rStyle w:val="18"/>
          <w:rFonts w:hint="eastAsia" w:ascii="楷体_GB2312" w:hAnsi="楷体" w:cs="Times New Roman"/>
          <w:spacing w:val="-4"/>
          <w:sz w:val="28"/>
          <w:szCs w:val="32"/>
        </w:rPr>
        <w:t>（三）主要经验及做法</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2024年于田县2024年也斯尤勒滚村红柳大芸基地附属配套道路建设项目(X671线K31+030岔口-皮什盖村、亚芒崖桥改建项目)资金安排、使用过程中严格执行乡村振兴项目资金管理制度，确保乡村振兴项目正常运行为构建长效稳定奠定物质基础。</w:t>
      </w:r>
    </w:p>
    <w:p>
      <w:pPr>
        <w:spacing w:line="560" w:lineRule="exact"/>
        <w:ind w:firstLine="562" w:firstLineChars="200"/>
        <w:rPr>
          <w:rStyle w:val="18"/>
          <w:rFonts w:ascii="楷体_GB2312"/>
          <w:sz w:val="28"/>
        </w:rPr>
      </w:pPr>
      <w:r>
        <w:rPr>
          <w:rStyle w:val="18"/>
          <w:rFonts w:hint="eastAsia" w:ascii="楷体_GB2312"/>
          <w:sz w:val="28"/>
        </w:rPr>
        <w:t>（四）存在的问题</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2024年于田县2024年也斯尤勒滚村红柳大芸基地附属配套道路建设项目(X671线K31+030岔口-皮什盖村、亚芒崖桥改建项目)资金安排、使用过程中存在一些问题，主要是资金申报，审批，发放过程中存在对资金拨付缓慢问题。</w:t>
      </w:r>
    </w:p>
    <w:p>
      <w:pPr>
        <w:spacing w:line="560" w:lineRule="exact"/>
        <w:ind w:firstLine="562" w:firstLineChars="200"/>
        <w:rPr>
          <w:rStyle w:val="18"/>
          <w:rFonts w:ascii="楷体_GB2312"/>
          <w:sz w:val="28"/>
        </w:rPr>
      </w:pPr>
      <w:r>
        <w:rPr>
          <w:rStyle w:val="18"/>
          <w:rFonts w:hint="eastAsia" w:ascii="楷体_GB2312"/>
          <w:sz w:val="28"/>
        </w:rPr>
        <w:t>（五）建议</w:t>
      </w:r>
    </w:p>
    <w:p>
      <w:pPr>
        <w:spacing w:line="560" w:lineRule="exact"/>
        <w:ind w:firstLine="560" w:firstLineChars="20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pPr>
        <w:spacing w:line="560" w:lineRule="exact"/>
        <w:ind w:firstLine="562" w:firstLineChars="200"/>
        <w:rPr>
          <w:rStyle w:val="18"/>
          <w:rFonts w:ascii="楷体_GB2312"/>
          <w:sz w:val="28"/>
        </w:rPr>
      </w:pPr>
      <w:r>
        <w:rPr>
          <w:rStyle w:val="18"/>
          <w:rFonts w:hint="eastAsia" w:ascii="楷体_GB2312"/>
          <w:sz w:val="28"/>
        </w:rPr>
        <w:t>（六）项目绩效公告公示情况</w:t>
      </w:r>
    </w:p>
    <w:p>
      <w:pPr>
        <w:pStyle w:val="52"/>
        <w:spacing w:line="560" w:lineRule="exact"/>
        <w:ind w:left="3" w:right="3" w:firstLine="560"/>
        <w:rPr>
          <w:rFonts w:hint="eastAsia" w:ascii="仿宋" w:hAnsi="仿宋" w:eastAsia="仿宋" w:cs="仿宋"/>
          <w:b w:val="0"/>
          <w:color w:val="auto"/>
          <w:kern w:val="2"/>
          <w:sz w:val="32"/>
          <w:szCs w:val="32"/>
          <w:lang w:val="en-US" w:eastAsia="zh-CN" w:bidi="ar-SA"/>
        </w:rPr>
      </w:pPr>
      <w:r>
        <w:rPr>
          <w:rFonts w:hint="eastAsia" w:ascii="仿宋" w:hAnsi="仿宋" w:eastAsia="仿宋" w:cs="仿宋"/>
          <w:b w:val="0"/>
          <w:color w:val="auto"/>
          <w:kern w:val="2"/>
          <w:sz w:val="28"/>
          <w:szCs w:val="28"/>
          <w:lang w:val="en-US" w:eastAsia="zh-CN" w:bidi="ar-SA"/>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2550A65"/>
    <w:rsid w:val="02E774CA"/>
    <w:rsid w:val="03B05C8B"/>
    <w:rsid w:val="042175DD"/>
    <w:rsid w:val="06E427B9"/>
    <w:rsid w:val="072623A9"/>
    <w:rsid w:val="09B724A4"/>
    <w:rsid w:val="0ABD77C3"/>
    <w:rsid w:val="0AE023EE"/>
    <w:rsid w:val="0B3857CE"/>
    <w:rsid w:val="10286214"/>
    <w:rsid w:val="10BD0067"/>
    <w:rsid w:val="1107668A"/>
    <w:rsid w:val="130A686C"/>
    <w:rsid w:val="1423489C"/>
    <w:rsid w:val="14651F42"/>
    <w:rsid w:val="14AE22BE"/>
    <w:rsid w:val="15DF4A89"/>
    <w:rsid w:val="16861EDE"/>
    <w:rsid w:val="16B77D24"/>
    <w:rsid w:val="19A54BF8"/>
    <w:rsid w:val="1A31017F"/>
    <w:rsid w:val="1EAB6414"/>
    <w:rsid w:val="1FEF3F98"/>
    <w:rsid w:val="201632F2"/>
    <w:rsid w:val="20DA787C"/>
    <w:rsid w:val="212D2039"/>
    <w:rsid w:val="21B96094"/>
    <w:rsid w:val="22114791"/>
    <w:rsid w:val="24BF6C72"/>
    <w:rsid w:val="264930DB"/>
    <w:rsid w:val="266F79F3"/>
    <w:rsid w:val="26C009EF"/>
    <w:rsid w:val="27476082"/>
    <w:rsid w:val="27C9403C"/>
    <w:rsid w:val="285C22C4"/>
    <w:rsid w:val="29347184"/>
    <w:rsid w:val="29413A4D"/>
    <w:rsid w:val="2AB9108B"/>
    <w:rsid w:val="2AF51E95"/>
    <w:rsid w:val="2B4F2C16"/>
    <w:rsid w:val="2D047D5E"/>
    <w:rsid w:val="2D0E55AF"/>
    <w:rsid w:val="315A781C"/>
    <w:rsid w:val="322C6211"/>
    <w:rsid w:val="33B51630"/>
    <w:rsid w:val="33B51853"/>
    <w:rsid w:val="340D366E"/>
    <w:rsid w:val="34587950"/>
    <w:rsid w:val="36CC2719"/>
    <w:rsid w:val="38351801"/>
    <w:rsid w:val="389964A9"/>
    <w:rsid w:val="399E44CA"/>
    <w:rsid w:val="3A335F90"/>
    <w:rsid w:val="3BD9393E"/>
    <w:rsid w:val="3C0809D4"/>
    <w:rsid w:val="3C12445A"/>
    <w:rsid w:val="3D31435C"/>
    <w:rsid w:val="3E842642"/>
    <w:rsid w:val="3E982E81"/>
    <w:rsid w:val="3FC10FA4"/>
    <w:rsid w:val="3FC75CCB"/>
    <w:rsid w:val="41AA671D"/>
    <w:rsid w:val="41D273F2"/>
    <w:rsid w:val="41DD42A4"/>
    <w:rsid w:val="42FB69E3"/>
    <w:rsid w:val="430F0203"/>
    <w:rsid w:val="43AE41A4"/>
    <w:rsid w:val="457273C9"/>
    <w:rsid w:val="45732251"/>
    <w:rsid w:val="45A734E5"/>
    <w:rsid w:val="47614C37"/>
    <w:rsid w:val="47D452E1"/>
    <w:rsid w:val="47D77274"/>
    <w:rsid w:val="48E263B4"/>
    <w:rsid w:val="49592FA8"/>
    <w:rsid w:val="4A3754AF"/>
    <w:rsid w:val="4A537FCD"/>
    <w:rsid w:val="4F2E32F8"/>
    <w:rsid w:val="4F5B0F4F"/>
    <w:rsid w:val="5224663F"/>
    <w:rsid w:val="528667E5"/>
    <w:rsid w:val="533636C3"/>
    <w:rsid w:val="55F20500"/>
    <w:rsid w:val="56CF4777"/>
    <w:rsid w:val="595A1781"/>
    <w:rsid w:val="5A023E6F"/>
    <w:rsid w:val="5A845B89"/>
    <w:rsid w:val="5B0C3770"/>
    <w:rsid w:val="5C6B7141"/>
    <w:rsid w:val="5D260B0D"/>
    <w:rsid w:val="5E6824A3"/>
    <w:rsid w:val="5EC33ABB"/>
    <w:rsid w:val="5EF25E4B"/>
    <w:rsid w:val="5EFB499F"/>
    <w:rsid w:val="608C4CA7"/>
    <w:rsid w:val="617D069B"/>
    <w:rsid w:val="623F0CF0"/>
    <w:rsid w:val="659C6748"/>
    <w:rsid w:val="690B074F"/>
    <w:rsid w:val="69E02932"/>
    <w:rsid w:val="6C2460EA"/>
    <w:rsid w:val="6D800A0A"/>
    <w:rsid w:val="6DAA64D7"/>
    <w:rsid w:val="6EE23180"/>
    <w:rsid w:val="705E6F6D"/>
    <w:rsid w:val="72CE1688"/>
    <w:rsid w:val="73066E6A"/>
    <w:rsid w:val="75CC6074"/>
    <w:rsid w:val="76A55492"/>
    <w:rsid w:val="76DA2B3C"/>
    <w:rsid w:val="77197DF9"/>
    <w:rsid w:val="77760779"/>
    <w:rsid w:val="783D640C"/>
    <w:rsid w:val="79FB120B"/>
    <w:rsid w:val="7B065F54"/>
    <w:rsid w:val="7B8A23C0"/>
    <w:rsid w:val="7CE75491"/>
    <w:rsid w:val="7DC9346F"/>
    <w:rsid w:val="7E1D3874"/>
    <w:rsid w:val="7F7912C0"/>
    <w:rsid w:val="7F7B69BB"/>
    <w:rsid w:val="7F9A0266"/>
    <w:rsid w:val="7F9B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8"/>
    <w:semiHidden/>
    <w:unhideWhenUsed/>
    <w:qFormat/>
    <w:uiPriority w:val="99"/>
    <w:rPr>
      <w:b/>
      <w:bCs/>
    </w:rPr>
  </w:style>
  <w:style w:type="paragraph" w:styleId="12">
    <w:name w:val="annotation text"/>
    <w:basedOn w:val="1"/>
    <w:link w:val="67"/>
    <w:semiHidden/>
    <w:unhideWhenUsed/>
    <w:qFormat/>
    <w:uiPriority w:val="99"/>
    <w:pPr>
      <w:jc w:val="left"/>
    </w:pPr>
  </w:style>
  <w:style w:type="paragraph" w:styleId="13">
    <w:name w:val="Balloon Text"/>
    <w:basedOn w:val="1"/>
    <w:link w:val="69"/>
    <w:semiHidden/>
    <w:unhideWhenUsed/>
    <w:qFormat/>
    <w:uiPriority w:val="99"/>
    <w:rPr>
      <w:sz w:val="18"/>
      <w:szCs w:val="18"/>
    </w:rPr>
  </w:style>
  <w:style w:type="paragraph" w:styleId="14">
    <w:name w:val="footer"/>
    <w:basedOn w:val="1"/>
    <w:link w:val="66"/>
    <w:unhideWhenUsed/>
    <w:qFormat/>
    <w:uiPriority w:val="99"/>
    <w:pPr>
      <w:tabs>
        <w:tab w:val="center" w:pos="4153"/>
        <w:tab w:val="right" w:pos="8306"/>
      </w:tabs>
      <w:snapToGrid w:val="0"/>
      <w:jc w:val="left"/>
    </w:pPr>
    <w:rPr>
      <w:sz w:val="18"/>
      <w:szCs w:val="18"/>
    </w:rPr>
  </w:style>
  <w:style w:type="paragraph" w:styleId="15">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8">
    <w:name w:val="Strong"/>
    <w:basedOn w:val="17"/>
    <w:qFormat/>
    <w:uiPriority w:val="0"/>
    <w:rPr>
      <w:b/>
      <w:bCs/>
    </w:rPr>
  </w:style>
  <w:style w:type="character" w:styleId="19">
    <w:name w:val="annotation reference"/>
    <w:basedOn w:val="17"/>
    <w:semiHidden/>
    <w:unhideWhenUsed/>
    <w:qFormat/>
    <w:uiPriority w:val="99"/>
    <w:rPr>
      <w:sz w:val="21"/>
      <w:szCs w:val="21"/>
    </w:rPr>
  </w:style>
  <w:style w:type="character" w:customStyle="1" w:styleId="21">
    <w:name w:val="标题 1 Char"/>
    <w:basedOn w:val="17"/>
    <w:link w:val="3"/>
    <w:qFormat/>
    <w:locked/>
    <w:uiPriority w:val="9"/>
    <w:rPr>
      <w:b/>
      <w:bCs/>
      <w:kern w:val="44"/>
      <w:sz w:val="44"/>
      <w:szCs w:val="44"/>
    </w:rPr>
  </w:style>
  <w:style w:type="character" w:customStyle="1" w:styleId="22">
    <w:name w:val="标题 2 Char"/>
    <w:basedOn w:val="17"/>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7"/>
    <w:link w:val="2"/>
    <w:semiHidden/>
    <w:qFormat/>
    <w:locked/>
    <w:uiPriority w:val="9"/>
    <w:rPr>
      <w:b/>
      <w:bCs/>
      <w:sz w:val="32"/>
      <w:szCs w:val="32"/>
    </w:rPr>
  </w:style>
  <w:style w:type="character" w:customStyle="1" w:styleId="24">
    <w:name w:val="标题 4 Char"/>
    <w:basedOn w:val="17"/>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7"/>
    <w:link w:val="6"/>
    <w:semiHidden/>
    <w:qFormat/>
    <w:locked/>
    <w:uiPriority w:val="9"/>
    <w:rPr>
      <w:b/>
      <w:bCs/>
      <w:sz w:val="28"/>
      <w:szCs w:val="28"/>
    </w:rPr>
  </w:style>
  <w:style w:type="character" w:customStyle="1" w:styleId="26">
    <w:name w:val="FZ标题1 字符"/>
    <w:basedOn w:val="17"/>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7"/>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7"/>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7"/>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7"/>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7"/>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7"/>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7"/>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7"/>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7"/>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7"/>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7"/>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7"/>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7"/>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7"/>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7"/>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7"/>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7"/>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7"/>
    <w:link w:val="8"/>
    <w:semiHidden/>
    <w:qFormat/>
    <w:uiPriority w:val="9"/>
    <w:rPr>
      <w:rFonts w:asciiTheme="minorHAnsi" w:hAnsiTheme="minorHAnsi" w:eastAsiaTheme="minorEastAsia"/>
      <w:b/>
      <w:bCs/>
      <w:kern w:val="2"/>
      <w:sz w:val="24"/>
      <w:szCs w:val="24"/>
    </w:rPr>
  </w:style>
  <w:style w:type="character" w:customStyle="1" w:styleId="63">
    <w:name w:val="标题 8 Char"/>
    <w:basedOn w:val="17"/>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7"/>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7"/>
    <w:link w:val="15"/>
    <w:qFormat/>
    <w:uiPriority w:val="99"/>
    <w:rPr>
      <w:rFonts w:asciiTheme="minorHAnsi" w:hAnsiTheme="minorHAnsi" w:eastAsiaTheme="minorEastAsia"/>
      <w:kern w:val="2"/>
      <w:sz w:val="18"/>
      <w:szCs w:val="18"/>
    </w:rPr>
  </w:style>
  <w:style w:type="character" w:customStyle="1" w:styleId="66">
    <w:name w:val="页脚 Char"/>
    <w:basedOn w:val="17"/>
    <w:link w:val="14"/>
    <w:qFormat/>
    <w:uiPriority w:val="99"/>
    <w:rPr>
      <w:rFonts w:asciiTheme="minorHAnsi" w:hAnsiTheme="minorHAnsi" w:eastAsiaTheme="minorEastAsia"/>
      <w:kern w:val="2"/>
      <w:sz w:val="18"/>
      <w:szCs w:val="18"/>
    </w:rPr>
  </w:style>
  <w:style w:type="character" w:customStyle="1" w:styleId="67">
    <w:name w:val="批注文字 Char"/>
    <w:basedOn w:val="17"/>
    <w:link w:val="12"/>
    <w:semiHidden/>
    <w:qFormat/>
    <w:uiPriority w:val="99"/>
    <w:rPr>
      <w:rFonts w:asciiTheme="minorHAnsi" w:hAnsiTheme="minorHAnsi" w:eastAsiaTheme="minorEastAsia"/>
      <w:kern w:val="2"/>
      <w:sz w:val="21"/>
      <w:szCs w:val="22"/>
    </w:rPr>
  </w:style>
  <w:style w:type="character" w:customStyle="1" w:styleId="68">
    <w:name w:val="批注主题 Char"/>
    <w:basedOn w:val="67"/>
    <w:link w:val="11"/>
    <w:semiHidden/>
    <w:qFormat/>
    <w:uiPriority w:val="99"/>
    <w:rPr>
      <w:rFonts w:asciiTheme="minorHAnsi" w:hAnsiTheme="minorHAnsi" w:eastAsiaTheme="minorEastAsia"/>
      <w:b/>
      <w:bCs/>
      <w:kern w:val="2"/>
      <w:sz w:val="21"/>
      <w:szCs w:val="22"/>
    </w:rPr>
  </w:style>
  <w:style w:type="character" w:customStyle="1" w:styleId="69">
    <w:name w:val="批注框文本 Char"/>
    <w:basedOn w:val="17"/>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719</Words>
  <Characters>826</Characters>
  <Lines>9</Lines>
  <Paragraphs>15</Paragraphs>
  <TotalTime>29</TotalTime>
  <ScaleCrop>false</ScaleCrop>
  <LinksUpToDate>false</LinksUpToDate>
  <CharactersWithSpaces>827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2025-03-03T11:05:03Z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D8042D538B4E4757846D3CB2238C52CD_12</vt:lpwstr>
  </property>
  <property fmtid="{D5CDD505-2E9C-101B-9397-08002B2CF9AE}" pid="4" name="KSOTemplateDocerSaveRecord">
    <vt:lpwstr>eyJoZGlkIjoiMWU4NGM3NjQxMmMyOTNjZTNhMjlhMjA2YTUwZjlhZWIifQ==</vt:lpwstr>
  </property>
</Properties>
</file>