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9CD6A84">
      <w:pPr>
        <w:spacing w:before="120" w:after="120" w:line="480" w:lineRule="auto"/>
        <w:ind w:firstLine="883" w:firstLineChars="200"/>
        <w:jc w:val="center"/>
        <w:outlineLvl w:val="0"/>
        <w:rPr>
          <w:rFonts w:ascii="仿宋_GB2312" w:hAnsi="Arial"/>
          <w:b/>
          <w:sz w:val="44"/>
          <w:szCs w:val="44"/>
        </w:rPr>
      </w:pPr>
      <w:bookmarkStart w:id="1" w:name="_GoBack"/>
      <w:bookmarkEnd w:id="1"/>
    </w:p>
    <w:p w14:paraId="664693FF">
      <w:pPr>
        <w:jc w:val="center"/>
        <w:rPr>
          <w:rFonts w:ascii="方正大标宋简体" w:hAnsi="华文中宋" w:eastAsia="方正大标宋简体" w:cs="宋体"/>
          <w:color w:val="auto"/>
          <w:kern w:val="0"/>
          <w:sz w:val="52"/>
          <w:szCs w:val="52"/>
        </w:rPr>
      </w:pPr>
      <w:r>
        <w:rPr>
          <w:rFonts w:hint="eastAsia" w:ascii="方正大标宋简体" w:hAnsi="华文中宋" w:eastAsia="方正大标宋简体" w:cs="宋体"/>
          <w:color w:val="auto"/>
          <w:kern w:val="0"/>
          <w:sz w:val="52"/>
          <w:szCs w:val="52"/>
        </w:rPr>
        <w:t>和田地区于田县乡村振兴衔接资金项目支出绩效自评报告</w:t>
      </w:r>
    </w:p>
    <w:p w14:paraId="66215FB7">
      <w:pPr>
        <w:spacing w:line="700" w:lineRule="exact"/>
        <w:ind w:firstLine="1040" w:firstLineChars="200"/>
        <w:jc w:val="center"/>
        <w:rPr>
          <w:rFonts w:ascii="方正大标宋简体" w:hAnsi="华文中宋" w:eastAsia="方正大标宋简体" w:cs="宋体"/>
          <w:color w:val="auto"/>
          <w:kern w:val="0"/>
          <w:sz w:val="52"/>
          <w:szCs w:val="52"/>
        </w:rPr>
      </w:pPr>
    </w:p>
    <w:p w14:paraId="561863B5">
      <w:pPr>
        <w:spacing w:line="540" w:lineRule="exact"/>
        <w:ind w:firstLine="720" w:firstLineChars="200"/>
        <w:jc w:val="center"/>
        <w:rPr>
          <w:rFonts w:hAnsi="宋体" w:cs="宋体"/>
          <w:color w:val="auto"/>
          <w:kern w:val="0"/>
          <w:sz w:val="36"/>
          <w:szCs w:val="36"/>
        </w:rPr>
      </w:pPr>
      <w:r>
        <w:rPr>
          <w:rFonts w:hint="eastAsia" w:hAnsi="宋体" w:cs="宋体"/>
          <w:color w:val="auto"/>
          <w:kern w:val="0"/>
          <w:sz w:val="36"/>
          <w:szCs w:val="36"/>
        </w:rPr>
        <w:t>（</w:t>
      </w:r>
      <w:r>
        <w:rPr>
          <w:rFonts w:hint="eastAsia" w:hAnsi="宋体" w:cs="宋体"/>
          <w:color w:val="auto"/>
          <w:kern w:val="0"/>
          <w:sz w:val="36"/>
          <w:szCs w:val="36"/>
          <w:lang w:eastAsia="zh-CN"/>
        </w:rPr>
        <w:t>2024</w:t>
      </w:r>
      <w:r>
        <w:rPr>
          <w:rFonts w:hint="eastAsia" w:hAnsi="宋体" w:cs="宋体"/>
          <w:color w:val="auto"/>
          <w:kern w:val="0"/>
          <w:sz w:val="36"/>
          <w:szCs w:val="36"/>
        </w:rPr>
        <w:t>年度）</w:t>
      </w:r>
    </w:p>
    <w:p w14:paraId="1932B3EF">
      <w:pPr>
        <w:spacing w:line="540" w:lineRule="exact"/>
        <w:ind w:firstLine="600" w:firstLineChars="200"/>
        <w:jc w:val="center"/>
        <w:rPr>
          <w:rFonts w:hAnsi="宋体" w:cs="宋体"/>
          <w:color w:val="auto"/>
          <w:kern w:val="0"/>
          <w:sz w:val="30"/>
          <w:szCs w:val="30"/>
        </w:rPr>
      </w:pPr>
    </w:p>
    <w:p w14:paraId="4436895D">
      <w:pPr>
        <w:spacing w:line="540" w:lineRule="exact"/>
        <w:ind w:firstLine="600" w:firstLineChars="200"/>
        <w:jc w:val="center"/>
        <w:rPr>
          <w:rFonts w:hAnsi="宋体" w:cs="宋体"/>
          <w:color w:val="auto"/>
          <w:kern w:val="0"/>
          <w:sz w:val="30"/>
          <w:szCs w:val="30"/>
        </w:rPr>
      </w:pPr>
    </w:p>
    <w:p w14:paraId="13F73596">
      <w:pPr>
        <w:spacing w:line="540" w:lineRule="exact"/>
        <w:ind w:firstLine="600" w:firstLineChars="200"/>
        <w:jc w:val="center"/>
        <w:rPr>
          <w:rFonts w:hAnsi="宋体" w:cs="宋体"/>
          <w:color w:val="auto"/>
          <w:kern w:val="0"/>
          <w:sz w:val="30"/>
          <w:szCs w:val="30"/>
        </w:rPr>
      </w:pPr>
    </w:p>
    <w:p w14:paraId="1DB28659">
      <w:pPr>
        <w:spacing w:line="540" w:lineRule="exact"/>
        <w:ind w:firstLine="600" w:firstLineChars="200"/>
        <w:jc w:val="center"/>
        <w:rPr>
          <w:rFonts w:hAnsi="宋体" w:cs="宋体"/>
          <w:color w:val="auto"/>
          <w:kern w:val="0"/>
          <w:sz w:val="30"/>
          <w:szCs w:val="30"/>
        </w:rPr>
      </w:pPr>
    </w:p>
    <w:p w14:paraId="6EBAD50F">
      <w:pPr>
        <w:spacing w:line="540" w:lineRule="exact"/>
        <w:ind w:firstLine="600" w:firstLineChars="200"/>
        <w:rPr>
          <w:rFonts w:hAnsi="宋体" w:cs="宋体"/>
          <w:color w:val="auto"/>
          <w:kern w:val="0"/>
          <w:sz w:val="30"/>
          <w:szCs w:val="30"/>
        </w:rPr>
      </w:pPr>
    </w:p>
    <w:p w14:paraId="17A2B177">
      <w:pPr>
        <w:spacing w:line="540" w:lineRule="exact"/>
        <w:ind w:firstLine="600" w:firstLineChars="200"/>
        <w:rPr>
          <w:rFonts w:hAnsi="宋体" w:cs="宋体"/>
          <w:color w:val="auto"/>
          <w:kern w:val="0"/>
          <w:sz w:val="30"/>
          <w:szCs w:val="30"/>
        </w:rPr>
      </w:pPr>
    </w:p>
    <w:p w14:paraId="165E7C65">
      <w:pPr>
        <w:spacing w:line="360" w:lineRule="auto"/>
        <w:ind w:left="640" w:leftChars="200" w:firstLine="640" w:firstLineChars="200"/>
        <w:rPr>
          <w:rFonts w:ascii="仿宋" w:hAnsi="仿宋" w:eastAsia="仿宋" w:cs="仿宋"/>
          <w:color w:val="auto"/>
          <w:szCs w:val="32"/>
        </w:rPr>
      </w:pPr>
    </w:p>
    <w:p w14:paraId="39741F9C">
      <w:pPr>
        <w:spacing w:line="360" w:lineRule="auto"/>
        <w:ind w:left="640" w:leftChars="200" w:firstLine="640" w:firstLineChars="200"/>
        <w:rPr>
          <w:rFonts w:ascii="仿宋" w:hAnsi="仿宋" w:eastAsia="仿宋" w:cs="仿宋"/>
          <w:color w:val="auto"/>
          <w:szCs w:val="32"/>
        </w:rPr>
      </w:pPr>
    </w:p>
    <w:p w14:paraId="7D972839">
      <w:pPr>
        <w:spacing w:line="560" w:lineRule="exact"/>
        <w:ind w:left="640" w:leftChars="200" w:firstLine="640" w:firstLineChars="200"/>
        <w:rPr>
          <w:rFonts w:ascii="仿宋" w:hAnsi="仿宋" w:eastAsia="仿宋" w:cs="仿宋"/>
          <w:color w:val="auto"/>
          <w:szCs w:val="32"/>
        </w:rPr>
      </w:pPr>
    </w:p>
    <w:p w14:paraId="047CF16E">
      <w:pPr>
        <w:spacing w:line="560" w:lineRule="exact"/>
        <w:rPr>
          <w:rFonts w:hint="default" w:ascii="仿宋" w:hAnsi="仿宋" w:eastAsia="仿宋" w:cs="仿宋"/>
          <w:color w:val="auto"/>
          <w:szCs w:val="32"/>
          <w:lang w:val="en-US" w:eastAsia="zh-CN"/>
        </w:rPr>
      </w:pPr>
      <w:r>
        <w:rPr>
          <w:rFonts w:hint="eastAsia" w:ascii="仿宋" w:hAnsi="仿宋" w:eastAsia="仿宋" w:cs="仿宋"/>
          <w:color w:val="auto"/>
          <w:szCs w:val="32"/>
        </w:rPr>
        <w:t>项  目  名  称:</w:t>
      </w:r>
      <w:r>
        <w:rPr>
          <w:rFonts w:hint="eastAsia" w:ascii="仿宋" w:hAnsi="仿宋" w:eastAsia="仿宋" w:cs="仿宋"/>
          <w:bCs/>
          <w:color w:val="auto"/>
          <w:kern w:val="0"/>
          <w:lang w:val="en-US" w:eastAsia="zh-CN"/>
        </w:rPr>
        <w:t>于田县喀拉克尔乡央塔克喀什村碎片化土地整合项目</w:t>
      </w:r>
    </w:p>
    <w:p w14:paraId="665D375E">
      <w:pPr>
        <w:spacing w:line="560" w:lineRule="exact"/>
        <w:rPr>
          <w:rFonts w:hint="default" w:ascii="仿宋" w:hAnsi="仿宋" w:eastAsia="仿宋" w:cs="仿宋"/>
          <w:color w:val="auto"/>
          <w:szCs w:val="32"/>
          <w:lang w:val="en-US" w:eastAsia="zh-CN"/>
        </w:rPr>
      </w:pPr>
      <w:r>
        <w:rPr>
          <w:rFonts w:hint="eastAsia" w:ascii="仿宋" w:hAnsi="仿宋" w:eastAsia="仿宋" w:cs="仿宋"/>
          <w:color w:val="auto"/>
          <w:szCs w:val="32"/>
        </w:rPr>
        <w:t>实施单位(公章):</w:t>
      </w:r>
      <w:r>
        <w:rPr>
          <w:rFonts w:hint="eastAsia" w:ascii="仿宋" w:hAnsi="仿宋" w:eastAsia="仿宋" w:cs="仿宋"/>
          <w:color w:val="auto"/>
          <w:szCs w:val="32"/>
          <w:lang w:val="en-US" w:eastAsia="zh-CN"/>
        </w:rPr>
        <w:t>于田县喀拉克尔乡人民政府</w:t>
      </w:r>
    </w:p>
    <w:p w14:paraId="697BC6CC">
      <w:pPr>
        <w:spacing w:line="560" w:lineRule="exact"/>
        <w:rPr>
          <w:rFonts w:hint="eastAsia" w:ascii="仿宋" w:hAnsi="仿宋" w:eastAsia="仿宋" w:cs="仿宋"/>
          <w:color w:val="auto"/>
          <w:szCs w:val="32"/>
          <w:lang w:val="en-US" w:eastAsia="zh-CN"/>
        </w:rPr>
      </w:pPr>
      <w:r>
        <w:rPr>
          <w:rFonts w:hint="eastAsia" w:ascii="仿宋" w:hAnsi="仿宋" w:eastAsia="仿宋" w:cs="仿宋"/>
          <w:color w:val="auto"/>
          <w:szCs w:val="32"/>
        </w:rPr>
        <w:t>主管部门(公章):</w:t>
      </w:r>
      <w:r>
        <w:rPr>
          <w:rFonts w:hint="eastAsia" w:ascii="仿宋" w:hAnsi="仿宋" w:eastAsia="仿宋" w:cs="仿宋"/>
          <w:color w:val="auto"/>
          <w:szCs w:val="32"/>
          <w:lang w:val="en-US" w:eastAsia="zh-CN"/>
        </w:rPr>
        <w:t>于田县农业农村局</w:t>
      </w:r>
    </w:p>
    <w:p w14:paraId="6EF6AF47">
      <w:pPr>
        <w:spacing w:line="560" w:lineRule="exact"/>
        <w:rPr>
          <w:rFonts w:hint="default" w:ascii="仿宋" w:hAnsi="仿宋" w:eastAsia="仿宋" w:cs="仿宋"/>
          <w:color w:val="auto"/>
          <w:szCs w:val="32"/>
          <w:lang w:val="en-US" w:eastAsia="zh-CN"/>
        </w:rPr>
      </w:pPr>
      <w:r>
        <w:rPr>
          <w:rFonts w:hint="eastAsia" w:ascii="仿宋" w:hAnsi="仿宋" w:eastAsia="仿宋" w:cs="仿宋"/>
          <w:color w:val="auto"/>
          <w:szCs w:val="32"/>
        </w:rPr>
        <w:t>项目负责人(签章):</w:t>
      </w:r>
      <w:r>
        <w:rPr>
          <w:rFonts w:hint="eastAsia" w:ascii="仿宋" w:hAnsi="仿宋" w:eastAsia="仿宋" w:cs="仿宋"/>
          <w:color w:val="auto"/>
          <w:szCs w:val="32"/>
          <w:lang w:val="en-US" w:eastAsia="zh-CN"/>
        </w:rPr>
        <w:t>叶辉</w:t>
      </w:r>
    </w:p>
    <w:p w14:paraId="7022B198">
      <w:pPr>
        <w:spacing w:line="560" w:lineRule="exact"/>
        <w:rPr>
          <w:color w:val="auto"/>
        </w:rPr>
      </w:pPr>
      <w:r>
        <w:rPr>
          <w:rFonts w:hint="eastAsia" w:ascii="仿宋" w:hAnsi="仿宋" w:eastAsia="仿宋" w:cs="仿宋"/>
          <w:color w:val="auto"/>
          <w:szCs w:val="32"/>
        </w:rPr>
        <w:t>填  报  时  间:</w:t>
      </w:r>
      <w:r>
        <w:rPr>
          <w:rFonts w:ascii="仿宋" w:hAnsi="仿宋" w:eastAsia="仿宋" w:cs="仿宋"/>
          <w:color w:val="auto"/>
          <w:szCs w:val="32"/>
        </w:rPr>
        <w:t>20</w:t>
      </w:r>
      <w:r>
        <w:rPr>
          <w:rFonts w:hint="eastAsia" w:ascii="仿宋" w:hAnsi="仿宋" w:eastAsia="仿宋" w:cs="仿宋"/>
          <w:color w:val="auto"/>
          <w:szCs w:val="32"/>
        </w:rPr>
        <w:t>2</w:t>
      </w:r>
      <w:r>
        <w:rPr>
          <w:rFonts w:hint="eastAsia" w:ascii="仿宋" w:hAnsi="仿宋" w:eastAsia="仿宋" w:cs="仿宋"/>
          <w:color w:val="auto"/>
          <w:szCs w:val="32"/>
          <w:lang w:val="en-US" w:eastAsia="zh-CN"/>
        </w:rPr>
        <w:t>4</w:t>
      </w:r>
      <w:r>
        <w:rPr>
          <w:rFonts w:ascii="仿宋" w:hAnsi="仿宋" w:eastAsia="仿宋" w:cs="仿宋"/>
          <w:color w:val="auto"/>
          <w:szCs w:val="32"/>
        </w:rPr>
        <w:t>年</w:t>
      </w:r>
      <w:r>
        <w:rPr>
          <w:rFonts w:hint="eastAsia" w:ascii="仿宋" w:hAnsi="仿宋" w:eastAsia="仿宋" w:cs="仿宋"/>
          <w:color w:val="auto"/>
          <w:szCs w:val="32"/>
          <w:lang w:val="en-US" w:eastAsia="zh-CN"/>
        </w:rPr>
        <w:t>2</w:t>
      </w:r>
      <w:r>
        <w:rPr>
          <w:rFonts w:ascii="仿宋" w:hAnsi="仿宋" w:eastAsia="仿宋" w:cs="仿宋"/>
          <w:color w:val="auto"/>
          <w:szCs w:val="32"/>
        </w:rPr>
        <w:t>月</w:t>
      </w:r>
      <w:r>
        <w:rPr>
          <w:rFonts w:hint="eastAsia" w:ascii="仿宋" w:hAnsi="仿宋" w:eastAsia="仿宋" w:cs="仿宋"/>
          <w:color w:val="auto"/>
          <w:szCs w:val="32"/>
          <w:lang w:val="en-US" w:eastAsia="zh-CN"/>
        </w:rPr>
        <w:t>23</w:t>
      </w:r>
      <w:r>
        <w:rPr>
          <w:rFonts w:ascii="仿宋" w:hAnsi="仿宋" w:eastAsia="仿宋" w:cs="仿宋"/>
          <w:color w:val="auto"/>
          <w:szCs w:val="32"/>
        </w:rPr>
        <w:t>日</w:t>
      </w:r>
    </w:p>
    <w:p w14:paraId="6EA39BD1">
      <w:pPr>
        <w:spacing w:line="560" w:lineRule="exact"/>
        <w:ind w:firstLine="640" w:firstLineChars="200"/>
        <w:rPr>
          <w:rFonts w:ascii="仿宋_GB2312" w:hAnsi="仿宋_GB2312" w:cs="仿宋_GB2312"/>
          <w:kern w:val="0"/>
          <w:szCs w:val="32"/>
          <w:lang w:bidi="en-US"/>
        </w:rPr>
      </w:pPr>
    </w:p>
    <w:p w14:paraId="10A6B0EB">
      <w:pPr>
        <w:spacing w:line="560" w:lineRule="exact"/>
        <w:ind w:firstLine="640" w:firstLineChars="200"/>
        <w:rPr>
          <w:rFonts w:ascii="仿宋_GB2312" w:hAnsi="仿宋_GB2312" w:cs="仿宋_GB2312"/>
          <w:kern w:val="0"/>
          <w:szCs w:val="32"/>
          <w:lang w:bidi="en-US"/>
        </w:rPr>
      </w:pPr>
    </w:p>
    <w:p w14:paraId="49BF2CDA">
      <w:pPr>
        <w:spacing w:line="360" w:lineRule="auto"/>
        <w:ind w:firstLine="627" w:firstLineChars="200"/>
        <w:rPr>
          <w:rStyle w:val="19"/>
          <w:rFonts w:ascii="黑体" w:hAnsi="黑体" w:eastAsia="黑体" w:cs="Times New Roman"/>
          <w:spacing w:val="-4"/>
          <w:szCs w:val="32"/>
        </w:rPr>
      </w:pPr>
    </w:p>
    <w:p w14:paraId="1871CF1E">
      <w:pPr>
        <w:spacing w:line="360" w:lineRule="auto"/>
        <w:ind w:firstLine="627" w:firstLineChars="200"/>
        <w:rPr>
          <w:rStyle w:val="19"/>
          <w:rFonts w:ascii="黑体" w:hAnsi="黑体" w:eastAsia="黑体" w:cs="Times New Roman"/>
          <w:spacing w:val="-4"/>
          <w:szCs w:val="32"/>
        </w:rPr>
      </w:pPr>
      <w:r>
        <w:rPr>
          <w:rStyle w:val="19"/>
          <w:rFonts w:hint="eastAsia" w:ascii="黑体" w:hAnsi="黑体" w:eastAsia="黑体" w:cs="Times New Roman"/>
          <w:spacing w:val="-4"/>
          <w:szCs w:val="32"/>
        </w:rPr>
        <w:t>一、绩效目标分解下达情况</w:t>
      </w:r>
    </w:p>
    <w:p w14:paraId="0F625A7A">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2345BC66">
      <w:pPr>
        <w:pStyle w:val="52"/>
        <w:ind w:left="3" w:right="3" w:firstLine="562"/>
        <w:rPr>
          <w:rFonts w:ascii="仿宋_GB2312"/>
          <w:b/>
          <w:szCs w:val="32"/>
        </w:rPr>
      </w:pPr>
      <w:r>
        <w:rPr>
          <w:rFonts w:hint="eastAsia" w:ascii="仿宋_GB2312"/>
          <w:b/>
          <w:szCs w:val="32"/>
        </w:rPr>
        <w:t>1.下达预算情况</w:t>
      </w:r>
    </w:p>
    <w:p w14:paraId="59CB00B5">
      <w:pPr>
        <w:pStyle w:val="52"/>
        <w:ind w:left="3" w:right="3" w:firstLine="560"/>
        <w:rPr>
          <w:rFonts w:ascii="仿宋_GB2312"/>
          <w:szCs w:val="32"/>
        </w:rPr>
      </w:pPr>
      <w:r>
        <w:rPr>
          <w:rFonts w:hint="eastAsia" w:ascii="仿宋_GB2312"/>
          <w:szCs w:val="32"/>
        </w:rPr>
        <w:t>本项目根据</w:t>
      </w:r>
      <w:r>
        <w:rPr>
          <w:rFonts w:hint="eastAsia"/>
          <w:lang w:eastAsia="zh-CN"/>
        </w:rPr>
        <w:t>于田县农业农村局及于田县财政局</w:t>
      </w:r>
      <w:r>
        <w:rPr>
          <w:rFonts w:hint="eastAsia"/>
        </w:rPr>
        <w:t>联合</w:t>
      </w:r>
      <w:r>
        <w:rPr>
          <w:rFonts w:hint="eastAsia" w:ascii="仿宋_GB2312"/>
          <w:szCs w:val="32"/>
        </w:rPr>
        <w:t>下发的《关于对</w:t>
      </w:r>
      <w:r>
        <w:rPr>
          <w:rFonts w:hint="eastAsia" w:ascii="仿宋_GB2312"/>
          <w:szCs w:val="32"/>
          <w:lang w:eastAsia="zh-CN"/>
        </w:rPr>
        <w:t>〈于田县喀拉克尔乡央塔克喀什村碎片化土地整合项目</w:t>
      </w:r>
      <w:r>
        <w:rPr>
          <w:rFonts w:hint="eastAsia" w:ascii="仿宋_GB2312"/>
          <w:szCs w:val="32"/>
        </w:rPr>
        <w:t>实施方案</w:t>
      </w:r>
      <w:r>
        <w:rPr>
          <w:rFonts w:hint="eastAsia" w:ascii="仿宋_GB2312"/>
          <w:szCs w:val="32"/>
          <w:lang w:eastAsia="zh-CN"/>
        </w:rPr>
        <w:t>〉</w:t>
      </w:r>
      <w:r>
        <w:rPr>
          <w:rFonts w:hint="eastAsia" w:ascii="仿宋_GB2312"/>
          <w:szCs w:val="32"/>
        </w:rPr>
        <w:t>的批复》（</w:t>
      </w:r>
      <w:r>
        <w:rPr>
          <w:rFonts w:hint="eastAsia" w:ascii="仿宋_GB2312"/>
          <w:szCs w:val="32"/>
          <w:lang w:eastAsia="zh-CN"/>
        </w:rPr>
        <w:t>于农村项目〔2024〕09号</w:t>
      </w:r>
      <w:r>
        <w:rPr>
          <w:rFonts w:hint="eastAsia" w:ascii="仿宋_GB2312"/>
          <w:color w:val="auto"/>
          <w:szCs w:val="32"/>
        </w:rPr>
        <w:t>）文批复立项实施，</w:t>
      </w:r>
      <w:r>
        <w:rPr>
          <w:rFonts w:hint="eastAsia" w:ascii="仿宋_GB2312"/>
          <w:color w:val="auto"/>
          <w:szCs w:val="32"/>
          <w:lang w:eastAsia="zh-CN"/>
        </w:rPr>
        <w:t>于田县喀拉克尔乡央塔克喀什村碎片化土地整合项目</w:t>
      </w:r>
      <w:r>
        <w:rPr>
          <w:rFonts w:hint="eastAsia" w:ascii="仿宋_GB2312"/>
          <w:color w:val="auto"/>
          <w:szCs w:val="32"/>
        </w:rPr>
        <w:t>实施方案预算安排总额为</w:t>
      </w:r>
      <w:r>
        <w:rPr>
          <w:rFonts w:hint="eastAsia" w:ascii="仿宋_GB2312"/>
          <w:color w:val="auto"/>
          <w:szCs w:val="32"/>
          <w:lang w:val="en-US" w:eastAsia="zh-CN"/>
        </w:rPr>
        <w:t>23.00</w:t>
      </w:r>
      <w:r>
        <w:rPr>
          <w:rFonts w:hint="eastAsia" w:ascii="仿宋_GB2312"/>
          <w:color w:val="auto"/>
          <w:szCs w:val="32"/>
        </w:rPr>
        <w:t>万元，其中：</w:t>
      </w:r>
      <w:r>
        <w:rPr>
          <w:rFonts w:hint="eastAsia" w:ascii="仿宋_GB2312"/>
          <w:color w:val="auto"/>
          <w:szCs w:val="32"/>
          <w:lang w:val="en-US" w:eastAsia="zh-CN"/>
        </w:rPr>
        <w:t>乡村振兴衔接资金23.00</w:t>
      </w:r>
      <w:r>
        <w:rPr>
          <w:rFonts w:hint="eastAsia" w:ascii="仿宋_GB2312"/>
          <w:color w:val="auto"/>
          <w:szCs w:val="32"/>
        </w:rPr>
        <w:t>万元。预算资金到位率为100.00%。</w:t>
      </w:r>
    </w:p>
    <w:p w14:paraId="0D8E63F9">
      <w:pPr>
        <w:pStyle w:val="52"/>
        <w:ind w:left="3" w:right="3" w:firstLine="562"/>
        <w:rPr>
          <w:rFonts w:ascii="仿宋_GB2312"/>
          <w:b/>
          <w:szCs w:val="32"/>
        </w:rPr>
      </w:pPr>
      <w:r>
        <w:rPr>
          <w:rFonts w:hint="eastAsia" w:ascii="仿宋_GB2312"/>
          <w:b/>
          <w:szCs w:val="32"/>
        </w:rPr>
        <w:t>2.项目实施背景</w:t>
      </w:r>
    </w:p>
    <w:p w14:paraId="5E5AFC46">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项目的实施为保障喀拉克尔乡粮食安全，促进农民增收，</w:t>
      </w:r>
      <w:r>
        <w:rPr>
          <w:rFonts w:hint="eastAsia" w:ascii="仿宋_GB2312" w:hAnsi="Times New Roman" w:eastAsia="仿宋_GB2312" w:cs="Times New Roman"/>
          <w:color w:val="000000"/>
          <w:sz w:val="28"/>
          <w:szCs w:val="32"/>
          <w:lang w:eastAsia="zh-CN"/>
        </w:rPr>
        <w:t>在喀拉克尔乡央塔克喀什村</w:t>
      </w:r>
      <w:r>
        <w:rPr>
          <w:rFonts w:hint="eastAsia" w:ascii="仿宋_GB2312" w:hAnsi="Times New Roman" w:eastAsia="仿宋_GB2312" w:cs="Times New Roman"/>
          <w:color w:val="000000"/>
          <w:sz w:val="28"/>
          <w:szCs w:val="32"/>
        </w:rPr>
        <w:t>开展土地碎片化整治工作，喀拉克尔乡</w:t>
      </w:r>
      <w:r>
        <w:rPr>
          <w:rFonts w:hint="eastAsia" w:ascii="仿宋_GB2312" w:hAnsi="Times New Roman" w:eastAsia="仿宋_GB2312" w:cs="Times New Roman"/>
          <w:color w:val="000000"/>
          <w:sz w:val="28"/>
          <w:szCs w:val="32"/>
          <w:lang w:eastAsia="zh-CN"/>
        </w:rPr>
        <w:t>央塔克喀什村</w:t>
      </w:r>
      <w:r>
        <w:rPr>
          <w:rFonts w:hint="eastAsia" w:ascii="仿宋_GB2312" w:hAnsi="Times New Roman" w:eastAsia="仿宋_GB2312" w:cs="Times New Roman"/>
          <w:color w:val="000000"/>
          <w:sz w:val="28"/>
          <w:szCs w:val="32"/>
        </w:rPr>
        <w:t>在严格执行土地用途管制，控制耕地减少的基础上，积极补充、增加新的耕地，以此发展壮大村集体经济。根据国家</w:t>
      </w:r>
      <w:r>
        <w:rPr>
          <w:rFonts w:hint="eastAsia" w:ascii="仿宋_GB2312" w:hAnsi="Times New Roman" w:eastAsia="仿宋_GB2312" w:cs="Times New Roman"/>
          <w:color w:val="000000"/>
          <w:sz w:val="28"/>
          <w:szCs w:val="32"/>
          <w:lang w:eastAsia="zh-CN"/>
        </w:rPr>
        <w:t>“十四五”规划</w:t>
      </w:r>
      <w:r>
        <w:rPr>
          <w:rFonts w:hint="eastAsia" w:ascii="仿宋_GB2312" w:hAnsi="Times New Roman" w:eastAsia="仿宋_GB2312" w:cs="Times New Roman"/>
          <w:color w:val="000000"/>
          <w:sz w:val="28"/>
          <w:szCs w:val="32"/>
        </w:rPr>
        <w:t>总体要求，按照巩固脱贫攻坚成果，转变经济结构，壮大村集体经济的总体布局，</w:t>
      </w:r>
      <w:r>
        <w:rPr>
          <w:rFonts w:hint="eastAsia" w:ascii="仿宋_GB2312" w:hAnsi="Times New Roman" w:eastAsia="仿宋_GB2312" w:cs="Times New Roman"/>
          <w:color w:val="000000"/>
          <w:sz w:val="28"/>
          <w:szCs w:val="32"/>
          <w:lang w:eastAsia="zh-CN"/>
        </w:rPr>
        <w:t>于田县喀拉克尔乡央塔克喀什村碎片化土地整合项目</w:t>
      </w:r>
      <w:r>
        <w:rPr>
          <w:rFonts w:hint="eastAsia" w:ascii="仿宋_GB2312" w:hAnsi="Times New Roman" w:eastAsia="仿宋_GB2312" w:cs="Times New Roman"/>
          <w:color w:val="000000"/>
          <w:sz w:val="28"/>
          <w:szCs w:val="32"/>
        </w:rPr>
        <w:t>对加快现代新农村建设和加速推进乡村振兴有着十分必要的意义，项目经济评价良好，社会效益显著。</w:t>
      </w:r>
    </w:p>
    <w:p w14:paraId="63B28CC6">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由于上述原因开展</w:t>
      </w:r>
      <w:r>
        <w:rPr>
          <w:rFonts w:hint="eastAsia" w:ascii="仿宋_GB2312" w:hAnsi="Times New Roman" w:eastAsia="仿宋_GB2312" w:cs="Times New Roman"/>
          <w:color w:val="000000"/>
          <w:sz w:val="28"/>
          <w:szCs w:val="32"/>
          <w:lang w:eastAsia="zh-CN"/>
        </w:rPr>
        <w:t>于田县喀拉克尔乡央塔克喀什村碎片化土地整合项目</w:t>
      </w:r>
      <w:r>
        <w:rPr>
          <w:rFonts w:hint="eastAsia" w:ascii="仿宋_GB2312" w:hAnsi="Times New Roman" w:eastAsia="仿宋_GB2312" w:cs="Times New Roman"/>
          <w:color w:val="000000"/>
          <w:sz w:val="28"/>
          <w:szCs w:val="32"/>
        </w:rPr>
        <w:t>，本项目由</w:t>
      </w:r>
      <w:r>
        <w:rPr>
          <w:rFonts w:hint="eastAsia" w:ascii="仿宋_GB2312" w:hAnsi="Times New Roman" w:eastAsia="仿宋_GB2312" w:cs="Times New Roman"/>
          <w:color w:val="000000"/>
          <w:sz w:val="28"/>
          <w:szCs w:val="32"/>
          <w:lang w:val="en-US" w:eastAsia="zh-CN"/>
        </w:rPr>
        <w:t>于田县农业农村局</w:t>
      </w:r>
      <w:r>
        <w:rPr>
          <w:rFonts w:hint="eastAsia" w:ascii="仿宋_GB2312" w:hAnsi="Times New Roman" w:eastAsia="仿宋_GB2312" w:cs="Times New Roman"/>
          <w:color w:val="000000"/>
          <w:sz w:val="28"/>
          <w:szCs w:val="32"/>
        </w:rPr>
        <w:t>主管，</w:t>
      </w:r>
      <w:r>
        <w:rPr>
          <w:rFonts w:hint="eastAsia" w:ascii="仿宋_GB2312" w:hAnsi="Times New Roman" w:eastAsia="仿宋_GB2312" w:cs="Times New Roman"/>
          <w:color w:val="000000"/>
          <w:sz w:val="28"/>
          <w:szCs w:val="32"/>
          <w:lang w:val="en-US" w:eastAsia="zh-CN"/>
        </w:rPr>
        <w:t>于田县喀拉克尔乡人民政府</w:t>
      </w:r>
      <w:r>
        <w:rPr>
          <w:rFonts w:hint="eastAsia" w:ascii="仿宋_GB2312" w:hAnsi="Times New Roman" w:eastAsia="仿宋_GB2312" w:cs="Times New Roman"/>
          <w:color w:val="000000"/>
          <w:sz w:val="28"/>
          <w:szCs w:val="32"/>
        </w:rPr>
        <w:t>负责实施，项目施工期为</w:t>
      </w:r>
      <w:r>
        <w:rPr>
          <w:rFonts w:hint="eastAsia" w:ascii="仿宋_GB2312" w:hAnsi="Times New Roman" w:eastAsia="仿宋_GB2312" w:cs="Times New Roman"/>
          <w:color w:val="000000"/>
          <w:sz w:val="28"/>
          <w:szCs w:val="32"/>
          <w:lang w:eastAsia="zh-CN"/>
        </w:rPr>
        <w:t>2024</w:t>
      </w:r>
      <w:r>
        <w:rPr>
          <w:rFonts w:hint="eastAsia" w:ascii="仿宋_GB2312" w:hAnsi="Times New Roman" w:eastAsia="仿宋_GB2312" w:cs="Times New Roman"/>
          <w:color w:val="000000"/>
          <w:sz w:val="28"/>
          <w:szCs w:val="32"/>
        </w:rPr>
        <w:t>年</w:t>
      </w:r>
      <w:r>
        <w:rPr>
          <w:rFonts w:hint="eastAsia" w:ascii="仿宋_GB2312" w:hAnsi="Times New Roman" w:eastAsia="仿宋_GB2312" w:cs="Times New Roman"/>
          <w:color w:val="000000"/>
          <w:sz w:val="28"/>
          <w:szCs w:val="32"/>
          <w:lang w:val="en-US" w:eastAsia="zh-CN"/>
        </w:rPr>
        <w:t>6</w:t>
      </w:r>
      <w:r>
        <w:rPr>
          <w:rFonts w:hint="eastAsia" w:ascii="仿宋_GB2312" w:hAnsi="Times New Roman" w:eastAsia="仿宋_GB2312" w:cs="Times New Roman"/>
          <w:color w:val="000000"/>
          <w:sz w:val="28"/>
          <w:szCs w:val="32"/>
        </w:rPr>
        <w:t>月-</w:t>
      </w:r>
      <w:r>
        <w:rPr>
          <w:rFonts w:hint="eastAsia" w:ascii="仿宋_GB2312" w:hAnsi="Times New Roman" w:eastAsia="仿宋_GB2312" w:cs="Times New Roman"/>
          <w:color w:val="000000"/>
          <w:sz w:val="28"/>
          <w:szCs w:val="32"/>
          <w:lang w:eastAsia="zh-CN"/>
        </w:rPr>
        <w:t>2024</w:t>
      </w:r>
      <w:r>
        <w:rPr>
          <w:rFonts w:hint="eastAsia" w:ascii="仿宋_GB2312" w:hAnsi="Times New Roman" w:eastAsia="仿宋_GB2312" w:cs="Times New Roman"/>
          <w:color w:val="000000"/>
          <w:sz w:val="28"/>
          <w:szCs w:val="32"/>
        </w:rPr>
        <w:t>年</w:t>
      </w:r>
      <w:r>
        <w:rPr>
          <w:rFonts w:hint="eastAsia" w:ascii="仿宋_GB2312" w:hAnsi="Times New Roman" w:eastAsia="仿宋_GB2312" w:cs="Times New Roman"/>
          <w:color w:val="000000"/>
          <w:sz w:val="28"/>
          <w:szCs w:val="32"/>
          <w:lang w:val="en-US" w:eastAsia="zh-CN"/>
        </w:rPr>
        <w:t>8</w:t>
      </w:r>
      <w:r>
        <w:rPr>
          <w:rFonts w:hint="eastAsia" w:ascii="仿宋_GB2312" w:hAnsi="Times New Roman" w:eastAsia="仿宋_GB2312" w:cs="Times New Roman"/>
          <w:color w:val="000000"/>
          <w:sz w:val="28"/>
          <w:szCs w:val="32"/>
        </w:rPr>
        <w:t>月。</w:t>
      </w:r>
    </w:p>
    <w:p w14:paraId="5F3A025F">
      <w:pPr>
        <w:spacing w:line="560" w:lineRule="exact"/>
        <w:ind w:firstLine="560" w:firstLineChars="200"/>
        <w:rPr>
          <w:rFonts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工程实施后，通过本项目商业楼的建设，带动项目区社会经济发展，推动乡村产业振兴，有利于喀拉克尔乡建立完善农帮扶机制，接续推进脱贫地区发展，实现巩固拓展脱贫攻坚成果同乡村振兴有效衔接。</w:t>
      </w:r>
    </w:p>
    <w:p w14:paraId="4A7EAA3A">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271E916B">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于田县喀拉克尔乡央塔克喀什村碎片化土地整合项目，根据于田县农业农村局及于田县财政局联合下发的《关于对〈于田县喀拉克尔乡央塔克喀什村碎片化土地整合项目实施方案〉的批复》（于农村项目〔2024〕09号）及该项目实施方案，实施范围涉及1个行政村即喀拉克尔乡央塔克喀什村。 建设内容：1、土地平整工程:本项目土地平整工程量为5606.20立方米，挖树根280棵；2、土壤改良工程:为项目区11.4107公顷(171.16亩)耕地增施精致有机肥90公斤/亩，共计15.40吨，增加酸碱调节剂20公斤/亩，共计3.42吨。</w:t>
      </w:r>
    </w:p>
    <w:p w14:paraId="1D41C003">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4CE969DE">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于田县喀拉克尔乡央塔克喀什村碎片化土地整合项目性质为土地平整工程建设项目，属于乡村振兴衔接资金项目。</w:t>
      </w:r>
    </w:p>
    <w:p w14:paraId="2515D795">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（二）财政专项乡村振兴衔接资金项目绩效目标设定情况</w:t>
      </w:r>
    </w:p>
    <w:p w14:paraId="0DB36F1E">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69117893">
      <w:pPr>
        <w:pStyle w:val="52"/>
        <w:spacing w:line="560" w:lineRule="exact"/>
        <w:ind w:left="3" w:right="3" w:firstLine="560"/>
        <w:rPr>
          <w:rFonts w:hint="eastAsia" w:ascii="仿宋_GB2312" w:hAnsi="Times New Roman" w:eastAsia="仿宋_GB2312" w:cs="Times New Roman"/>
          <w:color w:val="000000"/>
          <w:sz w:val="28"/>
          <w:szCs w:val="32"/>
          <w:lang w:val="en-US" w:eastAsia="zh-CN"/>
        </w:rPr>
      </w:pPr>
      <w:r>
        <w:rPr>
          <w:rFonts w:hint="eastAsia" w:ascii="仿宋_GB2312" w:cs="Times New Roman"/>
          <w:color w:val="000000"/>
          <w:sz w:val="28"/>
          <w:szCs w:val="32"/>
          <w:lang w:val="en-US" w:eastAsia="zh-CN"/>
        </w:rPr>
        <w:t>于田县喀拉克尔乡央塔克喀什村碎片化土地整合项目</w:t>
      </w:r>
      <w:r>
        <w:rPr>
          <w:rFonts w:hint="eastAsia" w:ascii="仿宋_GB2312" w:hAnsi="Times New Roman" w:eastAsia="仿宋_GB2312" w:cs="Times New Roman"/>
          <w:color w:val="000000"/>
          <w:sz w:val="28"/>
          <w:szCs w:val="32"/>
          <w:lang w:val="en-US" w:eastAsia="zh-CN"/>
        </w:rPr>
        <w:t>总投资</w:t>
      </w:r>
      <w:r>
        <w:rPr>
          <w:rFonts w:hint="eastAsia" w:ascii="仿宋_GB2312" w:cs="Times New Roman"/>
          <w:color w:val="000000"/>
          <w:sz w:val="28"/>
          <w:szCs w:val="32"/>
          <w:lang w:val="en-US" w:eastAsia="zh-CN"/>
        </w:rPr>
        <w:t>23.00</w:t>
      </w:r>
      <w:r>
        <w:rPr>
          <w:rFonts w:hint="eastAsia" w:ascii="仿宋_GB2312" w:hAnsi="Times New Roman" w:eastAsia="仿宋_GB2312" w:cs="Times New Roman"/>
          <w:color w:val="000000"/>
          <w:sz w:val="28"/>
          <w:szCs w:val="32"/>
          <w:lang w:val="en-US" w:eastAsia="zh-CN"/>
        </w:rPr>
        <w:t>万元，全部申请乡村振兴衔接资金。主要内容为：项目总投资</w:t>
      </w:r>
      <w:r>
        <w:rPr>
          <w:rFonts w:hint="eastAsia" w:ascii="仿宋_GB2312" w:cs="Times New Roman"/>
          <w:color w:val="000000"/>
          <w:sz w:val="28"/>
          <w:szCs w:val="32"/>
          <w:lang w:val="en-US" w:eastAsia="zh-CN"/>
        </w:rPr>
        <w:t>23</w:t>
      </w:r>
      <w:r>
        <w:rPr>
          <w:rFonts w:hint="eastAsia" w:ascii="仿宋_GB2312" w:hAnsi="Times New Roman" w:eastAsia="仿宋_GB2312" w:cs="Times New Roman"/>
          <w:color w:val="000000"/>
          <w:sz w:val="28"/>
          <w:szCs w:val="32"/>
          <w:lang w:val="en-US" w:eastAsia="zh-CN"/>
        </w:rPr>
        <w:t>万元</w:t>
      </w:r>
      <w:r>
        <w:rPr>
          <w:rFonts w:hint="eastAsia" w:ascii="仿宋_GB2312" w:cs="Times New Roman"/>
          <w:color w:val="000000"/>
          <w:sz w:val="28"/>
          <w:szCs w:val="32"/>
          <w:lang w:val="en-US" w:eastAsia="zh-CN"/>
        </w:rPr>
        <w:t>。</w:t>
      </w:r>
      <w:r>
        <w:rPr>
          <w:rFonts w:hint="eastAsia" w:ascii="仿宋_GB2312" w:hAnsi="Times New Roman" w:eastAsia="仿宋_GB2312" w:cs="Times New Roman"/>
          <w:color w:val="000000"/>
          <w:sz w:val="28"/>
          <w:szCs w:val="32"/>
          <w:lang w:val="en-US" w:eastAsia="zh-CN"/>
        </w:rPr>
        <w:t>1、土地平整工程:本项目土地平整工程量为5606.20立方米，挖树根280棵；2、土壤改良工程:为项目区11.4107公顷(171.16亩)耕地增施精致有机肥90公斤/亩，共计15.40吨，增加酸碱调节剂20公斤/亩，共计3.42吨。</w:t>
      </w:r>
    </w:p>
    <w:p w14:paraId="7DE63DDE">
      <w:pPr>
        <w:pStyle w:val="52"/>
        <w:spacing w:line="560" w:lineRule="exact"/>
        <w:ind w:left="3" w:right="3" w:firstLine="562"/>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通过项目实施有效提高了耕地质量，促进了喀拉克尔乡</w:t>
      </w:r>
      <w:r>
        <w:rPr>
          <w:rFonts w:hint="eastAsia" w:ascii="仿宋_GB2312" w:cs="Times New Roman"/>
          <w:color w:val="000000"/>
          <w:sz w:val="28"/>
          <w:szCs w:val="32"/>
          <w:lang w:val="en-US" w:eastAsia="zh-CN"/>
        </w:rPr>
        <w:t>央塔克喀什</w:t>
      </w:r>
      <w:r>
        <w:rPr>
          <w:rFonts w:hint="eastAsia" w:ascii="仿宋_GB2312" w:hAnsi="Times New Roman" w:eastAsia="仿宋_GB2312" w:cs="Times New Roman"/>
          <w:color w:val="000000"/>
          <w:sz w:val="28"/>
          <w:szCs w:val="32"/>
          <w:lang w:val="en-US" w:eastAsia="zh-CN"/>
        </w:rPr>
        <w:t>社会经济发展的重要举措，能够促进各项事业发展，推动和谐社会建设，社会效益显著。</w:t>
      </w:r>
    </w:p>
    <w:p w14:paraId="1349CACD">
      <w:pPr>
        <w:pStyle w:val="52"/>
        <w:spacing w:line="560" w:lineRule="exact"/>
        <w:ind w:left="3" w:right="3" w:firstLine="562"/>
        <w:rPr>
          <w:rFonts w:ascii="仿宋_GB2312"/>
          <w:b/>
          <w:bCs/>
          <w:szCs w:val="32"/>
        </w:rPr>
      </w:pPr>
      <w:r>
        <w:rPr>
          <w:rFonts w:hint="eastAsia" w:ascii="仿宋_GB2312"/>
          <w:b/>
          <w:bCs/>
          <w:szCs w:val="32"/>
        </w:rPr>
        <w:t>2.具体绩效指标</w:t>
      </w:r>
    </w:p>
    <w:p w14:paraId="6E02F4D3">
      <w:pPr>
        <w:pStyle w:val="52"/>
        <w:spacing w:line="560" w:lineRule="exact"/>
        <w:ind w:left="3" w:right="3" w:firstLine="560"/>
        <w:rPr>
          <w:rFonts w:ascii="仿宋_GB2312"/>
          <w:szCs w:val="32"/>
        </w:rPr>
      </w:pPr>
      <w:r>
        <w:rPr>
          <w:rFonts w:ascii="仿宋_GB2312"/>
          <w:szCs w:val="32"/>
        </w:rPr>
        <w:t>根据《自治区财政专项扶贫资金绩效管理操作指南》（新财预〔2019〕170号）的规定，结合项目具体情况，</w:t>
      </w:r>
      <w:r>
        <w:rPr>
          <w:rFonts w:hint="eastAsia" w:ascii="仿宋_GB2312"/>
          <w:szCs w:val="32"/>
          <w:highlight w:val="none"/>
        </w:rPr>
        <w:t>本项目共设置一级指标3个，二级指标</w:t>
      </w:r>
      <w:r>
        <w:rPr>
          <w:rFonts w:hint="eastAsia" w:ascii="仿宋_GB2312"/>
          <w:szCs w:val="32"/>
          <w:highlight w:val="none"/>
          <w:lang w:val="en-US" w:eastAsia="zh-CN"/>
        </w:rPr>
        <w:t>7</w:t>
      </w:r>
      <w:r>
        <w:rPr>
          <w:rFonts w:hint="eastAsia" w:ascii="仿宋_GB2312"/>
          <w:szCs w:val="32"/>
          <w:highlight w:val="none"/>
        </w:rPr>
        <w:t>个，三级指标1</w:t>
      </w:r>
      <w:r>
        <w:rPr>
          <w:rFonts w:hint="eastAsia" w:ascii="仿宋_GB2312"/>
          <w:szCs w:val="32"/>
          <w:highlight w:val="none"/>
          <w:lang w:val="en-US" w:eastAsia="zh-CN"/>
        </w:rPr>
        <w:t>5</w:t>
      </w:r>
      <w:r>
        <w:rPr>
          <w:rFonts w:hint="eastAsia" w:ascii="仿宋_GB2312"/>
          <w:szCs w:val="32"/>
          <w:highlight w:val="none"/>
        </w:rPr>
        <w:t>个。</w:t>
      </w:r>
    </w:p>
    <w:p w14:paraId="7C39E4D2">
      <w:pPr>
        <w:pStyle w:val="29"/>
        <w:spacing w:before="120"/>
        <w:ind w:left="0" w:leftChars="0" w:right="3" w:firstLine="562" w:firstLineChars="200"/>
        <w:rPr>
          <w:rFonts w:eastAsia="宋体"/>
          <w:sz w:val="21"/>
        </w:rPr>
      </w:pPr>
      <w:r>
        <w:rPr>
          <w:rFonts w:hint="eastAsia"/>
        </w:rPr>
        <w:t>二、绩效自评工作开展情况</w:t>
      </w:r>
    </w:p>
    <w:p w14:paraId="5B7D9FA9">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（一）绩效自评工作开展范围</w:t>
      </w:r>
    </w:p>
    <w:p w14:paraId="44597311">
      <w:pPr>
        <w:pStyle w:val="52"/>
        <w:spacing w:line="560" w:lineRule="exact"/>
        <w:ind w:left="3" w:right="3" w:firstLine="560"/>
      </w:pPr>
      <w:r>
        <w:t>本次自评范围涵盖项目总体绩效目标、各项绩效指标完成情况以及预算执行情况。</w:t>
      </w:r>
    </w:p>
    <w:p w14:paraId="2F94C987">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（二）绩效自评工作对象</w:t>
      </w:r>
    </w:p>
    <w:p w14:paraId="70AFAE24">
      <w:pPr>
        <w:pStyle w:val="52"/>
        <w:spacing w:line="560" w:lineRule="exact"/>
        <w:ind w:left="3" w:right="3" w:firstLine="560"/>
      </w:pPr>
      <w: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lang w:eastAsia="zh-CN"/>
        </w:rPr>
        <w:t>于田县喀拉克尔乡央塔克喀什村碎片化土地整合项目</w:t>
      </w:r>
      <w:r>
        <w:t>资金的使用管理、项目产出、综合效益等进行评价。</w:t>
      </w:r>
    </w:p>
    <w:p w14:paraId="3BDAF784">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（三）绩效自评工作方式</w:t>
      </w:r>
    </w:p>
    <w:p w14:paraId="17CA438C">
      <w:pPr>
        <w:pStyle w:val="33"/>
      </w:pPr>
      <w:r>
        <w:rPr>
          <w:rFonts w:hint="eastAsia"/>
        </w:rPr>
        <w:t>1.前期准备</w:t>
      </w:r>
    </w:p>
    <w:p w14:paraId="4FD2D18B">
      <w:pPr>
        <w:pStyle w:val="52"/>
        <w:spacing w:line="560" w:lineRule="exact"/>
        <w:ind w:left="3" w:right="0" w:rightChars="0" w:firstLine="560"/>
      </w:pPr>
      <w:r>
        <w:rPr>
          <w:rFonts w:hint="eastAsia"/>
          <w:lang w:eastAsia="zh-CN"/>
        </w:rPr>
        <w:t>2024</w:t>
      </w:r>
      <w:r>
        <w:t>年，认真学习相关要求与规定，成立绩效自评工作组，作为绩效自评工作具体实施机构。成员构成如下：</w:t>
      </w:r>
    </w:p>
    <w:p w14:paraId="4A275DD3">
      <w:pPr>
        <w:pStyle w:val="52"/>
        <w:spacing w:line="560" w:lineRule="exact"/>
        <w:ind w:left="3" w:right="3" w:firstLine="560"/>
        <w:rPr>
          <w:rFonts w:hint="default" w:eastAsia="仿宋_GB2312"/>
          <w:highlight w:val="none"/>
          <w:lang w:val="en-US" w:eastAsia="zh-CN"/>
        </w:rPr>
      </w:pPr>
      <w:r>
        <w:rPr>
          <w:rFonts w:hint="eastAsia"/>
          <w:highlight w:val="none"/>
        </w:rPr>
        <w:t>组     长：</w:t>
      </w:r>
      <w:r>
        <w:rPr>
          <w:rFonts w:hint="eastAsia"/>
          <w:highlight w:val="none"/>
          <w:lang w:val="en-US" w:eastAsia="zh-CN"/>
        </w:rPr>
        <w:t>王华东</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 xml:space="preserve">    </w:t>
      </w:r>
      <w:r>
        <w:rPr>
          <w:rFonts w:hint="eastAsia"/>
          <w:highlight w:val="none"/>
        </w:rPr>
        <w:t xml:space="preserve">          </w:t>
      </w:r>
      <w:r>
        <w:rPr>
          <w:rFonts w:hint="eastAsia"/>
          <w:highlight w:val="none"/>
          <w:lang w:val="en-US" w:eastAsia="zh-CN"/>
        </w:rPr>
        <w:t>喀拉克尔乡党委书记</w:t>
      </w:r>
    </w:p>
    <w:p w14:paraId="2BB89A27">
      <w:pPr>
        <w:pStyle w:val="52"/>
        <w:spacing w:line="560" w:lineRule="exact"/>
        <w:ind w:left="3" w:right="3" w:firstLine="560"/>
        <w:rPr>
          <w:rFonts w:hint="default" w:eastAsia="仿宋_GB2312"/>
          <w:highlight w:val="none"/>
          <w:lang w:val="en-US" w:eastAsia="zh-CN"/>
        </w:rPr>
      </w:pPr>
      <w:r>
        <w:rPr>
          <w:rFonts w:hint="eastAsia"/>
          <w:highlight w:val="none"/>
        </w:rPr>
        <w:t>副组长：</w:t>
      </w:r>
      <w:r>
        <w:rPr>
          <w:rFonts w:hint="eastAsia"/>
          <w:highlight w:val="none"/>
          <w:lang w:val="en-US" w:eastAsia="zh-CN"/>
        </w:rPr>
        <w:t xml:space="preserve">麦麦提·图尔荪            </w:t>
      </w:r>
      <w:r>
        <w:rPr>
          <w:rFonts w:hint="eastAsia"/>
          <w:highlight w:val="none"/>
        </w:rPr>
        <w:t xml:space="preserve">                             </w:t>
      </w:r>
      <w:r>
        <w:rPr>
          <w:rFonts w:hint="eastAsia"/>
          <w:highlight w:val="none"/>
          <w:lang w:val="en-US" w:eastAsia="zh-CN"/>
        </w:rPr>
        <w:t>喀拉克尔乡政府乡长</w:t>
      </w:r>
    </w:p>
    <w:p w14:paraId="21195E5C">
      <w:pPr>
        <w:pStyle w:val="52"/>
        <w:spacing w:line="560" w:lineRule="exact"/>
        <w:ind w:left="3" w:right="3" w:firstLine="560"/>
        <w:rPr>
          <w:rFonts w:hint="default" w:eastAsia="仿宋_GB2312"/>
          <w:highlight w:val="none"/>
          <w:lang w:val="en-US" w:eastAsia="zh-CN"/>
        </w:rPr>
      </w:pPr>
      <w:r>
        <w:rPr>
          <w:rFonts w:hint="eastAsia"/>
          <w:highlight w:val="none"/>
        </w:rPr>
        <w:t>成    员：</w:t>
      </w:r>
      <w:r>
        <w:rPr>
          <w:rFonts w:hint="eastAsia"/>
          <w:highlight w:val="none"/>
          <w:lang w:val="en-US" w:eastAsia="zh-CN"/>
        </w:rPr>
        <w:t>张丁丁</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喀拉克尔乡副乡长</w:t>
      </w:r>
    </w:p>
    <w:p w14:paraId="54B94796">
      <w:pPr>
        <w:pStyle w:val="52"/>
        <w:spacing w:line="560" w:lineRule="exact"/>
        <w:ind w:left="3" w:right="3" w:firstLine="1680" w:firstLineChars="600"/>
        <w:rPr>
          <w:rFonts w:hint="default" w:eastAsia="仿宋_GB2312"/>
          <w:highlight w:val="none"/>
          <w:lang w:val="en-US" w:eastAsia="zh-CN"/>
        </w:rPr>
      </w:pPr>
      <w:r>
        <w:rPr>
          <w:rFonts w:hint="eastAsia"/>
          <w:highlight w:val="none"/>
          <w:lang w:val="en-US" w:eastAsia="zh-CN"/>
        </w:rPr>
        <w:t>玉素甫·巴拉提</w:t>
      </w:r>
      <w:r>
        <w:rPr>
          <w:highlight w:val="none"/>
        </w:rPr>
        <w:t xml:space="preserve">                             </w:t>
      </w:r>
      <w:r>
        <w:rPr>
          <w:rFonts w:hint="eastAsia"/>
          <w:highlight w:val="none"/>
        </w:rPr>
        <w:t xml:space="preserve">        </w:t>
      </w:r>
      <w:r>
        <w:rPr>
          <w:rFonts w:hint="eastAsia"/>
          <w:highlight w:val="none"/>
          <w:lang w:val="en-US" w:eastAsia="zh-CN"/>
        </w:rPr>
        <w:t>喀拉克尔乡财政所所长</w:t>
      </w:r>
    </w:p>
    <w:p w14:paraId="331D01D6">
      <w:pPr>
        <w:pStyle w:val="52"/>
        <w:spacing w:line="560" w:lineRule="exact"/>
        <w:ind w:left="3" w:right="3" w:firstLine="1680" w:firstLineChars="600"/>
        <w:rPr>
          <w:rFonts w:hint="default" w:eastAsia="仿宋_GB2312"/>
          <w:highlight w:val="yellow"/>
          <w:lang w:val="en-US" w:eastAsia="zh-CN"/>
        </w:rPr>
      </w:pPr>
      <w:r>
        <w:rPr>
          <w:rFonts w:hint="eastAsia"/>
          <w:highlight w:val="none"/>
          <w:lang w:val="en-US" w:eastAsia="zh-CN"/>
        </w:rPr>
        <w:t>叶辉</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 xml:space="preserve">                    喀拉克尔乡项目办干部</w:t>
      </w:r>
    </w:p>
    <w:p w14:paraId="5511B4C2">
      <w:pPr>
        <w:pStyle w:val="52"/>
        <w:spacing w:line="560" w:lineRule="exact"/>
        <w:ind w:left="3" w:right="3" w:firstLine="560"/>
      </w:pPr>
      <w:r>
        <w:rPr>
          <w:rFonts w:hint="eastAsia"/>
        </w:rPr>
        <w:t>办公室负责项目的计划制定、实施，督查、指导相关单位共同做好项目管理工作。切实把该项目作为</w:t>
      </w:r>
      <w:r>
        <w:rPr>
          <w:rFonts w:hint="eastAsia"/>
          <w:lang w:val="en-US" w:eastAsia="zh-CN"/>
        </w:rPr>
        <w:t>壮大村集体经济</w:t>
      </w:r>
      <w:r>
        <w:rPr>
          <w:rFonts w:hint="eastAsia"/>
        </w:rPr>
        <w:t>的重要举措来抓，加强领导，明确分工，落实责任，密切配合，形成合力，推动该项目顺利实施。由</w:t>
      </w:r>
      <w:r>
        <w:rPr>
          <w:rFonts w:hint="eastAsia"/>
          <w:lang w:val="en-US" w:eastAsia="zh-CN"/>
        </w:rPr>
        <w:t>于田县喀拉克尔乡人民政府</w:t>
      </w:r>
      <w:r>
        <w:rPr>
          <w:rFonts w:hint="eastAsia"/>
        </w:rPr>
        <w:t>牵头，负责整个项目的统筹安排和经费使用管理工作，实现分级管理制度。</w:t>
      </w:r>
    </w:p>
    <w:p w14:paraId="73FBA0E4">
      <w:pPr>
        <w:pStyle w:val="33"/>
      </w:pPr>
      <w:r>
        <w:rPr>
          <w:rFonts w:hint="eastAsia"/>
        </w:rPr>
        <w:t>2.组织实施</w:t>
      </w:r>
    </w:p>
    <w:p w14:paraId="772950D0">
      <w:pPr>
        <w:pStyle w:val="52"/>
        <w:spacing w:line="560" w:lineRule="exact"/>
        <w:ind w:left="3" w:right="3" w:firstLine="560"/>
      </w:pPr>
      <w:r>
        <w:t>成立绩效自评工作组后，经评价组通过实地调研等方式，采用综合分析法对项目的决策、管理、绩效进行的综合评价分析。</w:t>
      </w:r>
    </w:p>
    <w:p w14:paraId="41671A5B">
      <w:pPr>
        <w:pStyle w:val="33"/>
      </w:pPr>
      <w:r>
        <w:rPr>
          <w:rFonts w:hint="eastAsia"/>
        </w:rPr>
        <w:t>3.分析评价。</w:t>
      </w:r>
    </w:p>
    <w:p w14:paraId="015A902F">
      <w:pPr>
        <w:pStyle w:val="52"/>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7327834D">
      <w:pPr>
        <w:pStyle w:val="52"/>
        <w:spacing w:line="560" w:lineRule="exact"/>
        <w:ind w:left="3" w:right="3" w:firstLine="560"/>
      </w:pPr>
      <w:r>
        <w:t>（1）绩效自评指标体系</w:t>
      </w:r>
    </w:p>
    <w:p w14:paraId="10A05CBD">
      <w:pPr>
        <w:pStyle w:val="52"/>
        <w:spacing w:line="560" w:lineRule="exact"/>
        <w:ind w:left="3" w:right="3" w:firstLine="560"/>
      </w:pPr>
      <w:r>
        <w:t>按照《自治区财政专项扶贫资金绩效管理操作指南》（新财预〔2019〕170号）文件要求，并根据项目各项指标重要程度确定二级指标的分值，并对核心指标赋予更高的权重。其中：数量指标</w:t>
      </w:r>
      <w:r>
        <w:rPr>
          <w:rFonts w:hint="eastAsia"/>
          <w:lang w:val="en-US" w:eastAsia="zh-CN"/>
        </w:rPr>
        <w:t>20</w:t>
      </w:r>
      <w:r>
        <w:t>分、质量指标</w:t>
      </w:r>
      <w:r>
        <w:rPr>
          <w:rFonts w:hint="eastAsia"/>
          <w:lang w:val="en-US" w:eastAsia="zh-CN"/>
        </w:rPr>
        <w:t>8</w:t>
      </w:r>
      <w:r>
        <w:t>分，时效指标1</w:t>
      </w:r>
      <w:r>
        <w:rPr>
          <w:rFonts w:hint="eastAsia"/>
          <w:lang w:val="en-US" w:eastAsia="zh-CN"/>
        </w:rPr>
        <w:t>2</w:t>
      </w:r>
      <w:r>
        <w:t>分、成本指标</w:t>
      </w:r>
      <w:r>
        <w:rPr>
          <w:rFonts w:hint="eastAsia"/>
          <w:lang w:val="en-US" w:eastAsia="zh-CN"/>
        </w:rPr>
        <w:t>10</w:t>
      </w:r>
      <w:r>
        <w:t>分、经济效益指标</w:t>
      </w:r>
      <w:r>
        <w:rPr>
          <w:rFonts w:hint="eastAsia"/>
          <w:lang w:val="en-US" w:eastAsia="zh-CN"/>
        </w:rPr>
        <w:t>15</w:t>
      </w:r>
      <w:r>
        <w:t>分、社会效益指标</w:t>
      </w:r>
      <w:r>
        <w:rPr>
          <w:rFonts w:hint="eastAsia"/>
          <w:lang w:val="en-US" w:eastAsia="zh-CN"/>
        </w:rPr>
        <w:t>15</w:t>
      </w:r>
      <w:r>
        <w:t>分、可持续影响指标</w:t>
      </w:r>
      <w:r>
        <w:rPr>
          <w:rFonts w:hint="eastAsia"/>
          <w:lang w:val="en-US" w:eastAsia="zh-CN"/>
        </w:rPr>
        <w:t>15</w:t>
      </w:r>
      <w:r>
        <w:t>分、满意度指标10分、预算资金执行率10分，满分100分。</w:t>
      </w:r>
    </w:p>
    <w:p w14:paraId="4721CD22">
      <w:pPr>
        <w:pStyle w:val="52"/>
        <w:spacing w:line="560" w:lineRule="exact"/>
        <w:ind w:left="3" w:right="3" w:firstLine="560"/>
      </w:pPr>
      <w:r>
        <w:t>（2）绩效自评方法</w:t>
      </w:r>
    </w:p>
    <w:p w14:paraId="7BF6EFA3">
      <w:pPr>
        <w:pStyle w:val="52"/>
        <w:spacing w:line="560" w:lineRule="exact"/>
        <w:ind w:left="3" w:right="3" w:firstLine="560"/>
      </w:pPr>
      <w:r>
        <w:t>本次绩效自评采用比较法和综合分析法对项目资金的使用管理、项目产出、综合效益等进行评价。</w:t>
      </w:r>
    </w:p>
    <w:p w14:paraId="4EB9CF89">
      <w:pPr>
        <w:pStyle w:val="52"/>
        <w:spacing w:line="560" w:lineRule="exact"/>
        <w:ind w:left="3" w:right="3" w:firstLine="560"/>
      </w:pPr>
      <w:r>
        <w:t>（3）绩效自评标准</w:t>
      </w:r>
    </w:p>
    <w:p w14:paraId="39AB6FD9">
      <w:pPr>
        <w:pStyle w:val="52"/>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9B24B35">
      <w:pPr>
        <w:pStyle w:val="52"/>
        <w:spacing w:line="560" w:lineRule="exact"/>
        <w:ind w:left="3" w:right="3" w:firstLine="560"/>
      </w:pPr>
      <w:r>
        <w:t>（4）绩效自评等级</w:t>
      </w:r>
    </w:p>
    <w:p w14:paraId="5293E5B3">
      <w:pPr>
        <w:pStyle w:val="52"/>
        <w:spacing w:line="560" w:lineRule="exact"/>
        <w:ind w:left="3" w:right="3" w:firstLine="560"/>
      </w:pPr>
      <w:r>
        <w:t>绩效自评总分值100分，根据评分结果，90（含）-100分为优、80（含）-90分为良、60（含）-80分为中、60分以下为差。</w:t>
      </w:r>
    </w:p>
    <w:p w14:paraId="045C236D">
      <w:pPr>
        <w:pStyle w:val="29"/>
        <w:spacing w:before="120"/>
        <w:ind w:leftChars="0" w:right="3" w:firstLine="562" w:firstLineChars="200"/>
      </w:pPr>
      <w:r>
        <w:rPr>
          <w:rFonts w:hint="eastAsia"/>
        </w:rPr>
        <w:t>三、绩效目标自评完成情况分析</w:t>
      </w:r>
    </w:p>
    <w:p w14:paraId="61DA75F3">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（一）资金投入情况分析</w:t>
      </w:r>
    </w:p>
    <w:p w14:paraId="01ECF671">
      <w:pPr>
        <w:pStyle w:val="33"/>
        <w:rPr>
          <w:b/>
          <w:bCs w:val="0"/>
        </w:rPr>
      </w:pPr>
      <w:r>
        <w:rPr>
          <w:rFonts w:hint="eastAsia"/>
          <w:b/>
          <w:bCs w:val="0"/>
        </w:rPr>
        <w:t>1.项目资金到位情况分析</w:t>
      </w:r>
    </w:p>
    <w:p w14:paraId="1EC3A2E1">
      <w:pPr>
        <w:pStyle w:val="52"/>
        <w:spacing w:line="560" w:lineRule="exact"/>
        <w:ind w:left="0" w:leftChars="0" w:right="3"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cstheme="minorBidi"/>
          <w:b w:val="0"/>
          <w:bCs/>
          <w:color w:val="000000"/>
          <w:kern w:val="2"/>
          <w:sz w:val="28"/>
          <w:szCs w:val="32"/>
          <w:lang w:val="en-US" w:eastAsia="zh-CN" w:bidi="ar-SA"/>
        </w:rPr>
        <w:t>于田县喀拉克尔乡央塔克喀什村碎片化土地整合项目</w:t>
      </w:r>
      <w:r>
        <w:rPr>
          <w:rFonts w:hint="eastAsia" w:ascii="仿宋_GB2312" w:hAnsi="宋体" w:eastAsia="仿宋_GB2312" w:cstheme="minorBidi"/>
          <w:b w:val="0"/>
          <w:bCs/>
          <w:color w:val="000000"/>
          <w:kern w:val="2"/>
          <w:sz w:val="28"/>
          <w:szCs w:val="32"/>
          <w:lang w:val="en-US" w:eastAsia="zh-CN" w:bidi="ar-SA"/>
        </w:rPr>
        <w:t>预算安排总额为</w:t>
      </w:r>
      <w:r>
        <w:rPr>
          <w:rFonts w:hint="eastAsia" w:ascii="仿宋_GB2312" w:hAnsi="宋体" w:cstheme="minorBidi"/>
          <w:b w:val="0"/>
          <w:bCs/>
          <w:color w:val="000000"/>
          <w:kern w:val="2"/>
          <w:sz w:val="28"/>
          <w:szCs w:val="32"/>
          <w:lang w:val="en-US" w:eastAsia="zh-CN" w:bidi="ar-SA"/>
        </w:rPr>
        <w:t>23.00</w:t>
      </w:r>
      <w:r>
        <w:rPr>
          <w:rFonts w:hint="eastAsia" w:ascii="仿宋_GB2312" w:hAnsi="宋体" w:eastAsia="仿宋_GB2312" w:cstheme="minorBidi"/>
          <w:b w:val="0"/>
          <w:bCs/>
          <w:color w:val="000000"/>
          <w:kern w:val="2"/>
          <w:sz w:val="28"/>
          <w:szCs w:val="32"/>
          <w:lang w:val="en-US" w:eastAsia="zh-CN" w:bidi="ar-SA"/>
        </w:rPr>
        <w:t>万元，其中：乡村振兴衔接资金</w:t>
      </w:r>
      <w:r>
        <w:rPr>
          <w:rFonts w:hint="eastAsia" w:ascii="仿宋_GB2312" w:hAnsi="宋体" w:cstheme="minorBidi"/>
          <w:b w:val="0"/>
          <w:bCs/>
          <w:color w:val="000000"/>
          <w:kern w:val="2"/>
          <w:sz w:val="28"/>
          <w:szCs w:val="32"/>
          <w:lang w:val="en-US" w:eastAsia="zh-CN" w:bidi="ar-SA"/>
        </w:rPr>
        <w:t>23.00</w:t>
      </w:r>
      <w:r>
        <w:rPr>
          <w:rFonts w:hint="eastAsia" w:ascii="仿宋_GB2312" w:hAnsi="宋体" w:eastAsia="仿宋_GB2312" w:cstheme="minorBidi"/>
          <w:b w:val="0"/>
          <w:bCs/>
          <w:color w:val="000000"/>
          <w:kern w:val="2"/>
          <w:sz w:val="28"/>
          <w:szCs w:val="32"/>
          <w:lang w:val="en-US" w:eastAsia="zh-CN" w:bidi="ar-SA"/>
        </w:rPr>
        <w:t>万元。预算资金到位率为100.00%。</w:t>
      </w:r>
    </w:p>
    <w:p w14:paraId="02E187EF">
      <w:pPr>
        <w:pStyle w:val="52"/>
        <w:spacing w:line="560" w:lineRule="exact"/>
        <w:ind w:left="0" w:leftChars="0" w:right="3" w:firstLine="562"/>
        <w:rPr>
          <w:rFonts w:hint="eastAsia" w:ascii="仿宋_GB2312" w:hAnsi="宋体" w:eastAsia="仿宋_GB2312" w:cstheme="minorBidi"/>
          <w:b/>
          <w:bCs w:val="0"/>
          <w:color w:val="000000"/>
          <w:kern w:val="2"/>
          <w:sz w:val="28"/>
          <w:szCs w:val="32"/>
          <w:lang w:val="en-US" w:eastAsia="zh-CN" w:bidi="ar-SA"/>
        </w:rPr>
      </w:pPr>
      <w:r>
        <w:rPr>
          <w:rFonts w:hint="eastAsia" w:ascii="仿宋_GB2312" w:hAnsi="宋体" w:eastAsia="仿宋_GB2312" w:cstheme="minorBidi"/>
          <w:b/>
          <w:bCs w:val="0"/>
          <w:color w:val="000000"/>
          <w:kern w:val="2"/>
          <w:sz w:val="28"/>
          <w:szCs w:val="32"/>
          <w:lang w:val="en-US" w:eastAsia="zh-CN" w:bidi="ar-SA"/>
        </w:rPr>
        <w:t>2.项目资金执行情况分析</w:t>
      </w:r>
    </w:p>
    <w:p w14:paraId="64DE358F">
      <w:pPr>
        <w:pStyle w:val="52"/>
        <w:spacing w:line="560" w:lineRule="exact"/>
        <w:ind w:left="0" w:leftChars="0" w:right="3" w:firstLine="560"/>
        <w:rPr>
          <w:rFonts w:hint="eastAsia" w:ascii="仿宋_GB2312" w:hAnsi="宋体" w:eastAsia="仿宋_GB2312" w:cstheme="minorBidi"/>
          <w:b w:val="0"/>
          <w:bCs/>
          <w:color w:val="000000"/>
          <w:kern w:val="2"/>
          <w:sz w:val="28"/>
          <w:szCs w:val="32"/>
          <w:lang w:val="en-US" w:eastAsia="zh-CN" w:bidi="ar-SA"/>
        </w:rPr>
      </w:pPr>
      <w:r>
        <w:rPr>
          <w:rFonts w:hint="eastAsia" w:ascii="仿宋_GB2312" w:hAnsi="宋体" w:cstheme="minorBidi"/>
          <w:b w:val="0"/>
          <w:bCs/>
          <w:color w:val="000000"/>
          <w:kern w:val="2"/>
          <w:sz w:val="28"/>
          <w:szCs w:val="32"/>
          <w:lang w:val="en-US" w:eastAsia="zh-CN" w:bidi="ar-SA"/>
        </w:rPr>
        <w:t>于田县喀拉克尔乡央塔克喀什村碎片化土地整合项目</w:t>
      </w:r>
      <w:r>
        <w:rPr>
          <w:rFonts w:hint="eastAsia" w:ascii="仿宋_GB2312" w:hAnsi="宋体" w:eastAsia="仿宋_GB2312" w:cstheme="minorBidi"/>
          <w:b w:val="0"/>
          <w:bCs/>
          <w:color w:val="000000"/>
          <w:kern w:val="2"/>
          <w:sz w:val="28"/>
          <w:szCs w:val="32"/>
          <w:lang w:val="en-US" w:eastAsia="zh-CN" w:bidi="ar-SA"/>
        </w:rPr>
        <w:t>预算投入资金</w:t>
      </w:r>
      <w:r>
        <w:rPr>
          <w:rFonts w:hint="eastAsia" w:ascii="仿宋_GB2312" w:hAnsi="宋体" w:cstheme="minorBidi"/>
          <w:b w:val="0"/>
          <w:bCs/>
          <w:color w:val="000000"/>
          <w:kern w:val="2"/>
          <w:sz w:val="28"/>
          <w:szCs w:val="32"/>
          <w:lang w:val="en-US" w:eastAsia="zh-CN" w:bidi="ar-SA"/>
        </w:rPr>
        <w:t>23</w:t>
      </w:r>
      <w:r>
        <w:rPr>
          <w:rFonts w:hint="eastAsia" w:ascii="仿宋_GB2312" w:hAnsi="宋体" w:eastAsia="仿宋_GB2312" w:cstheme="minorBidi"/>
          <w:b w:val="0"/>
          <w:bCs/>
          <w:color w:val="000000"/>
          <w:kern w:val="2"/>
          <w:sz w:val="28"/>
          <w:szCs w:val="32"/>
          <w:lang w:val="en-US" w:eastAsia="zh-CN" w:bidi="ar-SA"/>
        </w:rPr>
        <w:t>万元，经财务决算，项目实际完成投资共</w:t>
      </w:r>
      <w:r>
        <w:rPr>
          <w:rFonts w:hint="eastAsia" w:ascii="仿宋_GB2312" w:hAnsi="宋体" w:cstheme="minorBidi"/>
          <w:b w:val="0"/>
          <w:bCs/>
          <w:color w:val="000000"/>
          <w:kern w:val="2"/>
          <w:sz w:val="28"/>
          <w:szCs w:val="32"/>
          <w:lang w:val="en-US" w:eastAsia="zh-CN" w:bidi="ar-SA"/>
        </w:rPr>
        <w:t>17.49</w:t>
      </w:r>
      <w:r>
        <w:rPr>
          <w:rFonts w:hint="eastAsia" w:ascii="仿宋_GB2312" w:hAnsi="宋体" w:eastAsia="仿宋_GB2312" w:cstheme="minorBidi"/>
          <w:b w:val="0"/>
          <w:bCs/>
          <w:color w:val="000000"/>
          <w:kern w:val="2"/>
          <w:sz w:val="28"/>
          <w:szCs w:val="32"/>
          <w:lang w:val="en-US" w:eastAsia="zh-CN" w:bidi="ar-SA"/>
        </w:rPr>
        <w:t>万元，其中：建筑安装工程投资</w:t>
      </w:r>
      <w:r>
        <w:rPr>
          <w:rFonts w:hint="eastAsia" w:ascii="仿宋_GB2312" w:hAnsi="宋体" w:cstheme="minorBidi"/>
          <w:b w:val="0"/>
          <w:bCs/>
          <w:color w:val="000000"/>
          <w:kern w:val="2"/>
          <w:sz w:val="28"/>
          <w:szCs w:val="32"/>
          <w:lang w:val="en-US" w:eastAsia="zh-CN" w:bidi="ar-SA"/>
        </w:rPr>
        <w:t>15.51</w:t>
      </w:r>
      <w:r>
        <w:rPr>
          <w:rFonts w:hint="eastAsia" w:ascii="仿宋_GB2312" w:hAnsi="宋体" w:eastAsia="仿宋_GB2312" w:cstheme="minorBidi"/>
          <w:b w:val="0"/>
          <w:bCs/>
          <w:color w:val="000000"/>
          <w:kern w:val="2"/>
          <w:sz w:val="28"/>
          <w:szCs w:val="32"/>
          <w:lang w:val="en-US" w:eastAsia="zh-CN" w:bidi="ar-SA"/>
        </w:rPr>
        <w:t>万元，待摊投资</w:t>
      </w:r>
      <w:r>
        <w:rPr>
          <w:rFonts w:hint="eastAsia" w:ascii="仿宋_GB2312" w:hAnsi="宋体" w:cstheme="minorBidi"/>
          <w:b w:val="0"/>
          <w:bCs/>
          <w:color w:val="000000"/>
          <w:kern w:val="2"/>
          <w:sz w:val="28"/>
          <w:szCs w:val="32"/>
          <w:lang w:val="en-US" w:eastAsia="zh-CN" w:bidi="ar-SA"/>
        </w:rPr>
        <w:t>1.98</w:t>
      </w:r>
      <w:r>
        <w:rPr>
          <w:rFonts w:hint="eastAsia" w:ascii="仿宋_GB2312" w:hAnsi="宋体" w:eastAsia="仿宋_GB2312" w:cstheme="minorBidi"/>
          <w:b w:val="0"/>
          <w:bCs/>
          <w:color w:val="000000"/>
          <w:kern w:val="2"/>
          <w:sz w:val="28"/>
          <w:szCs w:val="32"/>
          <w:lang w:val="en-US" w:eastAsia="zh-CN" w:bidi="ar-SA"/>
        </w:rPr>
        <w:t>万元；实际工程</w:t>
      </w:r>
      <w:r>
        <w:rPr>
          <w:rFonts w:hint="eastAsia" w:ascii="仿宋_GB2312" w:hAnsi="宋体" w:cstheme="minorBidi"/>
          <w:b w:val="0"/>
          <w:bCs/>
          <w:color w:val="000000"/>
          <w:kern w:val="2"/>
          <w:sz w:val="28"/>
          <w:szCs w:val="32"/>
          <w:lang w:val="en-US" w:eastAsia="zh-CN" w:bidi="ar-SA"/>
        </w:rPr>
        <w:t>结余</w:t>
      </w:r>
      <w:r>
        <w:rPr>
          <w:rFonts w:hint="eastAsia" w:ascii="仿宋_GB2312" w:hAnsi="宋体" w:eastAsia="仿宋_GB2312" w:cstheme="minorBidi"/>
          <w:b w:val="0"/>
          <w:bCs/>
          <w:color w:val="000000"/>
          <w:kern w:val="2"/>
          <w:sz w:val="28"/>
          <w:szCs w:val="32"/>
          <w:lang w:val="en-US" w:eastAsia="zh-CN" w:bidi="ar-SA"/>
        </w:rPr>
        <w:t>资金</w:t>
      </w:r>
      <w:r>
        <w:rPr>
          <w:rFonts w:hint="eastAsia" w:ascii="仿宋_GB2312" w:hAnsi="宋体" w:cstheme="minorBidi"/>
          <w:b w:val="0"/>
          <w:bCs/>
          <w:color w:val="000000"/>
          <w:kern w:val="2"/>
          <w:sz w:val="28"/>
          <w:szCs w:val="32"/>
          <w:lang w:val="en-US" w:eastAsia="zh-CN" w:bidi="ar-SA"/>
        </w:rPr>
        <w:t>5.51</w:t>
      </w:r>
      <w:r>
        <w:rPr>
          <w:rFonts w:hint="eastAsia" w:ascii="仿宋_GB2312" w:hAnsi="宋体" w:eastAsia="仿宋_GB2312" w:cstheme="minorBidi"/>
          <w:b w:val="0"/>
          <w:bCs/>
          <w:color w:val="000000"/>
          <w:kern w:val="2"/>
          <w:sz w:val="28"/>
          <w:szCs w:val="32"/>
          <w:lang w:val="en-US" w:eastAsia="zh-CN" w:bidi="ar-SA"/>
        </w:rPr>
        <w:t>万元。截至</w:t>
      </w:r>
      <w:r>
        <w:rPr>
          <w:rFonts w:hint="eastAsia" w:ascii="仿宋_GB2312" w:hAnsi="宋体" w:cstheme="minorBidi"/>
          <w:b w:val="0"/>
          <w:bCs/>
          <w:color w:val="000000"/>
          <w:kern w:val="2"/>
          <w:sz w:val="28"/>
          <w:szCs w:val="32"/>
          <w:lang w:val="en-US" w:eastAsia="zh-CN" w:bidi="ar-SA"/>
        </w:rPr>
        <w:t>2024</w:t>
      </w:r>
      <w:r>
        <w:rPr>
          <w:rFonts w:hint="eastAsia" w:ascii="仿宋_GB2312" w:hAnsi="宋体" w:eastAsia="仿宋_GB2312" w:cstheme="minorBidi"/>
          <w:b w:val="0"/>
          <w:bCs/>
          <w:color w:val="000000"/>
          <w:kern w:val="2"/>
          <w:sz w:val="28"/>
          <w:szCs w:val="32"/>
          <w:lang w:val="en-US" w:eastAsia="zh-CN" w:bidi="ar-SA"/>
        </w:rPr>
        <w:t>年12月31日，项目实际支出17.4</w:t>
      </w:r>
      <w:r>
        <w:rPr>
          <w:rFonts w:hint="eastAsia" w:ascii="仿宋_GB2312" w:hAnsi="宋体" w:cstheme="minorBidi"/>
          <w:b w:val="0"/>
          <w:bCs/>
          <w:color w:val="000000"/>
          <w:kern w:val="2"/>
          <w:sz w:val="28"/>
          <w:szCs w:val="32"/>
          <w:lang w:val="en-US" w:eastAsia="zh-CN" w:bidi="ar-SA"/>
        </w:rPr>
        <w:t>9</w:t>
      </w:r>
      <w:r>
        <w:rPr>
          <w:rFonts w:hint="eastAsia" w:ascii="仿宋_GB2312" w:hAnsi="宋体" w:eastAsia="仿宋_GB2312" w:cstheme="minorBidi"/>
          <w:b w:val="0"/>
          <w:bCs/>
          <w:color w:val="000000"/>
          <w:kern w:val="2"/>
          <w:sz w:val="28"/>
          <w:szCs w:val="32"/>
          <w:lang w:val="en-US" w:eastAsia="zh-CN" w:bidi="ar-SA"/>
        </w:rPr>
        <w:t>万元，预算资金执行率</w:t>
      </w:r>
      <w:r>
        <w:rPr>
          <w:rFonts w:hint="eastAsia" w:ascii="仿宋_GB2312" w:hAnsi="宋体" w:cstheme="minorBidi"/>
          <w:b w:val="0"/>
          <w:bCs/>
          <w:color w:val="000000"/>
          <w:kern w:val="2"/>
          <w:sz w:val="28"/>
          <w:szCs w:val="32"/>
          <w:lang w:val="en-US" w:eastAsia="zh-CN" w:bidi="ar-SA"/>
        </w:rPr>
        <w:t>76.04</w:t>
      </w:r>
      <w:r>
        <w:rPr>
          <w:rFonts w:hint="eastAsia" w:ascii="仿宋_GB2312" w:hAnsi="宋体" w:eastAsia="仿宋_GB2312" w:cstheme="minorBidi"/>
          <w:b w:val="0"/>
          <w:bCs/>
          <w:color w:val="000000"/>
          <w:kern w:val="2"/>
          <w:sz w:val="28"/>
          <w:szCs w:val="32"/>
          <w:lang w:val="en-US" w:eastAsia="zh-CN" w:bidi="ar-SA"/>
        </w:rPr>
        <w:t>%。</w:t>
      </w:r>
    </w:p>
    <w:p w14:paraId="6937C0F4">
      <w:pPr>
        <w:pStyle w:val="33"/>
        <w:rPr>
          <w:b/>
          <w:bCs w:val="0"/>
        </w:rPr>
      </w:pPr>
      <w:r>
        <w:rPr>
          <w:rFonts w:hint="eastAsia"/>
          <w:b/>
          <w:bCs w:val="0"/>
        </w:rPr>
        <w:t>3.项目资金管理情况分析</w:t>
      </w:r>
    </w:p>
    <w:p w14:paraId="1694E4A9">
      <w:pPr>
        <w:pStyle w:val="52"/>
        <w:spacing w:line="560" w:lineRule="exact"/>
        <w:ind w:left="0" w:leftChars="0" w:right="3" w:firstLine="560"/>
      </w:pPr>
      <w: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86F6E56">
      <w:pPr>
        <w:pStyle w:val="52"/>
        <w:spacing w:line="560" w:lineRule="exact"/>
        <w:ind w:leftChars="0" w:right="3" w:firstLine="562"/>
        <w:rPr>
          <w:b/>
        </w:rPr>
      </w:pPr>
      <w:r>
        <w:rPr>
          <w:rFonts w:hint="eastAsia"/>
          <w:b/>
        </w:rPr>
        <w:t>4.项目管理情况分析</w:t>
      </w:r>
    </w:p>
    <w:p w14:paraId="147F74A5">
      <w:pPr>
        <w:pStyle w:val="52"/>
        <w:spacing w:line="580" w:lineRule="exact"/>
        <w:ind w:left="0" w:leftChars="0" w:right="3" w:firstLine="560"/>
        <w:rPr>
          <w:rFonts w:hint="eastAsia"/>
        </w:rPr>
      </w:pPr>
      <w:r>
        <w:rPr>
          <w:rFonts w:hint="eastAsia"/>
        </w:rPr>
        <w:t>在项目实施中，</w:t>
      </w:r>
      <w:r>
        <w:rPr>
          <w:rFonts w:hint="eastAsia"/>
          <w:lang w:eastAsia="zh-CN"/>
        </w:rPr>
        <w:t>于田县喀拉克尔乡央塔克喀什村碎片化土地整合项目</w:t>
      </w:r>
      <w:r>
        <w:rPr>
          <w:rFonts w:hint="eastAsia"/>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61BBF9EC">
      <w:pPr>
        <w:pStyle w:val="52"/>
        <w:spacing w:line="580" w:lineRule="exact"/>
        <w:ind w:left="0" w:leftChars="0" w:right="3" w:firstLine="560"/>
        <w:rPr>
          <w:rFonts w:hint="eastAsia"/>
        </w:rPr>
      </w:pPr>
      <w:r>
        <w:rPr>
          <w:rFonts w:hint="eastAsia"/>
        </w:rPr>
        <w:t>（二）绩效目标完成情况分析</w:t>
      </w:r>
    </w:p>
    <w:p w14:paraId="1207F210">
      <w:pPr>
        <w:pStyle w:val="52"/>
        <w:spacing w:line="580" w:lineRule="exact"/>
        <w:ind w:left="0" w:leftChars="0" w:right="3" w:firstLine="560"/>
        <w:rPr>
          <w:rFonts w:hint="eastAsia"/>
        </w:rPr>
      </w:pPr>
      <w:r>
        <w:rPr>
          <w:rFonts w:hint="eastAsia"/>
        </w:rPr>
        <w:t>本项目在</w:t>
      </w:r>
      <w:r>
        <w:rPr>
          <w:rFonts w:hint="eastAsia"/>
          <w:lang w:eastAsia="zh-CN"/>
        </w:rPr>
        <w:t>2024</w:t>
      </w:r>
      <w:r>
        <w:rPr>
          <w:rFonts w:hint="eastAsia"/>
        </w:rPr>
        <w:t>年截止1</w:t>
      </w:r>
      <w:r>
        <w:rPr>
          <w:rFonts w:hint="eastAsia"/>
          <w:lang w:val="en-US" w:eastAsia="zh-CN"/>
        </w:rPr>
        <w:t>2</w:t>
      </w:r>
      <w:r>
        <w:rPr>
          <w:rFonts w:hint="eastAsia"/>
        </w:rPr>
        <w:t>月底，工程实际完</w:t>
      </w:r>
      <w:r>
        <w:rPr>
          <w:rFonts w:hint="eastAsia"/>
          <w:lang w:val="en-US" w:eastAsia="zh-CN"/>
        </w:rPr>
        <w:t>成1、土地平整工程：本项目土地平整工程量为6006.20立方米，挖树根280棵；2、土壤改良工程：为项目区11.4107公顷（171.16亩）耕地增施精致有机肥90公斤/亩，共计15.40吨，增加酸碱调节剂20公斤/亩，共计3.42吨</w:t>
      </w:r>
      <w:r>
        <w:rPr>
          <w:rFonts w:hint="eastAsia"/>
        </w:rPr>
        <w:t>。</w:t>
      </w:r>
    </w:p>
    <w:p w14:paraId="43184EC4">
      <w:pPr>
        <w:pStyle w:val="52"/>
        <w:ind w:left="0" w:leftChars="0" w:right="0" w:rightChars="0" w:firstLine="560"/>
      </w:pPr>
      <w:r>
        <w:rPr>
          <w:rFonts w:hint="eastAsia"/>
        </w:rPr>
        <w:t>本项目共设置一级指标3个，二级指标</w:t>
      </w:r>
      <w:r>
        <w:rPr>
          <w:rFonts w:hint="eastAsia"/>
          <w:lang w:val="en-US" w:eastAsia="zh-CN"/>
        </w:rPr>
        <w:t>7</w:t>
      </w:r>
      <w:r>
        <w:rPr>
          <w:rFonts w:hint="eastAsia"/>
        </w:rPr>
        <w:t>个，三级指标</w:t>
      </w:r>
      <w:r>
        <w:rPr>
          <w:rFonts w:hint="eastAsia"/>
          <w:lang w:val="en-US" w:eastAsia="zh-CN"/>
        </w:rPr>
        <w:t>15</w:t>
      </w:r>
      <w:r>
        <w:rPr>
          <w:rFonts w:hint="eastAsia"/>
        </w:rPr>
        <w:t>个，其中已完成三级指标</w:t>
      </w:r>
      <w:r>
        <w:rPr>
          <w:rFonts w:hint="eastAsia"/>
          <w:lang w:val="en-US" w:eastAsia="zh-CN"/>
        </w:rPr>
        <w:t>11</w:t>
      </w:r>
      <w:r>
        <w:rPr>
          <w:rFonts w:hint="eastAsia"/>
        </w:rPr>
        <w:t>个，指标完成率为</w:t>
      </w:r>
      <w:r>
        <w:rPr>
          <w:rFonts w:hint="eastAsia"/>
          <w:lang w:val="en-US" w:eastAsia="zh-CN"/>
        </w:rPr>
        <w:t>73.33</w:t>
      </w:r>
      <w:r>
        <w:rPr>
          <w:rFonts w:hint="eastAsia"/>
        </w:rPr>
        <w:t>%，指标完成情况分析如下：</w:t>
      </w:r>
    </w:p>
    <w:p w14:paraId="1A82F1B7">
      <w:pPr>
        <w:pStyle w:val="52"/>
        <w:spacing w:line="580" w:lineRule="exact"/>
        <w:ind w:left="0" w:leftChars="0" w:right="0" w:rightChars="0" w:firstLine="562"/>
        <w:rPr>
          <w:b/>
        </w:rPr>
      </w:pPr>
      <w:r>
        <w:rPr>
          <w:rFonts w:hint="eastAsia"/>
          <w:b/>
        </w:rPr>
        <w:t>1.产出指标完成情况分析</w:t>
      </w:r>
    </w:p>
    <w:p w14:paraId="1D03EB04">
      <w:pPr>
        <w:pStyle w:val="52"/>
        <w:spacing w:line="580" w:lineRule="exact"/>
        <w:ind w:left="0" w:leftChars="0" w:right="0" w:rightChars="0" w:firstLine="560"/>
        <w:rPr>
          <w:rFonts w:ascii="仿宋_GB2312"/>
        </w:rPr>
      </w:pPr>
      <w:r>
        <w:rPr>
          <w:rFonts w:hint="eastAsia" w:ascii="仿宋_GB2312"/>
        </w:rPr>
        <w:t>1.1项目完成数量</w:t>
      </w:r>
    </w:p>
    <w:p w14:paraId="17307C7C">
      <w:pPr>
        <w:pStyle w:val="52"/>
        <w:spacing w:line="560" w:lineRule="exact"/>
        <w:ind w:left="0" w:leftChars="0" w:right="0" w:rightChars="0" w:firstLine="560"/>
      </w:pPr>
      <w:r>
        <w:rPr>
          <w:rFonts w:hint="eastAsia"/>
        </w:rPr>
        <w:t>“</w:t>
      </w:r>
      <w:r>
        <w:rPr>
          <w:rFonts w:hint="eastAsia"/>
          <w:lang w:eastAsia="zh-CN"/>
        </w:rPr>
        <w:t>平整土地面积（亩）</w:t>
      </w:r>
      <w:r>
        <w:rPr>
          <w:rFonts w:hint="eastAsia"/>
        </w:rPr>
        <w:t>”指标，预期指标值为</w:t>
      </w:r>
      <w:r>
        <w:rPr>
          <w:rFonts w:hint="eastAsia"/>
          <w:lang w:eastAsia="zh-CN"/>
        </w:rPr>
        <w:t>大于等于</w:t>
      </w:r>
      <w:r>
        <w:rPr>
          <w:rFonts w:hint="eastAsia"/>
          <w:lang w:val="en-US" w:eastAsia="zh-CN"/>
        </w:rPr>
        <w:t>171.16亩，</w:t>
      </w:r>
      <w:r>
        <w:rPr>
          <w:rFonts w:hint="eastAsia"/>
        </w:rPr>
        <w:t>全年实际值为</w:t>
      </w:r>
      <w:r>
        <w:rPr>
          <w:rFonts w:hint="eastAsia"/>
          <w:lang w:val="en-US" w:eastAsia="zh-CN"/>
        </w:rPr>
        <w:t>171.16亩</w:t>
      </w:r>
      <w:r>
        <w:rPr>
          <w:rFonts w:hint="eastAsia"/>
        </w:rPr>
        <w:t>，指标完成率为100.00%。所设分值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 xml:space="preserve">分。 </w:t>
      </w:r>
      <w:r>
        <w:t xml:space="preserve">  </w:t>
      </w:r>
    </w:p>
    <w:p w14:paraId="2027E687">
      <w:pPr>
        <w:pStyle w:val="52"/>
        <w:spacing w:line="560" w:lineRule="exact"/>
        <w:ind w:left="0" w:leftChars="0" w:right="0" w:rightChars="0" w:firstLine="560"/>
        <w:rPr>
          <w:rFonts w:hint="eastAsia"/>
        </w:rPr>
      </w:pPr>
      <w:r>
        <w:rPr>
          <w:rFonts w:hint="eastAsia"/>
        </w:rPr>
        <w:t>“</w:t>
      </w:r>
      <w:r>
        <w:rPr>
          <w:rFonts w:hint="eastAsia"/>
          <w:lang w:eastAsia="zh-CN"/>
        </w:rPr>
        <w:t>平整土地土方（立方米）</w:t>
      </w:r>
      <w:r>
        <w:rPr>
          <w:rFonts w:hint="eastAsia"/>
        </w:rPr>
        <w:t>”指标，预期指标值为</w:t>
      </w:r>
      <w:r>
        <w:rPr>
          <w:rFonts w:hint="eastAsia"/>
          <w:lang w:eastAsia="zh-CN"/>
        </w:rPr>
        <w:t>大于等于</w:t>
      </w:r>
      <w:r>
        <w:rPr>
          <w:rFonts w:hint="eastAsia"/>
          <w:lang w:val="en-US" w:eastAsia="zh-CN"/>
        </w:rPr>
        <w:t>5606.20</w:t>
      </w:r>
      <w:r>
        <w:rPr>
          <w:rFonts w:hint="eastAsia"/>
          <w:lang w:eastAsia="zh-CN"/>
        </w:rPr>
        <w:t>立</w:t>
      </w:r>
      <w:r>
        <w:rPr>
          <w:rFonts w:hint="eastAsia"/>
        </w:rPr>
        <w:t>方米</w:t>
      </w:r>
      <w:r>
        <w:rPr>
          <w:rFonts w:hint="eastAsia"/>
          <w:lang w:val="en-US" w:eastAsia="zh-CN"/>
        </w:rPr>
        <w:t>，</w:t>
      </w:r>
      <w:r>
        <w:rPr>
          <w:rFonts w:hint="eastAsia"/>
        </w:rPr>
        <w:t>全年实际值为</w:t>
      </w:r>
      <w:r>
        <w:rPr>
          <w:rFonts w:hint="eastAsia"/>
          <w:lang w:val="en-US" w:eastAsia="zh-CN"/>
        </w:rPr>
        <w:t>6006.20</w:t>
      </w:r>
      <w:r>
        <w:rPr>
          <w:rFonts w:hint="eastAsia"/>
          <w:lang w:eastAsia="zh-CN"/>
        </w:rPr>
        <w:t>立</w:t>
      </w:r>
      <w:r>
        <w:rPr>
          <w:rFonts w:hint="eastAsia"/>
        </w:rPr>
        <w:t>方米，指标完成率为100.00%。所设分值</w:t>
      </w:r>
      <w:r>
        <w:rPr>
          <w:rFonts w:hint="eastAsia"/>
          <w:lang w:val="en-US" w:eastAsia="zh-CN"/>
        </w:rPr>
        <w:t>4</w:t>
      </w:r>
      <w:r>
        <w:rPr>
          <w:rFonts w:hint="eastAsia"/>
        </w:rPr>
        <w:t>分，实际得分</w:t>
      </w:r>
      <w:r>
        <w:rPr>
          <w:rFonts w:hint="eastAsia"/>
          <w:lang w:val="en-US" w:eastAsia="zh-CN"/>
        </w:rPr>
        <w:t>3.95</w:t>
      </w:r>
      <w:r>
        <w:rPr>
          <w:rFonts w:hint="eastAsia"/>
        </w:rPr>
        <w:t>分。</w:t>
      </w:r>
    </w:p>
    <w:p w14:paraId="03A95DBB">
      <w:pPr>
        <w:pStyle w:val="52"/>
        <w:spacing w:line="560" w:lineRule="exact"/>
        <w:ind w:left="0" w:leftChars="0" w:right="0" w:rightChars="0" w:firstLine="560"/>
      </w:pPr>
      <w:r>
        <w:rPr>
          <w:rFonts w:hint="eastAsia"/>
        </w:rPr>
        <w:t>“</w:t>
      </w:r>
      <w:r>
        <w:rPr>
          <w:rFonts w:hint="eastAsia"/>
          <w:lang w:eastAsia="zh-CN"/>
        </w:rPr>
        <w:t>挖树根（棵）</w:t>
      </w:r>
      <w:r>
        <w:rPr>
          <w:rFonts w:hint="eastAsia"/>
        </w:rPr>
        <w:t>”指标，预期指标值为</w:t>
      </w:r>
      <w:r>
        <w:rPr>
          <w:rFonts w:hint="eastAsia"/>
          <w:lang w:eastAsia="zh-CN"/>
        </w:rPr>
        <w:t>大于等于</w:t>
      </w:r>
      <w:r>
        <w:rPr>
          <w:rFonts w:hint="eastAsia"/>
          <w:lang w:val="en-US" w:eastAsia="zh-CN"/>
        </w:rPr>
        <w:t>280棵，</w:t>
      </w:r>
      <w:r>
        <w:rPr>
          <w:rFonts w:hint="eastAsia"/>
        </w:rPr>
        <w:t>全年实际值为</w:t>
      </w:r>
      <w:r>
        <w:rPr>
          <w:rFonts w:hint="eastAsia"/>
          <w:lang w:val="en-US" w:eastAsia="zh-CN"/>
        </w:rPr>
        <w:t>280棵</w:t>
      </w:r>
      <w:r>
        <w:rPr>
          <w:rFonts w:hint="eastAsia"/>
        </w:rPr>
        <w:t>，指标完成率为100.00%。所设分值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5F4F0A09">
      <w:pPr>
        <w:pStyle w:val="52"/>
        <w:spacing w:line="560" w:lineRule="exact"/>
        <w:ind w:left="0" w:leftChars="0" w:right="0" w:rightChars="0" w:firstLine="560"/>
      </w:pPr>
      <w:r>
        <w:rPr>
          <w:rFonts w:hint="eastAsia"/>
        </w:rPr>
        <w:t>“</w:t>
      </w:r>
      <w:r>
        <w:rPr>
          <w:rFonts w:hint="eastAsia"/>
          <w:lang w:eastAsia="zh-CN"/>
        </w:rPr>
        <w:t>耕地增施有机肥（吨）</w:t>
      </w:r>
      <w:r>
        <w:rPr>
          <w:rFonts w:hint="eastAsia"/>
        </w:rPr>
        <w:t>”指标，预期指标值为</w:t>
      </w:r>
      <w:r>
        <w:rPr>
          <w:rFonts w:hint="eastAsia"/>
          <w:lang w:eastAsia="zh-CN"/>
        </w:rPr>
        <w:t>大于等于</w:t>
      </w:r>
      <w:r>
        <w:rPr>
          <w:rFonts w:hint="eastAsia"/>
          <w:lang w:val="en-US" w:eastAsia="zh-CN"/>
        </w:rPr>
        <w:t>15.04吨，</w:t>
      </w:r>
      <w:r>
        <w:rPr>
          <w:rFonts w:hint="eastAsia"/>
        </w:rPr>
        <w:t>全年实际值为</w:t>
      </w:r>
      <w:r>
        <w:rPr>
          <w:rFonts w:hint="eastAsia"/>
          <w:lang w:val="en-US" w:eastAsia="zh-CN"/>
        </w:rPr>
        <w:t>15.04吨</w:t>
      </w:r>
      <w:r>
        <w:rPr>
          <w:rFonts w:hint="eastAsia"/>
        </w:rPr>
        <w:t>，指标完成率为100.00%。所设分值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2ACF0C07">
      <w:pPr>
        <w:pStyle w:val="52"/>
        <w:spacing w:line="560" w:lineRule="exact"/>
        <w:ind w:left="0" w:leftChars="0" w:right="0" w:rightChars="0" w:firstLine="560"/>
      </w:pPr>
      <w:r>
        <w:rPr>
          <w:rFonts w:hint="eastAsia"/>
        </w:rPr>
        <w:t>“</w:t>
      </w:r>
      <w:r>
        <w:rPr>
          <w:rFonts w:hint="eastAsia"/>
          <w:lang w:eastAsia="zh-CN"/>
        </w:rPr>
        <w:t>耕地增加酸碱调节剂（吨）</w:t>
      </w:r>
      <w:r>
        <w:rPr>
          <w:rFonts w:hint="eastAsia"/>
        </w:rPr>
        <w:t>”指标，预期指标值为</w:t>
      </w:r>
      <w:r>
        <w:rPr>
          <w:rFonts w:hint="eastAsia"/>
          <w:lang w:eastAsia="zh-CN"/>
        </w:rPr>
        <w:t>大于等于</w:t>
      </w:r>
      <w:r>
        <w:rPr>
          <w:rFonts w:hint="eastAsia"/>
          <w:lang w:val="en-US" w:eastAsia="zh-CN"/>
        </w:rPr>
        <w:t>3.42吨，</w:t>
      </w:r>
      <w:r>
        <w:rPr>
          <w:rFonts w:hint="eastAsia"/>
        </w:rPr>
        <w:t>全年实际值为</w:t>
      </w:r>
      <w:r>
        <w:rPr>
          <w:rFonts w:hint="eastAsia"/>
          <w:lang w:val="en-US" w:eastAsia="zh-CN"/>
        </w:rPr>
        <w:t>3.42吨</w:t>
      </w:r>
      <w:r>
        <w:rPr>
          <w:rFonts w:hint="eastAsia"/>
        </w:rPr>
        <w:t>，指标完成率为100.00%。所设分值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13C6CED3">
      <w:pPr>
        <w:pStyle w:val="52"/>
        <w:spacing w:line="560" w:lineRule="exact"/>
        <w:ind w:left="0" w:leftChars="0" w:right="0" w:rightChars="0" w:firstLine="560"/>
      </w:pPr>
      <w:r>
        <w:rPr>
          <w:rFonts w:ascii="仿宋_GB2312"/>
        </w:rPr>
        <w:t>1.2项目完成质量</w:t>
      </w:r>
    </w:p>
    <w:p w14:paraId="7485C199">
      <w:pPr>
        <w:pStyle w:val="52"/>
        <w:spacing w:line="560" w:lineRule="exact"/>
        <w:ind w:left="0" w:leftChars="0" w:right="0" w:rightChars="0" w:firstLine="560"/>
        <w:rPr>
          <w:rFonts w:hint="eastAsia"/>
        </w:rPr>
      </w:pPr>
      <w:r>
        <w:rPr>
          <w:rFonts w:hint="eastAsia"/>
        </w:rPr>
        <w:t>“工程验收合格率”指标，预期指标值为</w:t>
      </w:r>
      <w:r>
        <w:rPr>
          <w:rFonts w:hint="eastAsia"/>
          <w:lang w:eastAsia="zh-CN"/>
        </w:rPr>
        <w:t>等于</w:t>
      </w:r>
      <w:r>
        <w:rPr>
          <w:rFonts w:hint="eastAsia"/>
        </w:rPr>
        <w:t>100.00%,全年实际值为100.00%，指标完成率为100.00%。所设分值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36E1A8B2">
      <w:pPr>
        <w:pStyle w:val="52"/>
        <w:spacing w:line="560" w:lineRule="exact"/>
        <w:ind w:left="0" w:leftChars="0" w:right="0" w:rightChars="0" w:firstLine="560"/>
      </w:pPr>
      <w:r>
        <w:rPr>
          <w:rFonts w:hint="eastAsia"/>
        </w:rPr>
        <w:t>“</w:t>
      </w:r>
      <w:r>
        <w:rPr>
          <w:rFonts w:hint="eastAsia"/>
          <w:lang w:eastAsia="zh-CN"/>
        </w:rPr>
        <w:t>资金支付合规</w:t>
      </w:r>
      <w:r>
        <w:rPr>
          <w:rFonts w:hint="eastAsia"/>
        </w:rPr>
        <w:t>率”指标，预期指标值为</w:t>
      </w:r>
      <w:r>
        <w:rPr>
          <w:rFonts w:hint="eastAsia"/>
          <w:lang w:eastAsia="zh-CN"/>
        </w:rPr>
        <w:t>等于</w:t>
      </w:r>
      <w:r>
        <w:rPr>
          <w:rFonts w:hint="eastAsia"/>
        </w:rPr>
        <w:t>100.00%,全年实际值为100.00%，指标完成率为100.00%。所设分值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729E8D87">
      <w:pPr>
        <w:pStyle w:val="52"/>
        <w:spacing w:line="560" w:lineRule="exact"/>
        <w:ind w:left="0" w:leftChars="0" w:right="0" w:rightChars="0" w:firstLine="560"/>
      </w:pPr>
      <w:r>
        <w:t>1.3项目完成时效</w:t>
      </w:r>
    </w:p>
    <w:p w14:paraId="07834A72">
      <w:pPr>
        <w:pStyle w:val="52"/>
        <w:spacing w:line="560" w:lineRule="exact"/>
        <w:ind w:left="0" w:leftChars="0" w:right="0" w:rightChars="0" w:firstLine="560"/>
        <w:rPr>
          <w:rFonts w:hint="eastAsia"/>
        </w:rPr>
      </w:pPr>
      <w:r>
        <w:rPr>
          <w:rFonts w:hint="eastAsia"/>
        </w:rPr>
        <w:t>“项目开工时间”指标，预期指标值为</w:t>
      </w:r>
      <w:r>
        <w:rPr>
          <w:rFonts w:hint="eastAsia"/>
          <w:lang w:eastAsia="zh-CN"/>
        </w:rPr>
        <w:t>2024</w:t>
      </w:r>
      <w:r>
        <w:rPr>
          <w:rFonts w:hint="eastAsia"/>
        </w:rPr>
        <w:t>年</w:t>
      </w:r>
      <w:r>
        <w:rPr>
          <w:rFonts w:hint="eastAsia"/>
          <w:lang w:val="en-US" w:eastAsia="zh-CN"/>
        </w:rPr>
        <w:t>6</w:t>
      </w:r>
      <w:r>
        <w:rPr>
          <w:rFonts w:hint="eastAsia"/>
        </w:rPr>
        <w:t>月,全年实际值为</w:t>
      </w:r>
      <w:r>
        <w:rPr>
          <w:rFonts w:hint="eastAsia"/>
          <w:lang w:eastAsia="zh-CN"/>
        </w:rPr>
        <w:t>2024</w:t>
      </w:r>
      <w:r>
        <w:rPr>
          <w:rFonts w:hint="eastAsia"/>
        </w:rPr>
        <w:t>年</w:t>
      </w:r>
      <w:r>
        <w:rPr>
          <w:rFonts w:hint="eastAsia"/>
          <w:lang w:val="en-US" w:eastAsia="zh-CN"/>
        </w:rPr>
        <w:t>7</w:t>
      </w:r>
      <w:r>
        <w:rPr>
          <w:rFonts w:hint="eastAsia"/>
        </w:rPr>
        <w:t>月，指标完成率为</w:t>
      </w:r>
      <w:r>
        <w:rPr>
          <w:rFonts w:hint="eastAsia"/>
          <w:lang w:val="en-US" w:eastAsia="zh-CN"/>
        </w:rPr>
        <w:t>99</w:t>
      </w:r>
      <w:r>
        <w:rPr>
          <w:rFonts w:hint="eastAsia"/>
        </w:rPr>
        <w:t>.00%。所设分值</w:t>
      </w:r>
      <w:r>
        <w:rPr>
          <w:rFonts w:hint="eastAsia"/>
          <w:lang w:val="en-US" w:eastAsia="zh-CN"/>
        </w:rPr>
        <w:t>4</w:t>
      </w:r>
      <w:r>
        <w:rPr>
          <w:rFonts w:hint="eastAsia"/>
        </w:rPr>
        <w:t>分，实际得分</w:t>
      </w:r>
      <w:r>
        <w:rPr>
          <w:rFonts w:hint="eastAsia"/>
          <w:lang w:val="en-US" w:eastAsia="zh-CN"/>
        </w:rPr>
        <w:t>3</w:t>
      </w:r>
      <w:r>
        <w:rPr>
          <w:rFonts w:hint="eastAsia"/>
        </w:rPr>
        <w:t>分。偏差原因：项目由于前期手续办理缓慢导致开工时间推迟。改进措施：加强项目管理。</w:t>
      </w:r>
    </w:p>
    <w:p w14:paraId="0EBF3E05">
      <w:pPr>
        <w:pStyle w:val="52"/>
        <w:spacing w:line="560" w:lineRule="exact"/>
        <w:ind w:left="0" w:leftChars="0" w:right="0" w:rightChars="0" w:firstLine="560"/>
        <w:rPr>
          <w:rFonts w:hint="eastAsia"/>
        </w:rPr>
      </w:pPr>
      <w:r>
        <w:rPr>
          <w:rFonts w:hint="eastAsia"/>
        </w:rPr>
        <w:t>“项目完工时间”指标，预期指标值为</w:t>
      </w:r>
      <w:r>
        <w:rPr>
          <w:rFonts w:hint="eastAsia"/>
          <w:lang w:eastAsia="zh-CN"/>
        </w:rPr>
        <w:t>2024</w:t>
      </w:r>
      <w:r>
        <w:rPr>
          <w:rFonts w:hint="eastAsia"/>
        </w:rPr>
        <w:t>年</w:t>
      </w:r>
      <w:r>
        <w:rPr>
          <w:rFonts w:hint="eastAsia"/>
          <w:lang w:val="en-US" w:eastAsia="zh-CN"/>
        </w:rPr>
        <w:t>8</w:t>
      </w:r>
      <w:r>
        <w:rPr>
          <w:rFonts w:hint="eastAsia"/>
        </w:rPr>
        <w:t>月,全年实际值为</w:t>
      </w:r>
      <w:r>
        <w:rPr>
          <w:rFonts w:hint="eastAsia"/>
          <w:lang w:eastAsia="zh-CN"/>
        </w:rPr>
        <w:t>2024</w:t>
      </w:r>
      <w:r>
        <w:rPr>
          <w:rFonts w:hint="eastAsia"/>
        </w:rPr>
        <w:t>年</w:t>
      </w:r>
      <w:r>
        <w:rPr>
          <w:rFonts w:hint="eastAsia"/>
          <w:lang w:val="en-US" w:eastAsia="zh-CN"/>
        </w:rPr>
        <w:t>8</w:t>
      </w:r>
      <w:r>
        <w:rPr>
          <w:rFonts w:hint="eastAsia"/>
        </w:rPr>
        <w:t>月，指标完成率为100.00%。所设分值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1A42E362">
      <w:pPr>
        <w:pStyle w:val="52"/>
        <w:spacing w:line="560" w:lineRule="exact"/>
        <w:ind w:left="0" w:leftChars="0" w:right="0" w:rightChars="0" w:firstLine="560"/>
      </w:pPr>
      <w:r>
        <w:rPr>
          <w:rFonts w:hint="eastAsia"/>
        </w:rPr>
        <w:t>“</w:t>
      </w:r>
      <w:r>
        <w:rPr>
          <w:rFonts w:hint="eastAsia"/>
          <w:lang w:val="en-US" w:eastAsia="zh-CN"/>
        </w:rPr>
        <w:t>资金支付及时率</w:t>
      </w:r>
      <w:r>
        <w:rPr>
          <w:rFonts w:hint="eastAsia"/>
        </w:rPr>
        <w:t>”指标，预期指标值为</w:t>
      </w:r>
      <w:r>
        <w:rPr>
          <w:rFonts w:hint="eastAsia"/>
          <w:lang w:val="en-US" w:eastAsia="zh-CN"/>
        </w:rPr>
        <w:t>100.00%</w:t>
      </w:r>
      <w:r>
        <w:rPr>
          <w:rFonts w:hint="eastAsia"/>
          <w:lang w:eastAsia="zh-CN"/>
        </w:rPr>
        <w:t>，</w:t>
      </w:r>
      <w:r>
        <w:rPr>
          <w:rFonts w:hint="eastAsia"/>
        </w:rPr>
        <w:t>全年实际值为</w:t>
      </w:r>
      <w:r>
        <w:rPr>
          <w:rFonts w:hint="eastAsia"/>
          <w:lang w:val="en-US" w:eastAsia="zh-CN"/>
        </w:rPr>
        <w:t>100.00%</w:t>
      </w:r>
      <w:r>
        <w:rPr>
          <w:rFonts w:hint="eastAsia"/>
        </w:rPr>
        <w:t>，指标完成率为100.00%。所设分值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 xml:space="preserve">分。 </w:t>
      </w:r>
      <w:r>
        <w:t xml:space="preserve">       </w:t>
      </w:r>
    </w:p>
    <w:p w14:paraId="17D09803">
      <w:pPr>
        <w:pStyle w:val="52"/>
        <w:spacing w:line="560" w:lineRule="exact"/>
        <w:ind w:left="0" w:leftChars="0" w:right="0" w:rightChars="0" w:firstLine="560"/>
      </w:pPr>
      <w:r>
        <w:t>1.4项目成本节约情况</w:t>
      </w:r>
    </w:p>
    <w:p w14:paraId="178925D3">
      <w:pPr>
        <w:pStyle w:val="52"/>
        <w:spacing w:line="560" w:lineRule="exact"/>
        <w:ind w:left="0" w:leftChars="0" w:right="0" w:rightChars="0" w:firstLine="560"/>
      </w:pPr>
      <w:r>
        <w:rPr>
          <w:rFonts w:hint="eastAsia"/>
        </w:rPr>
        <w:t>为有效控制项目实施成本，我单位在实施项目前就该项目设定了成本控制指标，实施过程中我单位有效降低了项目执行成本，具体指标设置及完成情况如下：</w:t>
      </w:r>
    </w:p>
    <w:p w14:paraId="5D25058D">
      <w:pPr>
        <w:pStyle w:val="33"/>
        <w:rPr>
          <w:rFonts w:hint="eastAsia"/>
        </w:rPr>
      </w:pPr>
      <w:r>
        <w:rPr>
          <w:rFonts w:hint="eastAsia"/>
        </w:rPr>
        <w:t>“</w:t>
      </w:r>
      <w:r>
        <w:rPr>
          <w:rFonts w:hint="eastAsia" w:ascii="Times New Roman" w:hAnsi="Times New Roman" w:cs="Times New Roman"/>
          <w:b w:val="0"/>
          <w:color w:val="000000"/>
          <w:kern w:val="2"/>
          <w:sz w:val="28"/>
          <w:szCs w:val="22"/>
          <w:lang w:val="en-US" w:eastAsia="zh-CN" w:bidi="ar-SA"/>
        </w:rPr>
        <w:t>土地平整及改良工程费用</w:t>
      </w:r>
      <w:r>
        <w:rPr>
          <w:rFonts w:hint="eastAsia"/>
        </w:rPr>
        <w:t>”指标，预期指标值为</w:t>
      </w:r>
      <w:r>
        <w:rPr>
          <w:rFonts w:hint="eastAsia"/>
          <w:lang w:eastAsia="zh-CN"/>
        </w:rPr>
        <w:t>小于等于</w:t>
      </w:r>
      <w:r>
        <w:rPr>
          <w:rFonts w:hint="eastAsia"/>
          <w:lang w:val="en-US" w:eastAsia="zh-CN"/>
        </w:rPr>
        <w:t>16.89万元</w:t>
      </w:r>
      <w:r>
        <w:rPr>
          <w:rFonts w:hint="eastAsia"/>
        </w:rPr>
        <w:t>, 全年实际值为</w:t>
      </w:r>
      <w:r>
        <w:rPr>
          <w:rFonts w:hint="eastAsia"/>
          <w:lang w:val="en-US" w:eastAsia="zh-CN"/>
        </w:rPr>
        <w:t>15.51万元</w:t>
      </w:r>
      <w:r>
        <w:rPr>
          <w:rFonts w:hint="eastAsia"/>
        </w:rPr>
        <w:t>，指标完成率为</w:t>
      </w:r>
      <w:r>
        <w:rPr>
          <w:rFonts w:hint="eastAsia"/>
          <w:lang w:val="en-US" w:eastAsia="zh-CN"/>
        </w:rPr>
        <w:t>91.83</w:t>
      </w:r>
      <w:r>
        <w:rPr>
          <w:rFonts w:hint="eastAsia"/>
        </w:rPr>
        <w:t>%。所设分值</w:t>
      </w:r>
      <w:r>
        <w:rPr>
          <w:rFonts w:hint="eastAsia"/>
          <w:lang w:val="en-US" w:eastAsia="zh-CN"/>
        </w:rPr>
        <w:t>5</w:t>
      </w:r>
      <w:r>
        <w:rPr>
          <w:rFonts w:hint="eastAsia"/>
        </w:rPr>
        <w:t>分，实际得分</w:t>
      </w:r>
      <w:r>
        <w:rPr>
          <w:rFonts w:hint="eastAsia"/>
          <w:lang w:val="en-US" w:eastAsia="zh-CN"/>
        </w:rPr>
        <w:t>4.59</w:t>
      </w:r>
      <w:r>
        <w:rPr>
          <w:rFonts w:hint="eastAsia"/>
        </w:rPr>
        <w:t>分。偏差原因：项目已验收，相关评估决算已完成，工程</w:t>
      </w:r>
      <w:r>
        <w:rPr>
          <w:rFonts w:hint="eastAsia"/>
          <w:lang w:eastAsia="zh-CN"/>
        </w:rPr>
        <w:t>结余</w:t>
      </w:r>
      <w:r>
        <w:rPr>
          <w:rFonts w:hint="eastAsia"/>
        </w:rPr>
        <w:t>资金5.51万元。改进措施：加强项目建设资金管理。</w:t>
      </w:r>
    </w:p>
    <w:p w14:paraId="149995B2">
      <w:pPr>
        <w:pStyle w:val="33"/>
        <w:rPr>
          <w:rFonts w:hint="eastAsia"/>
        </w:rPr>
      </w:pPr>
      <w:r>
        <w:rPr>
          <w:rFonts w:hint="eastAsia"/>
        </w:rPr>
        <w:t>“</w:t>
      </w:r>
      <w:r>
        <w:rPr>
          <w:rFonts w:hint="eastAsia" w:ascii="Times New Roman" w:hAnsi="Times New Roman" w:cs="Times New Roman"/>
          <w:b w:val="0"/>
          <w:color w:val="000000"/>
          <w:kern w:val="2"/>
          <w:sz w:val="28"/>
          <w:szCs w:val="22"/>
          <w:lang w:val="en-US" w:eastAsia="zh-CN" w:bidi="ar-SA"/>
        </w:rPr>
        <w:t>其他费用</w:t>
      </w:r>
      <w:r>
        <w:rPr>
          <w:rFonts w:hint="eastAsia"/>
        </w:rPr>
        <w:t>”指标，预期指标值为</w:t>
      </w:r>
      <w:r>
        <w:rPr>
          <w:rFonts w:hint="eastAsia"/>
          <w:lang w:eastAsia="zh-CN"/>
        </w:rPr>
        <w:t>小于等于</w:t>
      </w:r>
      <w:r>
        <w:rPr>
          <w:rFonts w:hint="eastAsia"/>
          <w:lang w:val="en-US" w:eastAsia="zh-CN"/>
        </w:rPr>
        <w:t>6.11万元</w:t>
      </w:r>
      <w:r>
        <w:rPr>
          <w:rFonts w:hint="eastAsia"/>
        </w:rPr>
        <w:t>, 全年实际值为</w:t>
      </w:r>
      <w:r>
        <w:rPr>
          <w:rFonts w:hint="eastAsia"/>
          <w:lang w:val="en-US" w:eastAsia="zh-CN"/>
        </w:rPr>
        <w:t>1.98万元</w:t>
      </w:r>
      <w:r>
        <w:rPr>
          <w:rFonts w:hint="eastAsia"/>
        </w:rPr>
        <w:t>，指标完成率为</w:t>
      </w:r>
      <w:r>
        <w:rPr>
          <w:rFonts w:hint="eastAsia"/>
          <w:lang w:val="en-US" w:eastAsia="zh-CN"/>
        </w:rPr>
        <w:t>32.4</w:t>
      </w:r>
      <w:r>
        <w:rPr>
          <w:rFonts w:hint="eastAsia"/>
        </w:rPr>
        <w:t>%。所设分值</w:t>
      </w:r>
      <w:r>
        <w:rPr>
          <w:rFonts w:hint="eastAsia"/>
          <w:lang w:val="en-US" w:eastAsia="zh-CN"/>
        </w:rPr>
        <w:t>5</w:t>
      </w:r>
      <w:r>
        <w:rPr>
          <w:rFonts w:hint="eastAsia"/>
        </w:rPr>
        <w:t>分，实际得分</w:t>
      </w:r>
      <w:r>
        <w:rPr>
          <w:rFonts w:hint="eastAsia"/>
          <w:lang w:val="en-US" w:eastAsia="zh-CN"/>
        </w:rPr>
        <w:t>1.62</w:t>
      </w:r>
      <w:r>
        <w:rPr>
          <w:rFonts w:hint="eastAsia"/>
        </w:rPr>
        <w:t>分。偏差原因：项目已验收，相关评估决算已完成，工程</w:t>
      </w:r>
      <w:r>
        <w:rPr>
          <w:rFonts w:hint="eastAsia"/>
          <w:lang w:eastAsia="zh-CN"/>
        </w:rPr>
        <w:t>结余</w:t>
      </w:r>
      <w:r>
        <w:rPr>
          <w:rFonts w:hint="eastAsia"/>
        </w:rPr>
        <w:t>资金5.51万元。改进措施：加强项目建设资金管理。</w:t>
      </w:r>
    </w:p>
    <w:p w14:paraId="733886A5">
      <w:pPr>
        <w:pStyle w:val="33"/>
      </w:pPr>
      <w:r>
        <w:rPr>
          <w:rFonts w:hint="eastAsia"/>
        </w:rPr>
        <w:t>2.效益指标完成情况分析</w:t>
      </w:r>
    </w:p>
    <w:p w14:paraId="16FE6429">
      <w:pPr>
        <w:pStyle w:val="52"/>
        <w:spacing w:line="560" w:lineRule="exact"/>
        <w:ind w:left="0" w:leftChars="0" w:right="0" w:rightChars="0" w:firstLine="560"/>
      </w:pPr>
      <w:r>
        <w:t>2.</w:t>
      </w:r>
      <w:r>
        <w:rPr>
          <w:rFonts w:hint="eastAsia"/>
          <w:lang w:val="en-US" w:eastAsia="zh-CN"/>
        </w:rPr>
        <w:t>1</w:t>
      </w:r>
      <w:r>
        <w:t>项目实施的社会效益分析</w:t>
      </w:r>
    </w:p>
    <w:p w14:paraId="5F25272E">
      <w:pPr>
        <w:pStyle w:val="52"/>
        <w:spacing w:line="560" w:lineRule="exact"/>
        <w:ind w:left="0" w:leftChars="0" w:right="0" w:rightChars="0" w:firstLine="560"/>
      </w:pPr>
      <w:r>
        <w:rPr>
          <w:rFonts w:hint="eastAsia"/>
        </w:rPr>
        <w:t>“</w:t>
      </w:r>
      <w:r>
        <w:rPr>
          <w:rFonts w:hint="eastAsia"/>
          <w:lang w:eastAsia="zh-CN"/>
        </w:rPr>
        <w:t>提高耕地质量</w:t>
      </w:r>
      <w:r>
        <w:rPr>
          <w:rFonts w:hint="eastAsia"/>
        </w:rPr>
        <w:t>”指标，指标预期值为</w:t>
      </w:r>
      <w:r>
        <w:rPr>
          <w:rFonts w:hint="eastAsia"/>
          <w:lang w:eastAsia="zh-CN"/>
        </w:rPr>
        <w:t>有效提高</w:t>
      </w:r>
      <w:r>
        <w:rPr>
          <w:rFonts w:hint="eastAsia"/>
        </w:rPr>
        <w:t>，实际完成值为</w:t>
      </w:r>
      <w:r>
        <w:rPr>
          <w:rFonts w:hint="eastAsia"/>
          <w:lang w:val="en-US" w:eastAsia="zh-CN"/>
        </w:rPr>
        <w:t>有效提高</w:t>
      </w:r>
      <w:r>
        <w:rPr>
          <w:rFonts w:hint="eastAsia"/>
        </w:rPr>
        <w:t>，指标完成率为</w:t>
      </w:r>
      <w:r>
        <w:rPr>
          <w:rFonts w:hint="eastAsia"/>
          <w:lang w:eastAsia="zh-CN"/>
        </w:rPr>
        <w:t>有效提高</w:t>
      </w:r>
      <w:r>
        <w:rPr>
          <w:rFonts w:hint="eastAsia"/>
        </w:rPr>
        <w:t>。所设分值</w:t>
      </w:r>
      <w:r>
        <w:rPr>
          <w:rFonts w:hint="eastAsia"/>
          <w:lang w:val="en-US" w:eastAsia="zh-CN"/>
        </w:rPr>
        <w:t>15</w:t>
      </w:r>
      <w:r>
        <w:rPr>
          <w:rFonts w:hint="eastAsia"/>
        </w:rPr>
        <w:t>分，实际得分</w:t>
      </w:r>
      <w:r>
        <w:rPr>
          <w:rFonts w:hint="eastAsia"/>
          <w:lang w:val="en-US" w:eastAsia="zh-CN"/>
        </w:rPr>
        <w:t>15</w:t>
      </w:r>
      <w:r>
        <w:rPr>
          <w:rFonts w:hint="eastAsia"/>
        </w:rPr>
        <w:t>分。</w:t>
      </w:r>
    </w:p>
    <w:p w14:paraId="1854220E">
      <w:pPr>
        <w:pStyle w:val="52"/>
        <w:spacing w:line="560" w:lineRule="exact"/>
        <w:ind w:left="0" w:leftChars="0" w:right="0" w:rightChars="0" w:firstLine="560"/>
      </w:pPr>
      <w:r>
        <w:t>2.</w:t>
      </w:r>
      <w:r>
        <w:rPr>
          <w:rFonts w:hint="eastAsia"/>
          <w:lang w:val="en-US" w:eastAsia="zh-CN"/>
        </w:rPr>
        <w:t>2</w:t>
      </w:r>
      <w:r>
        <w:t>项目实施的可持续影响分析</w:t>
      </w:r>
    </w:p>
    <w:p w14:paraId="0EC52209">
      <w:pPr>
        <w:pStyle w:val="33"/>
      </w:pPr>
      <w:r>
        <w:rPr>
          <w:rFonts w:hint="eastAsia"/>
        </w:rPr>
        <w:t>“</w:t>
      </w:r>
      <w:r>
        <w:rPr>
          <w:rFonts w:hint="eastAsia"/>
          <w:lang w:eastAsia="zh-CN"/>
        </w:rPr>
        <w:t>改善农业生产条件</w:t>
      </w:r>
      <w:r>
        <w:rPr>
          <w:rFonts w:hint="eastAsia"/>
        </w:rPr>
        <w:t>”指标，指标预期值为</w:t>
      </w:r>
      <w:r>
        <w:rPr>
          <w:rFonts w:hint="eastAsia"/>
          <w:lang w:eastAsia="zh-CN"/>
        </w:rPr>
        <w:t>长期</w:t>
      </w:r>
      <w:r>
        <w:rPr>
          <w:rFonts w:hint="eastAsia"/>
        </w:rPr>
        <w:t>，实际完成值为</w:t>
      </w:r>
      <w:r>
        <w:rPr>
          <w:rFonts w:hint="eastAsia"/>
          <w:lang w:eastAsia="zh-CN"/>
        </w:rPr>
        <w:t>长期</w:t>
      </w:r>
      <w:r>
        <w:rPr>
          <w:rFonts w:hint="eastAsia"/>
        </w:rPr>
        <w:t>，指标完成率为100.00%。所设分值</w:t>
      </w:r>
      <w:r>
        <w:rPr>
          <w:rFonts w:hint="eastAsia"/>
          <w:lang w:val="en-US" w:eastAsia="zh-CN"/>
        </w:rPr>
        <w:t>15</w:t>
      </w:r>
      <w:r>
        <w:rPr>
          <w:rFonts w:hint="eastAsia"/>
        </w:rPr>
        <w:t>分，实际得分</w:t>
      </w:r>
      <w:r>
        <w:rPr>
          <w:rFonts w:hint="eastAsia"/>
          <w:lang w:val="en-US" w:eastAsia="zh-CN"/>
        </w:rPr>
        <w:t>15</w:t>
      </w:r>
      <w:r>
        <w:rPr>
          <w:rFonts w:hint="eastAsia"/>
        </w:rPr>
        <w:t>分。</w:t>
      </w:r>
    </w:p>
    <w:p w14:paraId="51D940F9">
      <w:pPr>
        <w:pStyle w:val="33"/>
      </w:pPr>
      <w:r>
        <w:rPr>
          <w:rFonts w:hint="eastAsia"/>
        </w:rPr>
        <w:t>3.满意度指标完成情况分析</w:t>
      </w:r>
    </w:p>
    <w:p w14:paraId="577B383E">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w:t>
      </w:r>
      <w:r>
        <w:rPr>
          <w:rFonts w:hint="eastAsia" w:ascii="仿宋_GB2312" w:hAnsi="Times New Roman" w:eastAsia="仿宋_GB2312" w:cs="Times New Roman"/>
          <w:bCs/>
          <w:spacing w:val="-4"/>
          <w:sz w:val="28"/>
          <w:szCs w:val="28"/>
          <w:lang w:eastAsia="zh-CN"/>
        </w:rPr>
        <w:t>受益村民</w:t>
      </w:r>
      <w:r>
        <w:rPr>
          <w:rFonts w:hint="eastAsia" w:ascii="仿宋_GB2312" w:hAnsi="Times New Roman" w:eastAsia="仿宋_GB2312" w:cs="Times New Roman"/>
          <w:bCs/>
          <w:spacing w:val="-4"/>
          <w:sz w:val="28"/>
          <w:szCs w:val="28"/>
        </w:rPr>
        <w:t>满意度”指标，指标预期指标值为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95%，实际完成值为95%，指标完成率为100.00%。所设分值10分，实际得分10分。</w:t>
      </w:r>
    </w:p>
    <w:p w14:paraId="7A856EA0">
      <w:pPr>
        <w:pStyle w:val="29"/>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w:t>
      </w:r>
      <w:r>
        <w:rPr>
          <w:rFonts w:hint="eastAsia" w:ascii="仿宋_GB2312" w:hAnsi="Times New Roman" w:eastAsia="仿宋_GB2312" w:cs="Times New Roman"/>
          <w:b w:val="0"/>
          <w:color w:val="auto"/>
          <w:spacing w:val="-4"/>
          <w:szCs w:val="28"/>
          <w:lang w:eastAsia="zh-CN"/>
        </w:rPr>
        <w:t>受益村民</w:t>
      </w:r>
      <w:r>
        <w:rPr>
          <w:rFonts w:hint="eastAsia" w:ascii="仿宋_GB2312" w:hAnsi="Times New Roman" w:eastAsia="仿宋_GB2312" w:cs="Times New Roman"/>
          <w:b w:val="0"/>
          <w:color w:val="auto"/>
          <w:spacing w:val="-4"/>
          <w:szCs w:val="28"/>
        </w:rPr>
        <w:t>满意度指标综合满意率为95.00%。</w:t>
      </w:r>
    </w:p>
    <w:p w14:paraId="58438759">
      <w:pPr>
        <w:pStyle w:val="29"/>
        <w:spacing w:before="120"/>
        <w:ind w:left="0" w:leftChars="0" w:right="3" w:firstLine="562" w:firstLineChars="200"/>
      </w:pPr>
      <w:r>
        <w:rPr>
          <w:rFonts w:hint="eastAsia"/>
        </w:rPr>
        <w:t>四、偏离绩效目标的原因和下一步改进措施</w:t>
      </w:r>
    </w:p>
    <w:p w14:paraId="08471C7B">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_GB2312"/>
          <w:spacing w:val="-4"/>
          <w:szCs w:val="32"/>
          <w:lang w:val="en-US" w:eastAsia="zh-CN"/>
        </w:rPr>
        <w:t>1.</w:t>
      </w:r>
      <w:r>
        <w:rPr>
          <w:rFonts w:hint="eastAsia" w:ascii="仿宋" w:hAnsi="仿宋" w:eastAsia="仿宋" w:cs="仿宋"/>
          <w:b w:val="0"/>
          <w:color w:val="auto"/>
          <w:kern w:val="2"/>
          <w:sz w:val="28"/>
          <w:szCs w:val="28"/>
          <w:lang w:val="en-US" w:eastAsia="zh-CN" w:bidi="ar-SA"/>
        </w:rPr>
        <w:t>成本指标-土地平整及改良工程费用：预期指标值为小于等于16.89万元，实际完成值为15.517万元。</w:t>
      </w:r>
    </w:p>
    <w:p w14:paraId="3D65ADB6">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偏离原因：项目已验收，相关评估决算已完成，工程结余资金5.51万元。改进措施：加强项目建设资金管理。</w:t>
      </w:r>
    </w:p>
    <w:p w14:paraId="2971B1BC">
      <w:pPr>
        <w:pStyle w:val="52"/>
        <w:spacing w:line="560" w:lineRule="exact"/>
        <w:ind w:left="3" w:right="3" w:firstLine="560"/>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成本指标-其他费用：预期指标值为小于等于6.11万元，实际完成值为1.98万元。</w:t>
      </w:r>
    </w:p>
    <w:p w14:paraId="3C42D47E">
      <w:pPr>
        <w:pStyle w:val="52"/>
        <w:spacing w:line="560" w:lineRule="exact"/>
        <w:ind w:left="3" w:right="3" w:firstLine="560"/>
        <w:rPr>
          <w:rFonts w:hint="eastAsia" w:ascii="仿宋_GB2312" w:eastAsia="仿宋_GB2312"/>
          <w:spacing w:val="-4"/>
          <w:szCs w:val="32"/>
          <w:lang w:eastAsia="zh-CN"/>
        </w:rPr>
      </w:pPr>
      <w:r>
        <w:rPr>
          <w:rFonts w:hint="eastAsia" w:ascii="仿宋" w:hAnsi="仿宋" w:eastAsia="仿宋" w:cs="仿宋"/>
          <w:b w:val="0"/>
          <w:color w:val="auto"/>
          <w:kern w:val="2"/>
          <w:sz w:val="28"/>
          <w:szCs w:val="28"/>
          <w:lang w:val="en-US" w:eastAsia="zh-CN" w:bidi="ar-SA"/>
        </w:rPr>
        <w:t>偏离原因：项目已验收，相关评估决算已完成，工程结余资金5.51万元。改进措施：加强项目建设资金管理。</w:t>
      </w:r>
    </w:p>
    <w:p w14:paraId="661A1172">
      <w:pPr>
        <w:pStyle w:val="29"/>
        <w:spacing w:before="120"/>
        <w:ind w:left="0" w:leftChars="0" w:right="3" w:firstLine="562" w:firstLineChars="200"/>
      </w:pPr>
      <w:r>
        <w:rPr>
          <w:rFonts w:hint="eastAsia"/>
        </w:rPr>
        <w:t>五、绩效自评结果拟应用和公开情况</w:t>
      </w:r>
    </w:p>
    <w:p w14:paraId="7BF533B9">
      <w:pPr>
        <w:pStyle w:val="52"/>
        <w:spacing w:line="560" w:lineRule="exact"/>
        <w:ind w:left="3" w:right="3" w:firstLine="560"/>
        <w:rPr>
          <w:rFonts w:hint="eastAsia" w:ascii="仿宋_GB2312"/>
        </w:rPr>
      </w:pPr>
      <w:r>
        <w:rPr>
          <w:rFonts w:hint="eastAsia" w:ascii="仿宋_GB2312"/>
        </w:rPr>
        <w:t>项目本次评价通过文件研读、实地调研、数据采集、问卷调查方式下，全面了解</w:t>
      </w:r>
      <w:r>
        <w:rPr>
          <w:rFonts w:hint="eastAsia" w:ascii="仿宋_GB2312"/>
          <w:lang w:eastAsia="zh-CN"/>
        </w:rPr>
        <w:t>于田县喀拉克尔乡央塔克喀什村碎片化土地整合项目</w:t>
      </w:r>
      <w:r>
        <w:rPr>
          <w:rFonts w:hint="eastAsia" w:ascii="仿宋_GB2312"/>
        </w:rPr>
        <w:t>资金的使用效率和效果，从而得出以下综合评价结论：在绩效目标方面，本项目共设置一级指标3个，二级指标</w:t>
      </w:r>
      <w:r>
        <w:rPr>
          <w:rFonts w:hint="eastAsia" w:ascii="仿宋_GB2312"/>
          <w:lang w:val="en-US" w:eastAsia="zh-CN"/>
        </w:rPr>
        <w:t>7</w:t>
      </w:r>
      <w:r>
        <w:rPr>
          <w:rFonts w:hint="eastAsia" w:ascii="仿宋_GB2312"/>
        </w:rPr>
        <w:t>个，三级指标1</w:t>
      </w:r>
      <w:r>
        <w:rPr>
          <w:rFonts w:hint="eastAsia" w:ascii="仿宋_GB2312"/>
          <w:lang w:val="en-US" w:eastAsia="zh-CN"/>
        </w:rPr>
        <w:t>5</w:t>
      </w:r>
      <w:r>
        <w:rPr>
          <w:rFonts w:hint="eastAsia" w:ascii="仿宋_GB2312"/>
        </w:rPr>
        <w:t>个，其中已完成三级指标</w:t>
      </w:r>
      <w:r>
        <w:rPr>
          <w:rFonts w:hint="eastAsia" w:ascii="仿宋_GB2312"/>
          <w:lang w:val="en-US" w:eastAsia="zh-CN"/>
        </w:rPr>
        <w:t>11</w:t>
      </w:r>
      <w:r>
        <w:rPr>
          <w:rFonts w:hint="eastAsia" w:ascii="仿宋_GB2312"/>
        </w:rPr>
        <w:t>个，指标完成率为</w:t>
      </w:r>
      <w:r>
        <w:rPr>
          <w:rFonts w:hint="eastAsia" w:ascii="仿宋_GB2312"/>
          <w:lang w:val="en-US" w:eastAsia="zh-CN"/>
        </w:rPr>
        <w:t>73.33</w:t>
      </w:r>
      <w:r>
        <w:rPr>
          <w:rFonts w:hint="eastAsia" w:ascii="仿宋_GB2312"/>
        </w:rPr>
        <w:t>%；在资金使用方面，严格按照《于田县</w:t>
      </w:r>
      <w:r>
        <w:rPr>
          <w:rFonts w:hint="eastAsia" w:ascii="仿宋_GB2312"/>
          <w:lang w:val="en-US" w:eastAsia="zh-CN"/>
        </w:rPr>
        <w:t>衔接</w:t>
      </w:r>
      <w:r>
        <w:rPr>
          <w:rFonts w:hint="eastAsia" w:ascii="仿宋_GB2312"/>
        </w:rPr>
        <w:t>资金财务管理制度》、《</w:t>
      </w:r>
      <w:r>
        <w:rPr>
          <w:rFonts w:hint="eastAsia" w:ascii="仿宋_GB2312"/>
          <w:lang w:val="en-US" w:eastAsia="zh-CN"/>
        </w:rPr>
        <w:t>于田县喀拉克尔乡人民政府</w:t>
      </w:r>
      <w:r>
        <w:rPr>
          <w:rFonts w:hint="eastAsia" w:ascii="仿宋_GB2312"/>
        </w:rPr>
        <w:t>财务管理制度》执行，保障了资金使用规范、安全，无挪用、截留资金的情况发生。在项目管理方面，制定了《</w:t>
      </w:r>
      <w:r>
        <w:rPr>
          <w:rFonts w:hint="eastAsia" w:ascii="仿宋_GB2312"/>
          <w:lang w:eastAsia="zh-CN"/>
        </w:rPr>
        <w:t>于田县喀拉克尔乡央塔克喀什村碎片化土地整合项目</w:t>
      </w:r>
      <w:r>
        <w:rPr>
          <w:rFonts w:hint="eastAsia" w:ascii="仿宋_GB2312"/>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5A992E46">
      <w:pPr>
        <w:pStyle w:val="52"/>
        <w:spacing w:line="560" w:lineRule="exact"/>
        <w:ind w:left="3" w:right="3" w:firstLine="560"/>
        <w:rPr>
          <w:rFonts w:hint="eastAsia" w:ascii="仿宋_GB2312"/>
        </w:rPr>
      </w:pPr>
      <w:r>
        <w:rPr>
          <w:rFonts w:hint="eastAsia" w:ascii="仿宋_GB2312"/>
        </w:rPr>
        <w:t>项目最终得分为</w:t>
      </w:r>
      <w:r>
        <w:rPr>
          <w:rFonts w:hint="eastAsia" w:ascii="仿宋_GB2312"/>
          <w:lang w:val="en-US" w:eastAsia="zh-CN"/>
        </w:rPr>
        <w:t>92.76</w:t>
      </w:r>
      <w:r>
        <w:rPr>
          <w:rFonts w:hint="eastAsia" w:ascii="仿宋_GB2312"/>
        </w:rPr>
        <w:t>分，评价等级为优。</w:t>
      </w:r>
    </w:p>
    <w:p w14:paraId="0F655C26">
      <w:pPr>
        <w:pStyle w:val="52"/>
        <w:spacing w:line="560" w:lineRule="exact"/>
        <w:ind w:left="3" w:right="3" w:firstLine="554"/>
        <w:rPr>
          <w:rStyle w:val="19"/>
          <w:rFonts w:ascii="楷体_GB2312" w:hAnsi="楷体"/>
          <w:spacing w:val="-4"/>
          <w:szCs w:val="32"/>
        </w:rPr>
      </w:pPr>
      <w:r>
        <w:rPr>
          <w:rStyle w:val="19"/>
          <w:rFonts w:hint="eastAsia" w:ascii="楷体_GB2312" w:hAnsi="楷体"/>
          <w:spacing w:val="-4"/>
          <w:szCs w:val="32"/>
        </w:rPr>
        <w:t>（一）绩效自评结果拟应用情况</w:t>
      </w:r>
    </w:p>
    <w:p w14:paraId="4E8220CA">
      <w:pPr>
        <w:pStyle w:val="52"/>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61494DD6">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（二）指标佐证材料说明</w:t>
      </w:r>
    </w:p>
    <w:p w14:paraId="50475926">
      <w:pPr>
        <w:pStyle w:val="52"/>
        <w:spacing w:line="560" w:lineRule="exact"/>
        <w:ind w:left="3" w:right="3" w:firstLine="560"/>
        <w:rPr>
          <w:rFonts w:ascii="仿宋_GB2312"/>
        </w:rPr>
      </w:pPr>
      <w:r>
        <w:rPr>
          <w:rFonts w:hint="eastAsia" w:ascii="仿宋_GB2312"/>
        </w:rPr>
        <w:t>项目状况：由于田县</w:t>
      </w:r>
      <w:r>
        <w:rPr>
          <w:rFonts w:hint="eastAsia" w:ascii="仿宋_GB2312"/>
          <w:lang w:val="en-US" w:eastAsia="zh-CN"/>
        </w:rPr>
        <w:t>喀拉克尔乡人民政府</w:t>
      </w:r>
      <w:r>
        <w:rPr>
          <w:rFonts w:hint="eastAsia" w:ascii="仿宋_GB2312"/>
        </w:rPr>
        <w:t>负责项目的实施方案，并由于田县</w:t>
      </w:r>
      <w:r>
        <w:rPr>
          <w:rFonts w:hint="eastAsia" w:ascii="仿宋_GB2312"/>
          <w:lang w:eastAsia="zh-CN"/>
        </w:rPr>
        <w:t>农业农村</w:t>
      </w:r>
      <w:r>
        <w:rPr>
          <w:rFonts w:hint="eastAsia" w:ascii="仿宋_GB2312"/>
        </w:rPr>
        <w:t>局、于田县财政局审核后，下发了</w:t>
      </w:r>
      <w:r>
        <w:rPr>
          <w:rFonts w:hint="eastAsia" w:ascii="仿宋_GB2312" w:hAnsi="Times New Roman" w:eastAsia="仿宋_GB2312" w:cs="Times New Roman"/>
          <w:color w:val="000000"/>
          <w:sz w:val="28"/>
          <w:szCs w:val="32"/>
          <w:lang w:val="en-US" w:eastAsia="zh-CN"/>
        </w:rPr>
        <w:t>《关于对〈</w:t>
      </w:r>
      <w:r>
        <w:rPr>
          <w:rFonts w:hint="eastAsia" w:ascii="仿宋_GB2312" w:cs="Times New Roman"/>
          <w:color w:val="000000"/>
          <w:sz w:val="28"/>
          <w:szCs w:val="32"/>
          <w:lang w:val="en-US" w:eastAsia="zh-CN"/>
        </w:rPr>
        <w:t>于田县喀拉克尔乡央塔克喀什村碎片化土地整合项目</w:t>
      </w:r>
      <w:r>
        <w:rPr>
          <w:rFonts w:hint="eastAsia" w:ascii="仿宋_GB2312" w:hAnsi="Times New Roman" w:eastAsia="仿宋_GB2312" w:cs="Times New Roman"/>
          <w:color w:val="000000"/>
          <w:sz w:val="28"/>
          <w:szCs w:val="32"/>
          <w:lang w:val="en-US" w:eastAsia="zh-CN"/>
        </w:rPr>
        <w:t>实施方案〉的批复》（</w:t>
      </w:r>
      <w:r>
        <w:rPr>
          <w:rFonts w:hint="eastAsia" w:ascii="仿宋_GB2312" w:cs="Times New Roman"/>
          <w:color w:val="000000"/>
          <w:sz w:val="28"/>
          <w:szCs w:val="32"/>
          <w:lang w:val="en-US" w:eastAsia="zh-CN"/>
        </w:rPr>
        <w:t>于农村项目〔2024〕09号</w:t>
      </w:r>
      <w:r>
        <w:rPr>
          <w:rFonts w:hint="eastAsia" w:ascii="仿宋_GB2312" w:hAnsi="Times New Roman" w:eastAsia="仿宋_GB2312" w:cs="Times New Roman"/>
          <w:color w:val="000000"/>
          <w:sz w:val="28"/>
          <w:szCs w:val="32"/>
          <w:lang w:val="en-US" w:eastAsia="zh-CN"/>
        </w:rPr>
        <w:t>）</w:t>
      </w:r>
      <w:r>
        <w:rPr>
          <w:rFonts w:hint="eastAsia" w:ascii="仿宋_GB2312"/>
        </w:rPr>
        <w:t>。</w:t>
      </w:r>
    </w:p>
    <w:p w14:paraId="38B05196">
      <w:pPr>
        <w:pStyle w:val="52"/>
        <w:spacing w:line="560" w:lineRule="exact"/>
        <w:ind w:left="3" w:right="3" w:firstLine="560"/>
        <w:rPr>
          <w:rFonts w:hint="eastAsia" w:ascii="仿宋_GB2312"/>
        </w:rPr>
      </w:pPr>
      <w:r>
        <w:rPr>
          <w:rFonts w:hint="eastAsia" w:ascii="仿宋_GB2312"/>
        </w:rPr>
        <w:t>资金状况：预算资金来源为</w:t>
      </w:r>
      <w:r>
        <w:rPr>
          <w:rFonts w:hint="eastAsia" w:ascii="仿宋_GB2312"/>
          <w:lang w:val="en-US" w:eastAsia="zh-CN"/>
        </w:rPr>
        <w:t>乡村振兴衔接</w:t>
      </w:r>
      <w:r>
        <w:rPr>
          <w:rFonts w:hint="eastAsia" w:ascii="仿宋_GB2312"/>
        </w:rPr>
        <w:t>资金，文件依据：根据 202</w:t>
      </w:r>
      <w:r>
        <w:rPr>
          <w:rFonts w:hint="eastAsia" w:ascii="仿宋_GB2312"/>
          <w:lang w:val="en-US" w:eastAsia="zh-CN"/>
        </w:rPr>
        <w:t>4</w:t>
      </w:r>
      <w:r>
        <w:rPr>
          <w:rFonts w:hint="eastAsia" w:ascii="仿宋_GB2312"/>
        </w:rPr>
        <w:t>年</w:t>
      </w:r>
      <w:r>
        <w:rPr>
          <w:rFonts w:hint="eastAsia" w:ascii="仿宋_GB2312"/>
          <w:lang w:val="en-US" w:eastAsia="zh-CN"/>
        </w:rPr>
        <w:t>4</w:t>
      </w:r>
      <w:r>
        <w:rPr>
          <w:rFonts w:hint="eastAsia" w:ascii="仿宋_GB2312"/>
        </w:rPr>
        <w:t>月</w:t>
      </w:r>
      <w:r>
        <w:rPr>
          <w:rFonts w:hint="eastAsia" w:ascii="仿宋_GB2312"/>
          <w:lang w:val="en-US" w:eastAsia="zh-CN"/>
        </w:rPr>
        <w:t>22</w:t>
      </w:r>
      <w:r>
        <w:rPr>
          <w:rFonts w:hint="eastAsia" w:ascii="仿宋_GB2312"/>
        </w:rPr>
        <w:t>日，新疆维吾尔自治区和田地区财政局文件《关于下达</w:t>
      </w:r>
      <w:r>
        <w:rPr>
          <w:rFonts w:hint="eastAsia" w:ascii="仿宋_GB2312"/>
          <w:lang w:eastAsia="zh-CN"/>
        </w:rPr>
        <w:t>2024</w:t>
      </w:r>
      <w:r>
        <w:rPr>
          <w:rFonts w:hint="eastAsia" w:ascii="仿宋_GB2312"/>
        </w:rPr>
        <w:t>年</w:t>
      </w:r>
      <w:r>
        <w:rPr>
          <w:rFonts w:hint="eastAsia" w:ascii="仿宋_GB2312"/>
          <w:lang w:eastAsia="zh-CN"/>
        </w:rPr>
        <w:t>自治区财政</w:t>
      </w:r>
      <w:r>
        <w:rPr>
          <w:rFonts w:hint="eastAsia" w:ascii="仿宋_GB2312"/>
        </w:rPr>
        <w:t>衔接推进乡村振兴补助资金</w:t>
      </w:r>
      <w:r>
        <w:rPr>
          <w:rFonts w:hint="eastAsia" w:ascii="仿宋_GB2312"/>
          <w:lang w:eastAsia="zh-CN"/>
        </w:rPr>
        <w:t>（巩固拓展脱贫攻坚成果和乡村振兴任务）</w:t>
      </w:r>
      <w:r>
        <w:rPr>
          <w:rFonts w:hint="eastAsia" w:ascii="仿宋_GB2312"/>
        </w:rPr>
        <w:t>预算的通知》(和地财农</w:t>
      </w:r>
      <w:r>
        <w:rPr>
          <w:rFonts w:hint="eastAsia" w:ascii="仿宋_GB2312" w:cs="Times New Roman"/>
          <w:color w:val="000000"/>
          <w:sz w:val="28"/>
          <w:szCs w:val="32"/>
          <w:lang w:val="en-US" w:eastAsia="zh-CN"/>
        </w:rPr>
        <w:t>〔2024〕</w:t>
      </w:r>
      <w:r>
        <w:rPr>
          <w:rFonts w:hint="eastAsia" w:ascii="仿宋_GB2312"/>
          <w:lang w:val="en-US" w:eastAsia="zh-CN"/>
        </w:rPr>
        <w:t>04</w:t>
      </w:r>
      <w:r>
        <w:rPr>
          <w:rFonts w:hint="eastAsia" w:ascii="仿宋_GB2312"/>
        </w:rPr>
        <w:t>号)。</w:t>
      </w:r>
    </w:p>
    <w:p w14:paraId="6998AC5E">
      <w:pPr>
        <w:pStyle w:val="52"/>
        <w:spacing w:line="560" w:lineRule="exact"/>
        <w:ind w:left="3" w:right="3" w:firstLine="560"/>
        <w:rPr>
          <w:rFonts w:hint="eastAsia" w:ascii="仿宋_GB2312"/>
        </w:rPr>
      </w:pPr>
      <w:r>
        <w:rPr>
          <w:rFonts w:hint="eastAsia" w:ascii="仿宋_GB2312"/>
        </w:rPr>
        <w:t>过程状况</w:t>
      </w:r>
      <w:r>
        <w:rPr>
          <w:rFonts w:hint="eastAsia" w:ascii="仿宋_GB2312"/>
          <w:lang w:eastAsia="zh-CN"/>
        </w:rPr>
        <w:t>：</w:t>
      </w:r>
      <w:r>
        <w:rPr>
          <w:rFonts w:hint="eastAsia" w:ascii="仿宋_GB2312"/>
        </w:rPr>
        <w:t>工程按照政采云采购流程，于田县喀拉克尔乡人民政府在政采云平台发布采购公告，于2024年6月26日在政采云平台下单确定施工单位为新疆智友建设工程有限公司。</w:t>
      </w:r>
    </w:p>
    <w:p w14:paraId="15C65F39">
      <w:pPr>
        <w:pStyle w:val="52"/>
        <w:spacing w:line="560" w:lineRule="exact"/>
        <w:ind w:left="3" w:right="3" w:firstLine="560"/>
        <w:rPr>
          <w:rFonts w:hint="eastAsia" w:ascii="仿宋_GB2312"/>
        </w:rPr>
      </w:pPr>
      <w:r>
        <w:rPr>
          <w:rFonts w:hint="eastAsia" w:ascii="仿宋_GB2312"/>
        </w:rPr>
        <w:t>工程合同</w:t>
      </w:r>
      <w:r>
        <w:rPr>
          <w:rFonts w:hint="eastAsia" w:ascii="仿宋_GB2312"/>
          <w:lang w:eastAsia="zh-CN"/>
        </w:rPr>
        <w:t>：</w:t>
      </w:r>
      <w:r>
        <w:rPr>
          <w:rFonts w:hint="eastAsia" w:ascii="仿宋_GB2312"/>
        </w:rPr>
        <w:t>2024年6月10日，于田县喀拉克尔乡人民政府与新疆金土地测绘工程有限公司签订测绘合同（合同价3,000.00元）；2024年6月15日，于田县喀拉克尔乡人民政府与中晏建设集团有限公司签订设计合同（合同价10,000.00元）；2024年6月27日, 于田县喀拉克尔乡人民政府与新疆智友建设工程有限公司签订施工合同（合同价168,468.55元）；2024年6月27日，于田县喀拉克尔乡人民政府与新疆泽信工程管理有限公司签订监理合同（合同价5,000.00元）；2024年8月13日，于田县喀拉克尔乡人民政府与新疆方中圆工程项目管理有限公司签订造价审核合同（合同价769.00元）；2024年8月15日，于田县喀拉克尔乡人民政府与新疆方中圆会计师事务所合伙企业（普通合伙）签订财务审核合同（合同价1,000.00元）。</w:t>
      </w:r>
    </w:p>
    <w:p w14:paraId="2F16DF1F">
      <w:pPr>
        <w:pStyle w:val="52"/>
        <w:spacing w:line="560" w:lineRule="exact"/>
        <w:ind w:left="3" w:right="3" w:firstLine="560"/>
        <w:rPr>
          <w:rFonts w:hint="eastAsia" w:ascii="仿宋_GB2312"/>
        </w:rPr>
      </w:pPr>
      <w:r>
        <w:rPr>
          <w:rFonts w:hint="eastAsia" w:ascii="仿宋_GB2312"/>
          <w:highlight w:val="none"/>
        </w:rPr>
        <w:t>工程施工</w:t>
      </w:r>
      <w:r>
        <w:rPr>
          <w:rFonts w:hint="eastAsia" w:ascii="仿宋_GB2312"/>
          <w:highlight w:val="none"/>
          <w:lang w:eastAsia="zh-CN"/>
        </w:rPr>
        <w:t>：</w:t>
      </w:r>
      <w:r>
        <w:rPr>
          <w:rFonts w:hint="eastAsia" w:ascii="仿宋_GB2312"/>
          <w:highlight w:val="none"/>
        </w:rPr>
        <w:t>于田县喀拉克尔乡央塔克喀什村碎片化土地整合项目于2024年</w:t>
      </w:r>
      <w:r>
        <w:rPr>
          <w:rFonts w:hint="eastAsia" w:ascii="仿宋_GB2312"/>
          <w:highlight w:val="none"/>
          <w:lang w:val="en-US" w:eastAsia="zh-CN"/>
        </w:rPr>
        <w:t>7</w:t>
      </w:r>
      <w:r>
        <w:rPr>
          <w:rFonts w:hint="eastAsia" w:ascii="仿宋_GB2312"/>
          <w:highlight w:val="none"/>
        </w:rPr>
        <w:t>月</w:t>
      </w:r>
      <w:r>
        <w:rPr>
          <w:rFonts w:hint="eastAsia" w:ascii="仿宋_GB2312"/>
          <w:highlight w:val="none"/>
          <w:lang w:val="en-US" w:eastAsia="zh-CN"/>
        </w:rPr>
        <w:t>开工</w:t>
      </w:r>
      <w:r>
        <w:rPr>
          <w:rFonts w:hint="eastAsia" w:ascii="仿宋_GB2312"/>
          <w:highlight w:val="none"/>
        </w:rPr>
        <w:t>，2024年8月</w:t>
      </w:r>
      <w:r>
        <w:rPr>
          <w:rFonts w:hint="eastAsia" w:ascii="仿宋_GB2312"/>
          <w:highlight w:val="none"/>
          <w:lang w:val="en-US" w:eastAsia="zh-CN"/>
        </w:rPr>
        <w:t>完工</w:t>
      </w:r>
      <w:r>
        <w:rPr>
          <w:rFonts w:hint="eastAsia" w:ascii="仿宋_GB2312"/>
          <w:highlight w:val="none"/>
        </w:rPr>
        <w:t>。在工</w:t>
      </w:r>
      <w:r>
        <w:rPr>
          <w:rFonts w:hint="eastAsia" w:ascii="仿宋_GB2312"/>
        </w:rPr>
        <w:t>程建设中，施工单位建立了较好的质量保证体系，施工中基本遵守施工规范，质量检查执行“三检制”，实行项目法人对工程质量总负责制、工程监理制和工程合同管理制。经过建设单位、设计单位、监理单位、施工单位等参建各方的努力，按设计要求，完成了工程建设内容，工程进度按计划如期完工，施工质量达到了设计要求，工程发挥了预期的社会、经济效益。</w:t>
      </w:r>
    </w:p>
    <w:p w14:paraId="25FDA917">
      <w:pPr>
        <w:pStyle w:val="52"/>
        <w:spacing w:line="560" w:lineRule="exact"/>
        <w:ind w:left="3" w:right="3" w:firstLine="560"/>
        <w:rPr>
          <w:rFonts w:ascii="仿宋_GB2312"/>
        </w:rPr>
      </w:pPr>
      <w:r>
        <w:rPr>
          <w:rFonts w:hint="eastAsia" w:ascii="仿宋_GB2312"/>
        </w:rPr>
        <w:t>结果状况：</w:t>
      </w:r>
      <w:r>
        <w:rPr>
          <w:rFonts w:hint="eastAsia" w:ascii="仿宋_GB2312"/>
          <w:lang w:eastAsia="zh-CN"/>
        </w:rPr>
        <w:t>2024</w:t>
      </w:r>
      <w:r>
        <w:rPr>
          <w:rFonts w:hint="eastAsia" w:ascii="仿宋_GB2312"/>
        </w:rPr>
        <w:t>年</w:t>
      </w:r>
      <w:r>
        <w:rPr>
          <w:rFonts w:hint="eastAsia" w:ascii="仿宋_GB2312"/>
          <w:lang w:val="en-US" w:eastAsia="zh-CN"/>
        </w:rPr>
        <w:t>9</w:t>
      </w:r>
      <w:r>
        <w:rPr>
          <w:rFonts w:hint="eastAsia" w:ascii="仿宋_GB2312"/>
        </w:rPr>
        <w:t>月</w:t>
      </w:r>
      <w:r>
        <w:rPr>
          <w:rFonts w:hint="eastAsia" w:ascii="仿宋_GB2312"/>
          <w:lang w:val="en-US" w:eastAsia="zh-CN"/>
        </w:rPr>
        <w:t>9</w:t>
      </w:r>
      <w:r>
        <w:rPr>
          <w:rFonts w:hint="eastAsia" w:ascii="仿宋_GB2312"/>
        </w:rPr>
        <w:t>日，由于田县</w:t>
      </w:r>
      <w:r>
        <w:rPr>
          <w:rFonts w:hint="eastAsia" w:ascii="仿宋_GB2312"/>
          <w:lang w:eastAsia="zh-CN"/>
        </w:rPr>
        <w:t>农业农村</w:t>
      </w:r>
      <w:r>
        <w:rPr>
          <w:rFonts w:hint="eastAsia" w:ascii="仿宋_GB2312"/>
        </w:rPr>
        <w:t>局主持</w:t>
      </w:r>
      <w:r>
        <w:rPr>
          <w:rFonts w:hint="eastAsia" w:ascii="仿宋_GB2312"/>
          <w:lang w:eastAsia="zh-CN"/>
        </w:rPr>
        <w:t>，</w:t>
      </w:r>
      <w:r>
        <w:rPr>
          <w:rFonts w:hint="eastAsia" w:ascii="仿宋_GB2312"/>
        </w:rPr>
        <w:t>会同于田县喀拉克尔乡人民政府</w:t>
      </w:r>
      <w:r>
        <w:rPr>
          <w:rFonts w:hint="eastAsia" w:ascii="仿宋_GB2312"/>
          <w:lang w:eastAsia="zh-CN"/>
        </w:rPr>
        <w:t>、</w:t>
      </w:r>
      <w:r>
        <w:rPr>
          <w:rFonts w:hint="eastAsia" w:ascii="仿宋_GB2312"/>
        </w:rPr>
        <w:t>于田县乡村振兴局、于田县财政局和于田县档案局</w:t>
      </w:r>
      <w:r>
        <w:rPr>
          <w:rFonts w:hint="eastAsia" w:ascii="仿宋_GB2312"/>
          <w:lang w:val="en-US" w:eastAsia="zh-CN"/>
        </w:rPr>
        <w:t>和</w:t>
      </w:r>
      <w:r>
        <w:rPr>
          <w:rFonts w:hint="eastAsia" w:ascii="仿宋_GB2312"/>
        </w:rPr>
        <w:t>参建单位联合竣工验收</w:t>
      </w:r>
      <w:r>
        <w:rPr>
          <w:rFonts w:hint="eastAsia" w:ascii="仿宋_GB2312"/>
          <w:lang w:eastAsia="zh-CN"/>
        </w:rPr>
        <w:t>，</w:t>
      </w:r>
      <w:r>
        <w:rPr>
          <w:rFonts w:hint="eastAsia" w:ascii="仿宋_GB2312"/>
        </w:rPr>
        <w:t>结果状况：合格。</w:t>
      </w:r>
    </w:p>
    <w:p w14:paraId="45D752AD">
      <w:pPr>
        <w:pStyle w:val="52"/>
        <w:spacing w:line="560" w:lineRule="exact"/>
        <w:ind w:left="3" w:right="3" w:firstLine="562"/>
        <w:rPr>
          <w:rStyle w:val="19"/>
          <w:rFonts w:ascii="楷体_GB2312"/>
        </w:rPr>
      </w:pPr>
      <w:r>
        <w:rPr>
          <w:rStyle w:val="19"/>
          <w:rFonts w:hint="eastAsia" w:ascii="楷体_GB2312"/>
        </w:rPr>
        <w:t>（三）主要经验及做法</w:t>
      </w:r>
    </w:p>
    <w:p w14:paraId="40A7E2F6">
      <w:pPr>
        <w:spacing w:line="560" w:lineRule="exact"/>
        <w:ind w:firstLine="560" w:firstLineChars="200"/>
        <w:rPr>
          <w:rFonts w:hint="eastAsia" w:ascii="仿宋_GB2312" w:hAnsi="Times New Roman" w:eastAsia="仿宋_GB2312" w:cs="Times New Roman"/>
          <w:color w:val="000000"/>
          <w:sz w:val="28"/>
        </w:rPr>
      </w:pPr>
      <w:bookmarkStart w:id="0" w:name="OLE_LINK1"/>
      <w:r>
        <w:rPr>
          <w:rFonts w:hint="eastAsia" w:ascii="仿宋_GB2312" w:hAnsi="Times New Roman" w:eastAsia="仿宋_GB2312" w:cs="Times New Roman"/>
          <w:color w:val="000000"/>
          <w:sz w:val="28"/>
          <w:lang w:eastAsia="zh-CN"/>
        </w:rPr>
        <w:t>2024</w:t>
      </w:r>
      <w:r>
        <w:rPr>
          <w:rFonts w:hint="eastAsia" w:ascii="仿宋_GB2312" w:hAnsi="Times New Roman" w:eastAsia="仿宋_GB2312" w:cs="Times New Roman"/>
          <w:color w:val="000000"/>
          <w:sz w:val="28"/>
        </w:rPr>
        <w:t>年</w:t>
      </w:r>
      <w:r>
        <w:rPr>
          <w:rFonts w:hint="eastAsia" w:ascii="仿宋_GB2312" w:hAnsi="Times New Roman" w:eastAsia="仿宋_GB2312" w:cs="Times New Roman"/>
          <w:color w:val="000000"/>
          <w:sz w:val="28"/>
          <w:lang w:eastAsia="zh-CN"/>
        </w:rPr>
        <w:t>于田县喀拉克尔乡央塔克喀什村碎片化土地整合项目</w:t>
      </w:r>
      <w:bookmarkEnd w:id="0"/>
      <w:r>
        <w:rPr>
          <w:rFonts w:hint="eastAsia" w:ascii="仿宋_GB2312" w:hAnsi="Times New Roman" w:eastAsia="仿宋_GB2312" w:cs="Times New Roman"/>
          <w:color w:val="000000"/>
          <w:sz w:val="28"/>
        </w:rPr>
        <w:t>资金安排、使用过程中严格执行乡村振兴项目资金管理制度，确保乡村振兴项目正常运行为构建长效稳定奠定物质基础。</w:t>
      </w:r>
    </w:p>
    <w:p w14:paraId="1B3800F6">
      <w:pPr>
        <w:spacing w:line="560" w:lineRule="exact"/>
        <w:ind w:firstLine="562" w:firstLineChars="200"/>
        <w:rPr>
          <w:rStyle w:val="19"/>
          <w:rFonts w:ascii="楷体_GB2312"/>
          <w:sz w:val="28"/>
        </w:rPr>
      </w:pPr>
      <w:r>
        <w:rPr>
          <w:rStyle w:val="19"/>
          <w:rFonts w:hint="eastAsia" w:ascii="楷体_GB2312"/>
          <w:sz w:val="28"/>
        </w:rPr>
        <w:t>（四）存在的问题</w:t>
      </w:r>
    </w:p>
    <w:p w14:paraId="38BD2237">
      <w:pPr>
        <w:spacing w:line="560" w:lineRule="exact"/>
        <w:ind w:firstLine="560" w:firstLineChars="200"/>
        <w:rPr>
          <w:rFonts w:hint="eastAsia" w:ascii="仿宋_GB2312" w:hAnsi="Times New Roman" w:eastAsia="仿宋_GB2312" w:cs="Times New Roman"/>
          <w:color w:val="000000"/>
          <w:sz w:val="28"/>
          <w:lang w:val="en-US" w:eastAsia="zh-CN"/>
        </w:rPr>
      </w:pPr>
      <w:r>
        <w:rPr>
          <w:rFonts w:hint="eastAsia" w:ascii="仿宋_GB2312" w:hAnsi="Times New Roman" w:eastAsia="仿宋_GB2312" w:cs="Times New Roman"/>
          <w:color w:val="000000"/>
          <w:sz w:val="28"/>
          <w:lang w:eastAsia="zh-CN"/>
        </w:rPr>
        <w:t>2024</w:t>
      </w:r>
      <w:r>
        <w:rPr>
          <w:rFonts w:hint="eastAsia" w:ascii="仿宋_GB2312" w:hAnsi="Times New Roman" w:eastAsia="仿宋_GB2312" w:cs="Times New Roman"/>
          <w:color w:val="000000"/>
          <w:sz w:val="28"/>
        </w:rPr>
        <w:t>年</w:t>
      </w:r>
      <w:r>
        <w:rPr>
          <w:rFonts w:hint="eastAsia" w:ascii="仿宋_GB2312" w:hAnsi="Times New Roman" w:eastAsia="仿宋_GB2312" w:cs="Times New Roman"/>
          <w:color w:val="000000"/>
          <w:sz w:val="28"/>
          <w:lang w:eastAsia="zh-CN"/>
        </w:rPr>
        <w:t>于田县喀拉克尔乡央塔克喀什村碎片化土地整合项目</w:t>
      </w:r>
      <w:r>
        <w:rPr>
          <w:rFonts w:hint="eastAsia" w:ascii="仿宋_GB2312" w:hAnsi="Times New Roman" w:eastAsia="仿宋_GB2312" w:cs="Times New Roman"/>
          <w:color w:val="000000"/>
          <w:sz w:val="28"/>
        </w:rPr>
        <w:t>资金安排、使用过程中存在一些问题，主要是资金申报，审批，发放过程中存在对资金拨付缓慢问题。</w:t>
      </w:r>
    </w:p>
    <w:p w14:paraId="5CBDD0E2">
      <w:pPr>
        <w:spacing w:line="560" w:lineRule="exact"/>
        <w:ind w:firstLine="562" w:firstLineChars="200"/>
        <w:rPr>
          <w:rStyle w:val="19"/>
          <w:rFonts w:ascii="楷体_GB2312"/>
          <w:sz w:val="28"/>
        </w:rPr>
      </w:pPr>
      <w:r>
        <w:rPr>
          <w:rStyle w:val="19"/>
          <w:rFonts w:hint="eastAsia" w:ascii="楷体_GB2312"/>
          <w:sz w:val="28"/>
        </w:rPr>
        <w:t>（五）建议</w:t>
      </w:r>
    </w:p>
    <w:p w14:paraId="45FD5670">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2980A0DD">
      <w:pPr>
        <w:spacing w:line="560" w:lineRule="exact"/>
        <w:ind w:firstLine="562" w:firstLineChars="200"/>
        <w:rPr>
          <w:rStyle w:val="19"/>
          <w:rFonts w:ascii="楷体_GB2312"/>
          <w:sz w:val="28"/>
        </w:rPr>
      </w:pPr>
      <w:r>
        <w:rPr>
          <w:rStyle w:val="19"/>
          <w:rFonts w:hint="eastAsia" w:ascii="楷体_GB2312"/>
          <w:sz w:val="28"/>
        </w:rPr>
        <w:t>（六）项目绩效公告公示情况</w:t>
      </w:r>
    </w:p>
    <w:p w14:paraId="615582C2">
      <w:pPr>
        <w:pStyle w:val="52"/>
        <w:spacing w:line="560" w:lineRule="exact"/>
        <w:ind w:left="3" w:right="3" w:firstLine="560"/>
      </w:pPr>
      <w:r>
        <w:rPr>
          <w:rFonts w:hint="eastAsia" w:ascii="仿宋_GB231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0E1F4877">
        <w:pPr>
          <w:pStyle w:val="13"/>
          <w:jc w:val="center"/>
        </w:pPr>
        <w:r>
          <w:fldChar w:fldCharType="begin"/>
        </w:r>
        <w:r>
          <w:instrText xml:space="preserve">PAGE   \* MERGEFORMAT</w:instrText>
        </w:r>
        <w:r>
          <w:fldChar w:fldCharType="separate"/>
        </w:r>
        <w:r>
          <w:rPr>
            <w:lang w:val="zh-CN"/>
          </w:rPr>
          <w:t>1</w:t>
        </w:r>
        <w:r>
          <w:fldChar w:fldCharType="end"/>
        </w:r>
      </w:p>
    </w:sdtContent>
  </w:sdt>
  <w:p w14:paraId="7875AB18">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5DAC5">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6463ED3"/>
    <w:rsid w:val="072C65A3"/>
    <w:rsid w:val="0AE5762E"/>
    <w:rsid w:val="0C0069E9"/>
    <w:rsid w:val="0DE67368"/>
    <w:rsid w:val="106C6122"/>
    <w:rsid w:val="176D7A1A"/>
    <w:rsid w:val="18025D48"/>
    <w:rsid w:val="19BD77ED"/>
    <w:rsid w:val="1BDA0979"/>
    <w:rsid w:val="2B717C75"/>
    <w:rsid w:val="31185D16"/>
    <w:rsid w:val="3222744D"/>
    <w:rsid w:val="3291127B"/>
    <w:rsid w:val="3E982E81"/>
    <w:rsid w:val="465B1452"/>
    <w:rsid w:val="48266031"/>
    <w:rsid w:val="4AF5487E"/>
    <w:rsid w:val="4F6C0E98"/>
    <w:rsid w:val="53372113"/>
    <w:rsid w:val="563B5F56"/>
    <w:rsid w:val="5854520D"/>
    <w:rsid w:val="5EC02852"/>
    <w:rsid w:val="651224D3"/>
    <w:rsid w:val="6963161D"/>
    <w:rsid w:val="77254E94"/>
    <w:rsid w:val="79FE5263"/>
    <w:rsid w:val="7CCF71EF"/>
    <w:rsid w:val="7FAF0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2"/>
    <w:qFormat/>
    <w:locked/>
    <w:uiPriority w:val="9"/>
    <w:rPr>
      <w:b/>
      <w:bCs/>
      <w:kern w:val="44"/>
      <w:sz w:val="44"/>
      <w:szCs w:val="44"/>
    </w:rPr>
  </w:style>
  <w:style w:type="character" w:customStyle="1" w:styleId="22">
    <w:name w:val="标题 2 Char"/>
    <w:basedOn w:val="18"/>
    <w:link w:val="3"/>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4"/>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2"/>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3"/>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4"/>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5792</Words>
  <Characters>6364</Characters>
  <Lines>9</Lines>
  <Paragraphs>15</Paragraphs>
  <TotalTime>1</TotalTime>
  <ScaleCrop>false</ScaleCrop>
  <LinksUpToDate>false</LinksUpToDate>
  <CharactersWithSpaces>6667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2025-12-15T10:11:14Z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ies>
</file>