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189762F">
      <w:pPr>
        <w:spacing w:before="120" w:after="120" w:line="480" w:lineRule="auto"/>
        <w:ind w:firstLine="883" w:firstLineChars="200"/>
        <w:jc w:val="center"/>
        <w:outlineLvl w:val="0"/>
        <w:rPr>
          <w:rFonts w:ascii="仿宋_GB2312" w:hAnsi="Arial"/>
          <w:b/>
          <w:sz w:val="44"/>
          <w:szCs w:val="44"/>
        </w:rPr>
      </w:pPr>
    </w:p>
    <w:p w14:paraId="24E5EC6F">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65DEFFFC">
      <w:pPr>
        <w:spacing w:line="700" w:lineRule="exact"/>
        <w:ind w:firstLine="1040" w:firstLineChars="200"/>
        <w:jc w:val="center"/>
        <w:rPr>
          <w:rFonts w:ascii="方正大标宋简体" w:hAnsi="华文中宋" w:eastAsia="方正大标宋简体" w:cs="宋体"/>
          <w:kern w:val="0"/>
          <w:sz w:val="52"/>
          <w:szCs w:val="52"/>
        </w:rPr>
      </w:pPr>
    </w:p>
    <w:p w14:paraId="7F1BB06D">
      <w:pPr>
        <w:spacing w:line="540" w:lineRule="exact"/>
        <w:ind w:firstLine="800" w:firstLineChars="200"/>
        <w:jc w:val="center"/>
        <w:rPr>
          <w:rFonts w:hAnsi="宋体" w:cs="宋体"/>
          <w:color w:val="auto"/>
          <w:kern w:val="0"/>
          <w:sz w:val="40"/>
          <w:szCs w:val="40"/>
        </w:rPr>
      </w:pPr>
      <w:r>
        <w:rPr>
          <w:rFonts w:hint="eastAsia" w:hAnsi="宋体" w:cs="宋体"/>
          <w:color w:val="auto"/>
          <w:kern w:val="0"/>
          <w:sz w:val="40"/>
          <w:szCs w:val="40"/>
        </w:rPr>
        <w:t>（202</w:t>
      </w:r>
      <w:r>
        <w:rPr>
          <w:rFonts w:hint="eastAsia" w:hAnsi="宋体" w:cs="宋体"/>
          <w:color w:val="auto"/>
          <w:kern w:val="0"/>
          <w:sz w:val="40"/>
          <w:szCs w:val="40"/>
          <w:lang w:val="en-US" w:eastAsia="zh-CN"/>
        </w:rPr>
        <w:t>4</w:t>
      </w:r>
      <w:r>
        <w:rPr>
          <w:rFonts w:hint="eastAsia" w:hAnsi="宋体" w:cs="宋体"/>
          <w:color w:val="auto"/>
          <w:kern w:val="0"/>
          <w:sz w:val="40"/>
          <w:szCs w:val="40"/>
        </w:rPr>
        <w:t>年度）</w:t>
      </w:r>
    </w:p>
    <w:p w14:paraId="2991AC6D">
      <w:pPr>
        <w:spacing w:line="540" w:lineRule="exact"/>
        <w:ind w:firstLine="600" w:firstLineChars="200"/>
        <w:jc w:val="center"/>
        <w:rPr>
          <w:rFonts w:hAnsi="宋体" w:cs="宋体"/>
          <w:kern w:val="0"/>
          <w:sz w:val="30"/>
          <w:szCs w:val="30"/>
        </w:rPr>
      </w:pPr>
    </w:p>
    <w:p w14:paraId="4A049CD3">
      <w:pPr>
        <w:spacing w:line="540" w:lineRule="exact"/>
        <w:ind w:firstLine="600" w:firstLineChars="200"/>
        <w:jc w:val="center"/>
        <w:rPr>
          <w:rFonts w:hAnsi="宋体" w:cs="宋体"/>
          <w:kern w:val="0"/>
          <w:sz w:val="30"/>
          <w:szCs w:val="30"/>
        </w:rPr>
      </w:pPr>
    </w:p>
    <w:p w14:paraId="2B40121C">
      <w:pPr>
        <w:spacing w:line="540" w:lineRule="exact"/>
        <w:ind w:firstLine="600" w:firstLineChars="200"/>
        <w:jc w:val="center"/>
        <w:rPr>
          <w:rFonts w:hAnsi="宋体" w:cs="宋体"/>
          <w:kern w:val="0"/>
          <w:sz w:val="30"/>
          <w:szCs w:val="30"/>
        </w:rPr>
      </w:pPr>
    </w:p>
    <w:p w14:paraId="19C57281">
      <w:pPr>
        <w:spacing w:line="540" w:lineRule="exact"/>
        <w:ind w:firstLine="600" w:firstLineChars="200"/>
        <w:jc w:val="center"/>
        <w:rPr>
          <w:rFonts w:hAnsi="宋体" w:cs="宋体"/>
          <w:kern w:val="0"/>
          <w:sz w:val="30"/>
          <w:szCs w:val="30"/>
        </w:rPr>
      </w:pPr>
    </w:p>
    <w:p w14:paraId="14DA7B70">
      <w:pPr>
        <w:spacing w:line="540" w:lineRule="exact"/>
        <w:ind w:firstLine="600" w:firstLineChars="200"/>
        <w:rPr>
          <w:rFonts w:hAnsi="宋体" w:cs="宋体"/>
          <w:kern w:val="0"/>
          <w:sz w:val="30"/>
          <w:szCs w:val="30"/>
        </w:rPr>
      </w:pPr>
    </w:p>
    <w:p w14:paraId="1CBC258C">
      <w:pPr>
        <w:spacing w:line="540" w:lineRule="exact"/>
        <w:ind w:firstLine="600" w:firstLineChars="200"/>
        <w:rPr>
          <w:rFonts w:hAnsi="宋体" w:cs="宋体"/>
          <w:kern w:val="0"/>
          <w:sz w:val="30"/>
          <w:szCs w:val="30"/>
        </w:rPr>
      </w:pPr>
    </w:p>
    <w:p w14:paraId="619890F0">
      <w:pPr>
        <w:spacing w:line="360" w:lineRule="auto"/>
        <w:ind w:left="640" w:leftChars="200" w:firstLine="640" w:firstLineChars="200"/>
        <w:rPr>
          <w:rFonts w:ascii="仿宋" w:hAnsi="仿宋" w:eastAsia="仿宋" w:cs="仿宋"/>
          <w:szCs w:val="32"/>
        </w:rPr>
      </w:pPr>
    </w:p>
    <w:p w14:paraId="35569709">
      <w:pPr>
        <w:spacing w:line="360" w:lineRule="auto"/>
        <w:ind w:left="640" w:leftChars="200" w:firstLine="640" w:firstLineChars="200"/>
        <w:rPr>
          <w:rFonts w:ascii="仿宋" w:hAnsi="仿宋" w:eastAsia="仿宋" w:cs="仿宋"/>
          <w:szCs w:val="32"/>
        </w:rPr>
      </w:pPr>
    </w:p>
    <w:p w14:paraId="4C74A5F8">
      <w:pPr>
        <w:spacing w:line="560" w:lineRule="exact"/>
        <w:ind w:left="640" w:leftChars="200" w:firstLine="640" w:firstLineChars="200"/>
        <w:rPr>
          <w:rFonts w:ascii="仿宋" w:hAnsi="仿宋" w:eastAsia="仿宋" w:cs="仿宋"/>
          <w:szCs w:val="32"/>
        </w:rPr>
      </w:pPr>
    </w:p>
    <w:p w14:paraId="2BB293DD">
      <w:pPr>
        <w:spacing w:line="560" w:lineRule="exact"/>
        <w:ind w:firstLine="640" w:firstLineChars="200"/>
        <w:rPr>
          <w:rFonts w:hint="eastAsia" w:ascii="仿宋" w:hAnsi="仿宋" w:eastAsia="仿宋" w:cs="仿宋"/>
          <w:color w:val="000000" w:themeColor="text1"/>
          <w:szCs w:val="32"/>
          <w:lang w:eastAsia="zh-CN"/>
          <w14:textFill>
            <w14:solidFill>
              <w14:schemeClr w14:val="tx1"/>
            </w14:solidFill>
          </w14:textFill>
        </w:rPr>
      </w:pPr>
      <w:r>
        <w:rPr>
          <w:rFonts w:hint="eastAsia" w:ascii="仿宋" w:hAnsi="仿宋" w:eastAsia="仿宋" w:cs="仿宋"/>
          <w:szCs w:val="32"/>
        </w:rPr>
        <w:t>项  目  名  称:</w:t>
      </w:r>
      <w:r>
        <w:rPr>
          <w:rFonts w:hint="eastAsia" w:ascii="仿宋" w:hAnsi="仿宋" w:eastAsia="仿宋" w:cs="仿宋"/>
          <w:bCs/>
          <w:color w:val="000000" w:themeColor="text1"/>
          <w:kern w:val="0"/>
          <w:lang w:eastAsia="zh-CN"/>
          <w14:textFill>
            <w14:solidFill>
              <w14:schemeClr w14:val="tx1"/>
            </w14:solidFill>
          </w14:textFill>
        </w:rPr>
        <w:t>于田县脱贫劳动力转移就业一次性交通补助项目（人社局）</w:t>
      </w:r>
    </w:p>
    <w:p w14:paraId="50CFEC4F">
      <w:pPr>
        <w:spacing w:line="560" w:lineRule="exact"/>
        <w:ind w:firstLine="640" w:firstLineChars="200"/>
        <w:rPr>
          <w:rFonts w:hint="eastAsia" w:ascii="仿宋" w:hAnsi="仿宋" w:eastAsia="仿宋" w:cs="仿宋"/>
          <w:color w:val="000000" w:themeColor="text1"/>
          <w:szCs w:val="32"/>
          <w:lang w:val="en-US" w:eastAsia="zh-CN"/>
          <w14:textFill>
            <w14:solidFill>
              <w14:schemeClr w14:val="tx1"/>
            </w14:solidFill>
          </w14:textFill>
        </w:rPr>
      </w:pPr>
      <w:r>
        <w:rPr>
          <w:rFonts w:hint="eastAsia" w:ascii="仿宋" w:hAnsi="仿宋" w:eastAsia="仿宋" w:cs="仿宋"/>
          <w:color w:val="000000" w:themeColor="text1"/>
          <w:szCs w:val="32"/>
          <w14:textFill>
            <w14:solidFill>
              <w14:schemeClr w14:val="tx1"/>
            </w14:solidFill>
          </w14:textFill>
        </w:rPr>
        <w:t>实施单位(公章):</w:t>
      </w:r>
      <w:r>
        <w:rPr>
          <w:rFonts w:hint="eastAsia" w:ascii="仿宋" w:hAnsi="仿宋" w:eastAsia="仿宋" w:cs="仿宋"/>
          <w:color w:val="000000" w:themeColor="text1"/>
          <w:szCs w:val="32"/>
          <w:lang w:eastAsia="zh-CN"/>
          <w14:textFill>
            <w14:solidFill>
              <w14:schemeClr w14:val="tx1"/>
            </w14:solidFill>
          </w14:textFill>
        </w:rPr>
        <w:t>于田县人力资源和社会保障局</w:t>
      </w:r>
    </w:p>
    <w:p w14:paraId="689B0022">
      <w:pPr>
        <w:spacing w:line="560" w:lineRule="exact"/>
        <w:ind w:firstLine="640" w:firstLineChars="200"/>
        <w:rPr>
          <w:rFonts w:hint="eastAsia" w:ascii="仿宋" w:hAnsi="仿宋" w:eastAsia="仿宋" w:cs="仿宋"/>
          <w:color w:val="auto"/>
          <w:szCs w:val="32"/>
          <w:lang w:eastAsia="zh-CN"/>
        </w:rPr>
      </w:pPr>
      <w:r>
        <w:rPr>
          <w:rFonts w:hint="eastAsia" w:ascii="仿宋" w:hAnsi="仿宋" w:eastAsia="仿宋" w:cs="仿宋"/>
          <w:szCs w:val="32"/>
        </w:rPr>
        <w:t>主管部门(公章):</w:t>
      </w:r>
      <w:r>
        <w:rPr>
          <w:rFonts w:hint="eastAsia" w:ascii="仿宋" w:hAnsi="仿宋" w:eastAsia="仿宋" w:cs="仿宋"/>
          <w:color w:val="auto"/>
          <w:szCs w:val="32"/>
          <w:lang w:eastAsia="zh-CN"/>
        </w:rPr>
        <w:t>于田县人力资源和社会保障局</w:t>
      </w:r>
    </w:p>
    <w:p w14:paraId="696C79EB">
      <w:pPr>
        <w:spacing w:line="560" w:lineRule="exact"/>
        <w:ind w:firstLine="640" w:firstLineChars="200"/>
        <w:rPr>
          <w:rFonts w:hint="eastAsia" w:ascii="仿宋" w:hAnsi="仿宋" w:eastAsia="仿宋" w:cs="仿宋"/>
          <w:color w:val="auto"/>
          <w:szCs w:val="32"/>
          <w:lang w:eastAsia="zh-CN"/>
        </w:rPr>
      </w:pPr>
      <w:r>
        <w:rPr>
          <w:rFonts w:hint="eastAsia" w:ascii="仿宋" w:hAnsi="仿宋" w:eastAsia="仿宋" w:cs="仿宋"/>
          <w:szCs w:val="32"/>
        </w:rPr>
        <w:t>项目负责人(签章):</w:t>
      </w:r>
      <w:r>
        <w:rPr>
          <w:rFonts w:hint="eastAsia" w:ascii="仿宋" w:hAnsi="仿宋" w:eastAsia="仿宋" w:cs="仿宋"/>
          <w:color w:val="auto"/>
          <w:szCs w:val="32"/>
          <w:lang w:eastAsia="zh-CN"/>
        </w:rPr>
        <w:t>李亚娟</w:t>
      </w:r>
    </w:p>
    <w:p w14:paraId="1987F593">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rPr>
        <w:t>1</w:t>
      </w:r>
      <w:r>
        <w:rPr>
          <w:rFonts w:ascii="仿宋" w:hAnsi="仿宋" w:eastAsia="仿宋" w:cs="仿宋"/>
          <w:szCs w:val="32"/>
        </w:rPr>
        <w:t>月</w:t>
      </w:r>
      <w:r>
        <w:rPr>
          <w:rFonts w:hint="eastAsia" w:ascii="仿宋" w:hAnsi="仿宋" w:eastAsia="仿宋" w:cs="仿宋"/>
          <w:szCs w:val="32"/>
          <w:lang w:val="en-US" w:eastAsia="zh-CN"/>
        </w:rPr>
        <w:t>5</w:t>
      </w:r>
      <w:r>
        <w:rPr>
          <w:rFonts w:ascii="仿宋" w:hAnsi="仿宋" w:eastAsia="仿宋" w:cs="仿宋"/>
          <w:szCs w:val="32"/>
        </w:rPr>
        <w:t>日</w:t>
      </w:r>
    </w:p>
    <w:p w14:paraId="29342352">
      <w:pPr>
        <w:spacing w:line="560" w:lineRule="exact"/>
        <w:ind w:firstLine="640" w:firstLineChars="200"/>
        <w:rPr>
          <w:rFonts w:ascii="仿宋_GB2312" w:hAnsi="仿宋_GB2312" w:cs="仿宋_GB2312"/>
          <w:kern w:val="0"/>
          <w:szCs w:val="32"/>
          <w:lang w:bidi="en-US"/>
        </w:rPr>
      </w:pPr>
    </w:p>
    <w:p w14:paraId="23BABB31">
      <w:pPr>
        <w:spacing w:line="560" w:lineRule="exact"/>
        <w:ind w:firstLine="640" w:firstLineChars="200"/>
        <w:rPr>
          <w:rFonts w:ascii="仿宋_GB2312" w:hAnsi="仿宋_GB2312" w:cs="仿宋_GB2312"/>
          <w:kern w:val="0"/>
          <w:szCs w:val="32"/>
          <w:lang w:bidi="en-US"/>
        </w:rPr>
      </w:pPr>
    </w:p>
    <w:p w14:paraId="688C5292">
      <w:pPr>
        <w:spacing w:line="360" w:lineRule="auto"/>
        <w:ind w:firstLine="627" w:firstLineChars="200"/>
        <w:rPr>
          <w:rStyle w:val="19"/>
          <w:rFonts w:ascii="黑体" w:hAnsi="黑体" w:eastAsia="黑体" w:cs="Times New Roman"/>
          <w:spacing w:val="-4"/>
          <w:szCs w:val="32"/>
        </w:rPr>
      </w:pPr>
    </w:p>
    <w:p w14:paraId="18F2BCDA">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64980170">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716600">
      <w:pPr>
        <w:pStyle w:val="52"/>
        <w:ind w:left="3" w:right="3" w:firstLine="562"/>
        <w:rPr>
          <w:rFonts w:ascii="仿宋_GB2312"/>
          <w:b/>
          <w:szCs w:val="32"/>
        </w:rPr>
      </w:pPr>
      <w:r>
        <w:rPr>
          <w:rFonts w:hint="eastAsia" w:ascii="仿宋_GB2312"/>
          <w:b/>
          <w:szCs w:val="32"/>
        </w:rPr>
        <w:t>1.下达预算情况</w:t>
      </w:r>
    </w:p>
    <w:p w14:paraId="46B7322C">
      <w:pPr>
        <w:pStyle w:val="52"/>
        <w:ind w:left="3" w:right="3" w:firstLine="560"/>
        <w:rPr>
          <w:rFonts w:ascii="仿宋_GB2312"/>
          <w:szCs w:val="32"/>
        </w:rPr>
      </w:pPr>
      <w:r>
        <w:rPr>
          <w:rFonts w:hint="eastAsia" w:ascii="仿宋_GB2312"/>
          <w:szCs w:val="32"/>
        </w:rPr>
        <w:t>本项目根据于</w:t>
      </w:r>
      <w:r>
        <w:rPr>
          <w:rFonts w:hint="eastAsia" w:ascii="仿宋_GB2312"/>
          <w:color w:val="auto"/>
          <w:szCs w:val="32"/>
        </w:rPr>
        <w:t>田县</w:t>
      </w:r>
      <w:r>
        <w:rPr>
          <w:rFonts w:hint="eastAsia" w:ascii="仿宋_GB2312"/>
          <w:color w:val="auto"/>
          <w:szCs w:val="32"/>
          <w:lang w:val="en-US" w:eastAsia="zh-CN"/>
        </w:rPr>
        <w:t>就业工作领导小组办公室</w:t>
      </w:r>
      <w:r>
        <w:rPr>
          <w:rFonts w:hint="eastAsia" w:ascii="仿宋_GB2312"/>
          <w:color w:val="auto"/>
          <w:szCs w:val="32"/>
        </w:rPr>
        <w:t>下发的《关于</w:t>
      </w:r>
      <w:r>
        <w:rPr>
          <w:rFonts w:hint="eastAsia" w:ascii="仿宋_GB2312"/>
          <w:color w:val="auto"/>
          <w:szCs w:val="32"/>
          <w:lang w:val="en-US" w:eastAsia="zh-CN"/>
        </w:rPr>
        <w:t>跨区域就业脱贫劳动力一次性交通补助开发</w:t>
      </w:r>
      <w:r>
        <w:rPr>
          <w:rFonts w:hint="eastAsia" w:ascii="仿宋_GB2312"/>
          <w:color w:val="auto"/>
          <w:szCs w:val="32"/>
        </w:rPr>
        <w:t>项目</w:t>
      </w:r>
      <w:r>
        <w:rPr>
          <w:rFonts w:hint="eastAsia" w:ascii="仿宋_GB2312"/>
          <w:color w:val="auto"/>
          <w:szCs w:val="32"/>
          <w:lang w:eastAsia="zh-CN"/>
        </w:rPr>
        <w:t>实施方案</w:t>
      </w:r>
      <w:r>
        <w:rPr>
          <w:rFonts w:hint="eastAsia" w:ascii="仿宋_GB2312"/>
          <w:color w:val="auto"/>
          <w:szCs w:val="32"/>
        </w:rPr>
        <w:t>的批复》（于</w:t>
      </w:r>
      <w:r>
        <w:rPr>
          <w:rFonts w:hint="eastAsia" w:ascii="仿宋_GB2312"/>
          <w:color w:val="auto"/>
          <w:szCs w:val="32"/>
          <w:lang w:val="en-US" w:eastAsia="zh-CN"/>
        </w:rPr>
        <w:t>就办</w:t>
      </w:r>
      <w:r>
        <w:rPr>
          <w:rFonts w:hint="eastAsia" w:ascii="仿宋_GB2312"/>
          <w:color w:val="auto"/>
          <w:szCs w:val="32"/>
        </w:rPr>
        <w:t>[202</w:t>
      </w:r>
      <w:r>
        <w:rPr>
          <w:rFonts w:hint="eastAsia" w:ascii="仿宋_GB2312"/>
          <w:color w:val="auto"/>
          <w:szCs w:val="32"/>
          <w:lang w:val="en-US" w:eastAsia="zh-CN"/>
        </w:rPr>
        <w:t>5</w:t>
      </w:r>
      <w:r>
        <w:rPr>
          <w:rFonts w:hint="eastAsia" w:ascii="仿宋_GB2312"/>
          <w:color w:val="auto"/>
          <w:szCs w:val="32"/>
        </w:rPr>
        <w:t>]</w:t>
      </w:r>
      <w:r>
        <w:rPr>
          <w:rFonts w:hint="eastAsia" w:ascii="仿宋_GB2312"/>
          <w:color w:val="auto"/>
          <w:szCs w:val="32"/>
          <w:lang w:val="en-US" w:eastAsia="zh-CN"/>
        </w:rPr>
        <w:t>9</w:t>
      </w:r>
      <w:r>
        <w:rPr>
          <w:rFonts w:hint="eastAsia" w:ascii="仿宋_GB2312"/>
          <w:color w:val="auto"/>
          <w:szCs w:val="32"/>
        </w:rPr>
        <w:t>号）批复立项实施，</w:t>
      </w:r>
      <w:r>
        <w:rPr>
          <w:rFonts w:hint="eastAsia" w:ascii="仿宋_GB2312"/>
          <w:color w:val="auto"/>
          <w:szCs w:val="32"/>
          <w:lang w:eastAsia="zh-CN"/>
        </w:rPr>
        <w:t>于田县脱贫劳动力转移就业一次性交通补助项目（人社局）</w:t>
      </w:r>
      <w:r>
        <w:rPr>
          <w:rFonts w:hint="eastAsia" w:ascii="仿宋_GB2312"/>
          <w:color w:val="auto"/>
          <w:szCs w:val="32"/>
        </w:rPr>
        <w:t>预算安排总额为</w:t>
      </w:r>
      <w:r>
        <w:rPr>
          <w:rFonts w:hint="eastAsia" w:ascii="仿宋_GB2312"/>
          <w:color w:val="auto"/>
          <w:szCs w:val="32"/>
          <w:lang w:val="en-US" w:eastAsia="zh-CN"/>
        </w:rPr>
        <w:t>686.58</w:t>
      </w:r>
      <w:r>
        <w:rPr>
          <w:rFonts w:hint="eastAsia" w:ascii="仿宋_GB2312"/>
          <w:color w:val="auto"/>
          <w:szCs w:val="32"/>
        </w:rPr>
        <w:t>万元。预算资金</w:t>
      </w:r>
      <w:r>
        <w:rPr>
          <w:rFonts w:hint="eastAsia" w:ascii="仿宋_GB2312"/>
          <w:szCs w:val="32"/>
        </w:rPr>
        <w:t>到位率为100.00%。</w:t>
      </w:r>
    </w:p>
    <w:p w14:paraId="4A050B43">
      <w:pPr>
        <w:pStyle w:val="52"/>
        <w:ind w:left="3" w:right="3" w:firstLine="562"/>
        <w:rPr>
          <w:rFonts w:ascii="仿宋_GB2312"/>
          <w:b/>
          <w:szCs w:val="32"/>
        </w:rPr>
      </w:pPr>
      <w:r>
        <w:rPr>
          <w:rFonts w:hint="eastAsia" w:ascii="仿宋_GB2312"/>
          <w:b/>
          <w:szCs w:val="32"/>
        </w:rPr>
        <w:t>2.项目实施背景</w:t>
      </w:r>
    </w:p>
    <w:p w14:paraId="0579C0F1">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outlineLvl w:val="9"/>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 xml:space="preserve">于田县位于和田地区东端，东邻民丰县，西与策勒县相接。未来十年南疆经济建设发展一体化进程将进一步加快，公路、铁路、飞机场等设施的建设加快地区间的联系使得更加紧密，各地的带动辐射作用将进一步加大，这为于田县加快经济发展、增强带动辐射功能提供了几号机遇。但由于于田县耕地少，广大农村劳动力就业渠道单一、就业机会少。主要集中在脱贫户劳动力、监测户中，提高外出就业机率、营造外出就业良好氛围，增强党和政府的关怀，为进一步增强劳动力外出就业机会，巩固脱贫攻坚成果与乡村振兴有效衔接，该项目就是在这一背景下提出的。 </w:t>
      </w:r>
    </w:p>
    <w:p w14:paraId="11F95F61">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由于上述原因开展于田县脱贫劳动力转移就业一次性交通补助项目（人社局），本项目由于田县人力资源和社会保障局主管，于田县人力资源和社会保障局负责实施，项目施工期为202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年1月-202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rPr>
        <w:t>月。</w:t>
      </w:r>
    </w:p>
    <w:p w14:paraId="73E548B6">
      <w:pPr>
        <w:spacing w:line="560" w:lineRule="exact"/>
        <w:ind w:firstLine="560" w:firstLineChars="200"/>
        <w:rPr>
          <w:rFonts w:hint="eastAsia" w:ascii="仿宋_GB2312" w:hAnsi="Times New Roman" w:eastAsia="仿宋_GB2312" w:cs="Times New Roman"/>
          <w:color w:val="auto"/>
          <w:kern w:val="2"/>
          <w:sz w:val="28"/>
          <w:szCs w:val="32"/>
          <w:highlight w:val="none"/>
          <w:lang w:val="en-US" w:eastAsia="zh-CN" w:bidi="ar-SA"/>
        </w:rPr>
      </w:pPr>
      <w:r>
        <w:rPr>
          <w:rFonts w:hint="eastAsia" w:ascii="仿宋_GB2312" w:hAnsi="Times New Roman" w:eastAsia="仿宋_GB2312" w:cs="Times New Roman"/>
          <w:color w:val="auto"/>
          <w:sz w:val="28"/>
          <w:szCs w:val="32"/>
          <w:highlight w:val="none"/>
        </w:rPr>
        <w:t>工程实施后，减少务工人员外出经济压力，提高外出就业积极性，解决了脱贫户、监测户劳动力就业难，难就业等人员的就业问题，确保不出现就业不增返降，收入不达标等现象的发生，充分解决脱贫户，监测胡劳动力就业问题，培养成有文化，守法律的公民，为拓展巩固脱贫攻坚与乡村振兴有效衔接再添一把力，确保于田县就业大局稳定，社会和谐。</w:t>
      </w:r>
    </w:p>
    <w:p w14:paraId="28DFB6B1">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4A294738">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于田县脱贫劳动力转移就业一次性交通补助项目（人社局），根据于田县</w:t>
      </w:r>
      <w:r>
        <w:rPr>
          <w:rFonts w:hint="eastAsia" w:ascii="仿宋_GB2312" w:hAnsi="Times New Roman" w:eastAsia="仿宋_GB2312" w:cs="Times New Roman"/>
          <w:color w:val="000000"/>
          <w:sz w:val="28"/>
          <w:szCs w:val="32"/>
          <w:lang w:val="en-US" w:eastAsia="zh-CN"/>
        </w:rPr>
        <w:t>就业工作领导小组办公室</w:t>
      </w:r>
      <w:r>
        <w:rPr>
          <w:rFonts w:hint="eastAsia" w:ascii="仿宋_GB2312" w:hAnsi="Times New Roman" w:eastAsia="仿宋_GB2312" w:cs="Times New Roman"/>
          <w:color w:val="000000"/>
          <w:sz w:val="28"/>
          <w:szCs w:val="32"/>
          <w:lang w:eastAsia="zh-CN"/>
        </w:rPr>
        <w:t>下发的《关于</w:t>
      </w:r>
      <w:r>
        <w:rPr>
          <w:rFonts w:hint="eastAsia" w:ascii="仿宋_GB2312" w:hAnsi="Times New Roman" w:eastAsia="仿宋_GB2312" w:cs="Times New Roman"/>
          <w:color w:val="000000"/>
          <w:sz w:val="28"/>
          <w:szCs w:val="32"/>
          <w:lang w:val="en-US" w:eastAsia="zh-CN"/>
        </w:rPr>
        <w:t>跨区域就业脱贫劳动力一次性交通补助开发</w:t>
      </w:r>
      <w:r>
        <w:rPr>
          <w:rFonts w:hint="eastAsia" w:ascii="仿宋_GB2312" w:hAnsi="Times New Roman" w:eastAsia="仿宋_GB2312" w:cs="Times New Roman"/>
          <w:color w:val="000000"/>
          <w:sz w:val="28"/>
          <w:szCs w:val="32"/>
          <w:lang w:eastAsia="zh-CN"/>
        </w:rPr>
        <w:t>项目实施方案的批复》（于</w:t>
      </w:r>
      <w:r>
        <w:rPr>
          <w:rFonts w:hint="eastAsia" w:ascii="仿宋_GB2312" w:hAnsi="Times New Roman" w:eastAsia="仿宋_GB2312" w:cs="Times New Roman"/>
          <w:color w:val="000000"/>
          <w:sz w:val="28"/>
          <w:szCs w:val="32"/>
          <w:lang w:val="en-US" w:eastAsia="zh-CN"/>
        </w:rPr>
        <w:t>就办</w:t>
      </w:r>
      <w:r>
        <w:rPr>
          <w:rFonts w:hint="eastAsia" w:ascii="仿宋_GB2312" w:hAnsi="Times New Roman" w:eastAsia="仿宋_GB2312" w:cs="Times New Roman"/>
          <w:color w:val="000000"/>
          <w:sz w:val="28"/>
          <w:szCs w:val="32"/>
          <w:lang w:eastAsia="zh-CN"/>
        </w:rPr>
        <w:t>[202</w:t>
      </w:r>
      <w:r>
        <w:rPr>
          <w:rFonts w:hint="eastAsia" w:ascii="仿宋_GB2312" w:hAnsi="Times New Roman" w:eastAsia="仿宋_GB2312" w:cs="Times New Roman"/>
          <w:color w:val="000000"/>
          <w:sz w:val="28"/>
          <w:szCs w:val="32"/>
          <w:lang w:val="en-US" w:eastAsia="zh-CN"/>
        </w:rPr>
        <w:t>5</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lang w:val="en-US" w:eastAsia="zh-CN"/>
        </w:rPr>
        <w:t>9</w:t>
      </w:r>
      <w:r>
        <w:rPr>
          <w:rFonts w:hint="eastAsia" w:ascii="仿宋_GB2312" w:hAnsi="Times New Roman" w:eastAsia="仿宋_GB2312" w:cs="Times New Roman"/>
          <w:color w:val="000000"/>
          <w:sz w:val="28"/>
          <w:szCs w:val="32"/>
          <w:lang w:eastAsia="zh-CN"/>
        </w:rPr>
        <w:t>号）批复立项实施，</w:t>
      </w:r>
      <w:r>
        <w:rPr>
          <w:rFonts w:hint="eastAsia" w:ascii="仿宋_GB2312" w:hAnsi="Times New Roman" w:eastAsia="仿宋_GB2312" w:cs="Times New Roman"/>
          <w:color w:val="000000"/>
          <w:sz w:val="28"/>
          <w:szCs w:val="32"/>
        </w:rPr>
        <w:t>实施范围</w:t>
      </w:r>
      <w:r>
        <w:rPr>
          <w:rFonts w:hint="eastAsia" w:ascii="仿宋_GB2312" w:hAnsi="Times New Roman" w:eastAsia="仿宋_GB2312" w:cs="Times New Roman"/>
          <w:color w:val="000000"/>
          <w:sz w:val="28"/>
          <w:szCs w:val="32"/>
          <w:lang w:eastAsia="zh-CN"/>
        </w:rPr>
        <w:t>于田县至疆内跨地州转移，其他省市转移就业人员</w:t>
      </w:r>
      <w:r>
        <w:rPr>
          <w:rFonts w:hint="eastAsia" w:ascii="仿宋_GB2312" w:hAnsi="Times New Roman" w:eastAsia="仿宋_GB2312" w:cs="Times New Roman"/>
          <w:color w:val="000000"/>
          <w:sz w:val="28"/>
          <w:szCs w:val="32"/>
        </w:rPr>
        <w:t>。</w:t>
      </w:r>
    </w:p>
    <w:p w14:paraId="44CB643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0AC984F5">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于田县脱贫劳动力转移就业一次性交通补助项目（人社局）</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auto"/>
          <w:sz w:val="28"/>
          <w:szCs w:val="32"/>
          <w:lang w:val="en-US" w:eastAsia="zh-CN"/>
        </w:rPr>
        <w:t>其他</w:t>
      </w:r>
      <w:r>
        <w:rPr>
          <w:rFonts w:hint="eastAsia" w:ascii="仿宋_GB2312" w:hAnsi="Times New Roman" w:eastAsia="仿宋_GB2312" w:cs="Times New Roman"/>
          <w:color w:val="000000"/>
          <w:sz w:val="28"/>
          <w:szCs w:val="32"/>
        </w:rPr>
        <w:t>项目，属于乡村振兴衔接资金项目。</w:t>
      </w:r>
    </w:p>
    <w:p w14:paraId="2880F658">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1D15A5A8">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02F5AAED">
      <w:pPr>
        <w:pStyle w:val="52"/>
        <w:spacing w:line="560" w:lineRule="exact"/>
        <w:ind w:left="3" w:right="3" w:firstLine="560"/>
        <w:rPr>
          <w:rFonts w:hint="eastAsia" w:ascii="仿宋_GB2312"/>
          <w:szCs w:val="32"/>
          <w:lang w:val="en-US" w:eastAsia="zh-CN"/>
        </w:rPr>
      </w:pPr>
      <w:r>
        <w:rPr>
          <w:rFonts w:hint="eastAsia" w:ascii="仿宋_GB2312" w:cs="Times New Roman"/>
          <w:color w:val="000000"/>
          <w:sz w:val="28"/>
          <w:szCs w:val="32"/>
          <w:lang w:eastAsia="zh-CN"/>
        </w:rPr>
        <w:t>于田县脱贫劳动力转移就业一次性交通补助项目（人社局）</w:t>
      </w:r>
      <w:r>
        <w:rPr>
          <w:rFonts w:hint="eastAsia" w:ascii="仿宋_GB2312"/>
          <w:szCs w:val="32"/>
        </w:rPr>
        <w:t>总投资</w:t>
      </w:r>
      <w:r>
        <w:rPr>
          <w:rFonts w:hint="eastAsia" w:ascii="仿宋_GB2312"/>
          <w:color w:val="auto"/>
          <w:szCs w:val="32"/>
          <w:lang w:val="en-US" w:eastAsia="zh-CN"/>
        </w:rPr>
        <w:t>686.58</w:t>
      </w:r>
      <w:r>
        <w:rPr>
          <w:rFonts w:hint="eastAsia" w:ascii="仿宋_GB2312"/>
          <w:color w:val="auto"/>
          <w:szCs w:val="32"/>
        </w:rPr>
        <w:t>万元，</w:t>
      </w:r>
      <w:r>
        <w:rPr>
          <w:rFonts w:hint="eastAsia" w:ascii="仿宋_GB2312"/>
          <w:szCs w:val="32"/>
        </w:rPr>
        <w:t>全部申请以</w:t>
      </w:r>
      <w:r>
        <w:rPr>
          <w:rFonts w:hint="eastAsia" w:ascii="仿宋_GB2312"/>
          <w:szCs w:val="32"/>
          <w:lang w:eastAsia="zh-CN"/>
        </w:rPr>
        <w:t>乡村振兴</w:t>
      </w:r>
      <w:r>
        <w:rPr>
          <w:rFonts w:hint="eastAsia" w:ascii="仿宋_GB2312"/>
          <w:szCs w:val="32"/>
        </w:rPr>
        <w:t>资金。主要内容为：</w:t>
      </w:r>
      <w:r>
        <w:rPr>
          <w:rFonts w:hint="eastAsia" w:ascii="仿宋_GB2312"/>
          <w:szCs w:val="32"/>
          <w:lang w:eastAsia="zh-CN"/>
        </w:rPr>
        <w:t>为于田县脱贫户，监测户本项目实施期间按照年度实际转移人数计算，含历年转移</w:t>
      </w:r>
      <w:r>
        <w:rPr>
          <w:rFonts w:hint="eastAsia" w:ascii="仿宋_GB2312"/>
          <w:szCs w:val="32"/>
          <w:lang w:val="en-US" w:eastAsia="zh-CN"/>
        </w:rPr>
        <w:t>2024年返回探亲人员一次性交通补助，就业企业出具请假单，服务管理干部签字确认即可予以一次性补助，疆内7000人，疆外3000人。</w:t>
      </w:r>
    </w:p>
    <w:p w14:paraId="12D3EBB1">
      <w:pPr>
        <w:pStyle w:val="52"/>
        <w:spacing w:line="560" w:lineRule="exact"/>
        <w:ind w:left="3" w:right="3" w:firstLine="562"/>
        <w:rPr>
          <w:rFonts w:ascii="仿宋_GB2312"/>
          <w:b/>
          <w:bCs/>
          <w:szCs w:val="32"/>
        </w:rPr>
      </w:pPr>
      <w:r>
        <w:rPr>
          <w:rFonts w:hint="eastAsia" w:ascii="仿宋_GB2312"/>
          <w:b/>
          <w:bCs/>
          <w:szCs w:val="32"/>
        </w:rPr>
        <w:t>2.具体绩效指标</w:t>
      </w:r>
    </w:p>
    <w:p w14:paraId="790B3337">
      <w:pPr>
        <w:pStyle w:val="52"/>
        <w:spacing w:line="560" w:lineRule="exact"/>
        <w:ind w:left="3" w:right="3" w:firstLine="560"/>
        <w:rPr>
          <w:rFonts w:ascii="仿宋_GB2312" w:hAnsi="Times New Roman" w:cs="Times New Roman"/>
          <w:szCs w:val="32"/>
        </w:rPr>
      </w:pPr>
      <w:r>
        <w:rPr>
          <w:rFonts w:ascii="仿宋_GB2312"/>
          <w:szCs w:val="32"/>
        </w:rPr>
        <w:t>根据《自治区财政专项扶贫资金绩效管理操作指南》（新财预〔2019〕170号）的规定，结合项目具体情况，</w:t>
      </w:r>
      <w:r>
        <w:rPr>
          <w:rFonts w:hint="eastAsia" w:ascii="仿宋_GB2312" w:hAnsi="Times New Roman" w:cs="Times New Roman"/>
          <w:szCs w:val="32"/>
        </w:rPr>
        <w:t>本项目共设置一级指标3个，二级指标</w:t>
      </w:r>
      <w:r>
        <w:rPr>
          <w:rFonts w:hint="eastAsia" w:ascii="仿宋_GB2312" w:cs="Times New Roman"/>
          <w:szCs w:val="32"/>
          <w:lang w:val="en-US" w:eastAsia="zh-CN"/>
        </w:rPr>
        <w:t>7</w:t>
      </w:r>
      <w:r>
        <w:rPr>
          <w:rFonts w:hint="eastAsia" w:ascii="仿宋_GB2312" w:hAnsi="Times New Roman" w:cs="Times New Roman"/>
          <w:szCs w:val="32"/>
        </w:rPr>
        <w:t>个，三级指标</w:t>
      </w:r>
      <w:r>
        <w:rPr>
          <w:rFonts w:hint="eastAsia" w:ascii="仿宋_GB2312" w:hAnsi="Times New Roman" w:cs="Times New Roman"/>
          <w:szCs w:val="32"/>
          <w:lang w:val="en-US" w:eastAsia="zh-CN"/>
        </w:rPr>
        <w:t>1</w:t>
      </w:r>
      <w:r>
        <w:rPr>
          <w:rFonts w:hint="eastAsia" w:ascii="仿宋_GB2312" w:cs="Times New Roman"/>
          <w:szCs w:val="32"/>
          <w:lang w:val="en-US" w:eastAsia="zh-CN"/>
        </w:rPr>
        <w:t>2</w:t>
      </w:r>
      <w:r>
        <w:rPr>
          <w:rFonts w:hint="eastAsia" w:ascii="仿宋_GB2312" w:hAnsi="Times New Roman" w:cs="Times New Roman"/>
          <w:szCs w:val="32"/>
        </w:rPr>
        <w:t>个。</w:t>
      </w:r>
    </w:p>
    <w:p w14:paraId="45ACC608">
      <w:pPr>
        <w:pStyle w:val="29"/>
        <w:spacing w:before="120"/>
        <w:ind w:left="0" w:leftChars="0" w:right="3" w:firstLine="562" w:firstLineChars="200"/>
        <w:rPr>
          <w:rFonts w:eastAsia="宋体"/>
          <w:sz w:val="21"/>
        </w:rPr>
      </w:pPr>
      <w:r>
        <w:rPr>
          <w:rFonts w:hint="eastAsia"/>
        </w:rPr>
        <w:t>二、绩效自评工作开展情况</w:t>
      </w:r>
    </w:p>
    <w:p w14:paraId="1CEEED7C">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3B1A4B35">
      <w:pPr>
        <w:pStyle w:val="52"/>
        <w:spacing w:line="560" w:lineRule="exact"/>
        <w:ind w:left="3" w:right="3" w:firstLine="560"/>
      </w:pPr>
      <w:r>
        <w:t>本次自评范围涵盖项目总体绩效目标、各项绩效指标完成情况以及预算执行情况。</w:t>
      </w:r>
    </w:p>
    <w:p w14:paraId="02172A57">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0E5523B4">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eastAsia="zh-CN"/>
        </w:rPr>
        <w:t>于田县脱贫劳动力转移就业一次性交通补助项目（人社局）</w:t>
      </w:r>
      <w:r>
        <w:t>资金的使用管理、项目产出、综合效益等进行评价。</w:t>
      </w:r>
    </w:p>
    <w:p w14:paraId="6905839C">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5AC2A0BF">
      <w:pPr>
        <w:pStyle w:val="33"/>
      </w:pPr>
      <w:r>
        <w:rPr>
          <w:rFonts w:hint="eastAsia"/>
        </w:rPr>
        <w:t>1.前期准备</w:t>
      </w:r>
    </w:p>
    <w:p w14:paraId="7DE09D8B">
      <w:pPr>
        <w:pStyle w:val="52"/>
        <w:spacing w:line="560" w:lineRule="exact"/>
        <w:ind w:left="3" w:right="0" w:rightChars="0" w:firstLine="560"/>
      </w:pPr>
      <w:r>
        <w:t>202</w:t>
      </w:r>
      <w:r>
        <w:rPr>
          <w:rFonts w:hint="eastAsia"/>
          <w:lang w:val="en-US" w:eastAsia="zh-CN"/>
        </w:rPr>
        <w:t>3</w:t>
      </w:r>
      <w:r>
        <w:t>年，认真学习相关要求与规定，成立绩效自评工作组，作为绩效自评工作具体实施机构。成员构成如下：</w:t>
      </w:r>
    </w:p>
    <w:p w14:paraId="0DD8FD53">
      <w:pPr>
        <w:pStyle w:val="52"/>
        <w:spacing w:line="560" w:lineRule="exact"/>
        <w:ind w:left="3" w:right="3" w:firstLine="560"/>
        <w:rPr>
          <w:highlight w:val="none"/>
        </w:rPr>
      </w:pPr>
      <w:r>
        <w:rPr>
          <w:rFonts w:hint="eastAsia"/>
          <w:highlight w:val="none"/>
        </w:rPr>
        <w:t>组     长：</w:t>
      </w:r>
      <w:r>
        <w:rPr>
          <w:rFonts w:hint="eastAsia"/>
          <w:highlight w:val="none"/>
          <w:lang w:eastAsia="zh-CN"/>
        </w:rPr>
        <w:t>梁松国</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eastAsia="zh-CN"/>
        </w:rPr>
        <w:t>于田县人社局党组书记</w:t>
      </w:r>
      <w:r>
        <w:rPr>
          <w:rFonts w:hint="eastAsia"/>
          <w:highlight w:val="none"/>
        </w:rPr>
        <w:t>长</w:t>
      </w:r>
    </w:p>
    <w:p w14:paraId="084BA81A">
      <w:pPr>
        <w:pStyle w:val="52"/>
        <w:spacing w:line="560" w:lineRule="exact"/>
        <w:ind w:left="3" w:right="3" w:firstLine="560"/>
        <w:rPr>
          <w:highlight w:val="none"/>
        </w:rPr>
      </w:pPr>
      <w:r>
        <w:rPr>
          <w:rFonts w:hint="eastAsia"/>
          <w:highlight w:val="none"/>
        </w:rPr>
        <w:t>副组长：</w:t>
      </w:r>
      <w:r>
        <w:rPr>
          <w:rFonts w:hint="eastAsia"/>
          <w:highlight w:val="none"/>
          <w:lang w:eastAsia="zh-CN"/>
        </w:rPr>
        <w:t>李文斌</w:t>
      </w:r>
      <w:r>
        <w:rPr>
          <w:rFonts w:hint="eastAsia"/>
          <w:highlight w:val="none"/>
        </w:rPr>
        <w:t xml:space="preserve">                                    </w:t>
      </w:r>
      <w:r>
        <w:rPr>
          <w:rFonts w:hint="eastAsia"/>
          <w:highlight w:val="none"/>
          <w:lang w:val="en-US" w:eastAsia="zh-CN"/>
        </w:rPr>
        <w:t xml:space="preserve">   于田县公共就业服务中心主任</w:t>
      </w:r>
    </w:p>
    <w:p w14:paraId="3CDC6B8F">
      <w:pPr>
        <w:pStyle w:val="52"/>
        <w:spacing w:line="560" w:lineRule="exact"/>
        <w:ind w:left="3" w:right="3" w:firstLine="560"/>
        <w:rPr>
          <w:highlight w:val="none"/>
        </w:rPr>
      </w:pPr>
      <w:r>
        <w:rPr>
          <w:rFonts w:hint="eastAsia"/>
          <w:highlight w:val="none"/>
        </w:rPr>
        <w:t>成    员：</w:t>
      </w:r>
      <w:r>
        <w:rPr>
          <w:rFonts w:hint="eastAsia"/>
          <w:highlight w:val="none"/>
          <w:lang w:eastAsia="zh-CN"/>
        </w:rPr>
        <w:t>阿不力米提</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于田县人社局干部</w:t>
      </w:r>
    </w:p>
    <w:p w14:paraId="3972CD6C">
      <w:pPr>
        <w:pStyle w:val="52"/>
        <w:spacing w:line="560" w:lineRule="exact"/>
        <w:ind w:left="3" w:right="3" w:firstLine="1680" w:firstLineChars="600"/>
        <w:rPr>
          <w:highlight w:val="none"/>
        </w:rPr>
      </w:pPr>
      <w:r>
        <w:rPr>
          <w:rFonts w:hint="eastAsia"/>
          <w:highlight w:val="none"/>
          <w:lang w:eastAsia="zh-CN"/>
        </w:rPr>
        <w:t>李亚娟</w:t>
      </w:r>
      <w:r>
        <w:rPr>
          <w:rFonts w:hint="eastAsia"/>
          <w:highlight w:val="none"/>
        </w:rPr>
        <w:t xml:space="preserve">            </w:t>
      </w:r>
      <w:r>
        <w:rPr>
          <w:highlight w:val="none"/>
        </w:rPr>
        <w:t xml:space="preserve">                             </w:t>
      </w:r>
      <w:r>
        <w:rPr>
          <w:rFonts w:hint="eastAsia"/>
          <w:highlight w:val="none"/>
          <w:lang w:val="en-US" w:eastAsia="zh-CN"/>
        </w:rPr>
        <w:t xml:space="preserve"> 于田县人社局干部</w:t>
      </w:r>
    </w:p>
    <w:p w14:paraId="2B0818D0">
      <w:pPr>
        <w:pStyle w:val="52"/>
        <w:spacing w:line="560" w:lineRule="exact"/>
        <w:ind w:left="3" w:right="3" w:firstLine="560"/>
      </w:pPr>
      <w:r>
        <w:rPr>
          <w:rFonts w:hint="eastAsia"/>
          <w:lang w:eastAsia="zh-CN"/>
        </w:rPr>
        <w:t>乡村振兴办</w:t>
      </w:r>
      <w:r>
        <w:rPr>
          <w:rFonts w:hint="eastAsia"/>
        </w:rPr>
        <w:t>负责项目的计划制定、实施，督查、指导相关单位共同做好项目管理工作。切实把该项目作为</w:t>
      </w:r>
      <w:r>
        <w:rPr>
          <w:rFonts w:hint="eastAsia"/>
          <w:color w:val="auto"/>
          <w:highlight w:val="none"/>
          <w:lang w:eastAsia="zh-CN"/>
        </w:rPr>
        <w:t>促进就业</w:t>
      </w:r>
      <w:r>
        <w:rPr>
          <w:rFonts w:hint="eastAsia"/>
        </w:rPr>
        <w:t>的重要举措来抓，加强领导，明确分工，落实责任，密切配合，形成合力，推动该项目顺利实施。由</w:t>
      </w:r>
      <w:r>
        <w:rPr>
          <w:rFonts w:hint="eastAsia"/>
          <w:color w:val="auto"/>
          <w:lang w:eastAsia="zh-CN"/>
        </w:rPr>
        <w:t>于田县人社局</w:t>
      </w:r>
      <w:r>
        <w:rPr>
          <w:rFonts w:hint="eastAsia"/>
        </w:rPr>
        <w:t>牵头，负责整个项目的统筹安排和经费使用管理工作，实现分级管理制度。</w:t>
      </w:r>
    </w:p>
    <w:p w14:paraId="5A04200D">
      <w:pPr>
        <w:pStyle w:val="33"/>
      </w:pPr>
      <w:r>
        <w:rPr>
          <w:rFonts w:hint="eastAsia"/>
        </w:rPr>
        <w:t>2.组织实施</w:t>
      </w:r>
    </w:p>
    <w:p w14:paraId="00BE7905">
      <w:pPr>
        <w:pStyle w:val="52"/>
        <w:spacing w:line="560" w:lineRule="exact"/>
        <w:ind w:left="3" w:right="3" w:firstLine="560"/>
      </w:pPr>
      <w:r>
        <w:t>成立绩效自评工作组后，经评价组通过实地调研等方式，采用综合分析法对项目的决策、管理、绩效进行的综合评价分析。</w:t>
      </w:r>
    </w:p>
    <w:p w14:paraId="08BBA1B0">
      <w:pPr>
        <w:pStyle w:val="33"/>
      </w:pPr>
      <w:r>
        <w:rPr>
          <w:rFonts w:hint="eastAsia"/>
        </w:rPr>
        <w:t>3.分析评价。</w:t>
      </w:r>
    </w:p>
    <w:p w14:paraId="5A388334">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7D7D23F5">
      <w:pPr>
        <w:pStyle w:val="52"/>
        <w:spacing w:line="560" w:lineRule="exact"/>
        <w:ind w:left="3" w:right="3" w:firstLine="560"/>
      </w:pPr>
      <w:r>
        <w:t>（1）绩效自评指标体系</w:t>
      </w:r>
    </w:p>
    <w:p w14:paraId="3CD48E6F">
      <w:pPr>
        <w:pStyle w:val="52"/>
        <w:spacing w:line="560" w:lineRule="exact"/>
        <w:ind w:left="3" w:right="3" w:firstLine="560"/>
      </w:pPr>
      <w:r>
        <w:t>按照《自治区财政专项扶贫资金绩效管理操作指南》（新财预〔2019〕170号）文件要求，并根据项目各项指标重要程度确定二级指标的分值，并对核心指标赋予更高的权重。</w:t>
      </w:r>
      <w:r>
        <w:rPr>
          <w:rFonts w:ascii="Times New Roman" w:hAnsi="Times New Roman" w:cs="Times New Roman"/>
        </w:rPr>
        <w:t>其中：数量指标</w:t>
      </w:r>
      <w:r>
        <w:rPr>
          <w:rFonts w:hint="eastAsia" w:cs="Times New Roman"/>
          <w:lang w:val="en-US" w:eastAsia="zh-CN"/>
        </w:rPr>
        <w:t>12</w:t>
      </w:r>
      <w:r>
        <w:rPr>
          <w:rFonts w:ascii="Times New Roman" w:hAnsi="Times New Roman" w:cs="Times New Roman"/>
        </w:rPr>
        <w:t>分、质量指标</w:t>
      </w:r>
      <w:r>
        <w:rPr>
          <w:rFonts w:hint="eastAsia" w:cs="Times New Roman"/>
          <w:lang w:val="en-US" w:eastAsia="zh-CN"/>
        </w:rPr>
        <w:t>12</w:t>
      </w:r>
      <w:r>
        <w:rPr>
          <w:rFonts w:ascii="Times New Roman" w:hAnsi="Times New Roman" w:cs="Times New Roman"/>
        </w:rPr>
        <w:t>分，时效指标</w:t>
      </w:r>
      <w:r>
        <w:rPr>
          <w:rFonts w:hint="eastAsia" w:ascii="Times New Roman" w:hAnsi="Times New Roman" w:cs="Times New Roman"/>
          <w:lang w:val="en-US" w:eastAsia="zh-CN"/>
        </w:rPr>
        <w:t>1</w:t>
      </w:r>
      <w:r>
        <w:rPr>
          <w:rFonts w:hint="eastAsia" w:cs="Times New Roman"/>
          <w:lang w:val="en-US" w:eastAsia="zh-CN"/>
        </w:rPr>
        <w:t>2</w:t>
      </w:r>
      <w:r>
        <w:rPr>
          <w:rFonts w:ascii="Times New Roman" w:hAnsi="Times New Roman" w:cs="Times New Roman"/>
        </w:rPr>
        <w:t>分、成本指标</w:t>
      </w:r>
      <w:r>
        <w:rPr>
          <w:rFonts w:hint="eastAsia" w:ascii="Times New Roman" w:hAnsi="Times New Roman" w:cs="Times New Roman"/>
          <w:lang w:val="en-US" w:eastAsia="zh-CN"/>
        </w:rPr>
        <w:t>1</w:t>
      </w:r>
      <w:r>
        <w:rPr>
          <w:rFonts w:hint="eastAsia" w:cs="Times New Roman"/>
          <w:lang w:val="en-US" w:eastAsia="zh-CN"/>
        </w:rPr>
        <w:t>4</w:t>
      </w:r>
      <w:r>
        <w:rPr>
          <w:rFonts w:ascii="Times New Roman" w:hAnsi="Times New Roman" w:cs="Times New Roman"/>
        </w:rPr>
        <w:t>分、社会效益指标</w:t>
      </w:r>
      <w:r>
        <w:rPr>
          <w:rFonts w:hint="eastAsia" w:cs="Times New Roman"/>
          <w:lang w:val="en-US" w:eastAsia="zh-CN"/>
        </w:rPr>
        <w:t>2</w:t>
      </w:r>
      <w:r>
        <w:rPr>
          <w:rFonts w:ascii="Times New Roman" w:hAnsi="Times New Roman" w:cs="Times New Roman"/>
        </w:rPr>
        <w:t>0分、可持续影响指标</w:t>
      </w:r>
      <w:r>
        <w:rPr>
          <w:rFonts w:hint="eastAsia" w:cs="Times New Roman"/>
          <w:lang w:val="en-US" w:eastAsia="zh-CN"/>
        </w:rPr>
        <w:t>10</w:t>
      </w:r>
      <w:r>
        <w:rPr>
          <w:rFonts w:ascii="Times New Roman" w:hAnsi="Times New Roman" w:cs="Times New Roman"/>
        </w:rPr>
        <w:t>分、满意度指标10分、预算资金执行率10分</w:t>
      </w:r>
      <w:r>
        <w:t>，满分100分。</w:t>
      </w:r>
    </w:p>
    <w:p w14:paraId="1530A64E">
      <w:pPr>
        <w:pStyle w:val="52"/>
        <w:spacing w:line="560" w:lineRule="exact"/>
        <w:ind w:left="3" w:right="3" w:firstLine="560"/>
      </w:pPr>
      <w:r>
        <w:t>（2）绩效自评方法</w:t>
      </w:r>
    </w:p>
    <w:p w14:paraId="06AE8ACF">
      <w:pPr>
        <w:pStyle w:val="52"/>
        <w:spacing w:line="560" w:lineRule="exact"/>
        <w:ind w:left="3" w:right="3" w:firstLine="560"/>
      </w:pPr>
      <w:r>
        <w:t>本次绩效自评采用比较法和综合分析法对项目资金的使用管理、项目产出、综合效益等进行评价。</w:t>
      </w:r>
    </w:p>
    <w:p w14:paraId="1FD07A7B">
      <w:pPr>
        <w:pStyle w:val="52"/>
        <w:spacing w:line="560" w:lineRule="exact"/>
        <w:ind w:left="3" w:right="3" w:firstLine="560"/>
      </w:pPr>
      <w:r>
        <w:t>（3）绩效自评标准</w:t>
      </w:r>
    </w:p>
    <w:p w14:paraId="2FD08686">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709C9A8">
      <w:pPr>
        <w:pStyle w:val="52"/>
        <w:spacing w:line="560" w:lineRule="exact"/>
        <w:ind w:left="3" w:right="3" w:firstLine="560"/>
      </w:pPr>
      <w:r>
        <w:t>（4）绩效自评等级</w:t>
      </w:r>
    </w:p>
    <w:p w14:paraId="19DA53FB">
      <w:pPr>
        <w:pStyle w:val="52"/>
        <w:spacing w:line="560" w:lineRule="exact"/>
        <w:ind w:left="3" w:right="3" w:firstLine="560"/>
      </w:pPr>
      <w:r>
        <w:t>绩效自评总分值100分，根据评分结果，90（含）-100分为优、80（含）-90分为良、60（含）-80分为中、60分以下为差。</w:t>
      </w:r>
    </w:p>
    <w:p w14:paraId="751EA263">
      <w:pPr>
        <w:pStyle w:val="29"/>
        <w:spacing w:before="120"/>
        <w:ind w:leftChars="0" w:right="3" w:firstLine="562" w:firstLineChars="200"/>
      </w:pPr>
      <w:r>
        <w:rPr>
          <w:rFonts w:hint="eastAsia"/>
        </w:rPr>
        <w:t>三、绩效目标自评完成情况分析</w:t>
      </w:r>
    </w:p>
    <w:p w14:paraId="5EDD9AFD">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3EE0FECE">
      <w:pPr>
        <w:pStyle w:val="33"/>
      </w:pPr>
      <w:r>
        <w:rPr>
          <w:rFonts w:hint="eastAsia"/>
        </w:rPr>
        <w:t>1.项目资金到位情况分析</w:t>
      </w:r>
    </w:p>
    <w:p w14:paraId="74FFDB6B">
      <w:pPr>
        <w:pStyle w:val="52"/>
        <w:spacing w:line="560" w:lineRule="exact"/>
        <w:ind w:left="0" w:leftChars="0" w:right="3" w:firstLine="560"/>
      </w:pPr>
      <w:r>
        <w:rPr>
          <w:rFonts w:hint="eastAsia" w:ascii="仿宋_GB2312" w:cs="Times New Roman"/>
          <w:color w:val="000000"/>
          <w:sz w:val="28"/>
          <w:szCs w:val="32"/>
          <w:lang w:eastAsia="zh-CN"/>
        </w:rPr>
        <w:t>于田县脱贫劳动力转移就业一次性交通补助项目（人社局）</w:t>
      </w:r>
      <w:r>
        <w:rPr>
          <w:rFonts w:hint="eastAsia"/>
        </w:rPr>
        <w:t>预算安排总额为</w:t>
      </w:r>
      <w:r>
        <w:rPr>
          <w:rFonts w:hint="eastAsia"/>
          <w:highlight w:val="none"/>
          <w:lang w:val="en-US" w:eastAsia="zh-CN"/>
        </w:rPr>
        <w:t>686.58</w:t>
      </w:r>
      <w:r>
        <w:rPr>
          <w:rFonts w:hint="eastAsia"/>
          <w:highlight w:val="none"/>
        </w:rPr>
        <w:t>万元，其中：</w:t>
      </w:r>
      <w:r>
        <w:rPr>
          <w:rFonts w:hint="eastAsia"/>
          <w:highlight w:val="none"/>
          <w:lang w:eastAsia="zh-CN"/>
        </w:rPr>
        <w:t>乡村振兴</w:t>
      </w:r>
      <w:r>
        <w:rPr>
          <w:rFonts w:hint="eastAsia"/>
          <w:highlight w:val="none"/>
        </w:rPr>
        <w:t>资金</w:t>
      </w:r>
      <w:r>
        <w:rPr>
          <w:rFonts w:hint="eastAsia" w:eastAsia="楷体_GB2312"/>
          <w:highlight w:val="none"/>
          <w:lang w:val="en-US" w:eastAsia="zh-CN"/>
        </w:rPr>
        <w:t>686.58</w:t>
      </w:r>
      <w:r>
        <w:rPr>
          <w:rFonts w:hint="eastAsia"/>
          <w:highlight w:val="none"/>
        </w:rPr>
        <w:t>万元。</w:t>
      </w:r>
      <w:r>
        <w:rPr>
          <w:rFonts w:hint="eastAsia"/>
        </w:rPr>
        <w:t>预算资金到位率为100.00%。</w:t>
      </w:r>
    </w:p>
    <w:p w14:paraId="24714D67">
      <w:pPr>
        <w:pStyle w:val="52"/>
        <w:spacing w:line="560" w:lineRule="exact"/>
        <w:ind w:left="0" w:leftChars="0" w:right="3" w:firstLine="562"/>
        <w:rPr>
          <w:b/>
        </w:rPr>
      </w:pPr>
      <w:r>
        <w:rPr>
          <w:rFonts w:hint="eastAsia"/>
          <w:b/>
        </w:rPr>
        <w:t>2.项目资金执行情况分析</w:t>
      </w:r>
    </w:p>
    <w:p w14:paraId="3B7AAC73">
      <w:pPr>
        <w:pStyle w:val="52"/>
        <w:spacing w:line="560" w:lineRule="exact"/>
        <w:ind w:left="0" w:leftChars="0" w:right="3" w:firstLine="560"/>
      </w:pPr>
      <w:r>
        <w:rPr>
          <w:rFonts w:hint="eastAsia" w:ascii="仿宋_GB2312" w:cs="Times New Roman"/>
          <w:color w:val="000000"/>
          <w:sz w:val="28"/>
          <w:szCs w:val="32"/>
          <w:lang w:eastAsia="zh-CN"/>
        </w:rPr>
        <w:t>于田县脱贫劳动力转移就业一次性交通补助项目（人社局）</w:t>
      </w:r>
      <w:r>
        <w:rPr>
          <w:rFonts w:hint="eastAsia"/>
        </w:rPr>
        <w:t>预算投入</w:t>
      </w:r>
      <w:r>
        <w:rPr>
          <w:rFonts w:hint="eastAsia" w:ascii="Times New Roman" w:hAnsi="Times New Roman" w:cs="Times New Roman"/>
          <w:highlight w:val="none"/>
        </w:rPr>
        <w:t>资金</w:t>
      </w:r>
      <w:r>
        <w:rPr>
          <w:rFonts w:hint="eastAsia" w:eastAsia="楷体_GB2312"/>
          <w:highlight w:val="none"/>
          <w:lang w:val="en-US" w:eastAsia="zh-CN"/>
        </w:rPr>
        <w:t>686.58</w:t>
      </w:r>
      <w:r>
        <w:rPr>
          <w:rFonts w:hint="eastAsia" w:ascii="Times New Roman" w:hAnsi="Times New Roman" w:cs="Times New Roman"/>
          <w:highlight w:val="none"/>
        </w:rPr>
        <w:t>万元，</w:t>
      </w:r>
      <w:r>
        <w:rPr>
          <w:rFonts w:hint="eastAsia" w:cs="Times New Roman"/>
          <w:highlight w:val="none"/>
          <w:lang w:val="en-US" w:eastAsia="zh-CN"/>
        </w:rPr>
        <w:t>截止2024年12月，已支付686.58万元</w:t>
      </w:r>
      <w:r>
        <w:rPr>
          <w:rFonts w:hint="eastAsia"/>
        </w:rPr>
        <w:t>，预算资金执行率</w:t>
      </w:r>
      <w:r>
        <w:rPr>
          <w:rFonts w:hint="eastAsia"/>
          <w:lang w:val="en-US" w:eastAsia="zh-CN"/>
        </w:rPr>
        <w:t>100</w:t>
      </w:r>
      <w:r>
        <w:t>%</w:t>
      </w:r>
      <w:r>
        <w:rPr>
          <w:rFonts w:hint="eastAsia"/>
        </w:rPr>
        <w:t>。</w:t>
      </w:r>
    </w:p>
    <w:p w14:paraId="6FEEC350">
      <w:pPr>
        <w:pStyle w:val="33"/>
      </w:pPr>
      <w:r>
        <w:rPr>
          <w:rFonts w:hint="eastAsia"/>
        </w:rPr>
        <w:t>3.项目资金管理情况分析</w:t>
      </w:r>
    </w:p>
    <w:p w14:paraId="6AE3E62F">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4BE5D526">
      <w:pPr>
        <w:pStyle w:val="52"/>
        <w:spacing w:line="560" w:lineRule="exact"/>
        <w:ind w:leftChars="0" w:right="3" w:firstLine="562"/>
        <w:rPr>
          <w:b/>
        </w:rPr>
      </w:pPr>
      <w:r>
        <w:rPr>
          <w:rFonts w:hint="eastAsia"/>
          <w:b/>
        </w:rPr>
        <w:t>4.项目管理情况分析</w:t>
      </w:r>
    </w:p>
    <w:p w14:paraId="343CFE8B">
      <w:pPr>
        <w:pStyle w:val="52"/>
        <w:spacing w:line="580" w:lineRule="exact"/>
        <w:ind w:left="0" w:leftChars="0" w:right="3" w:firstLine="560"/>
      </w:pPr>
      <w:r>
        <w:rPr>
          <w:rFonts w:hint="eastAsia"/>
        </w:rPr>
        <w:t>在项目实施中，</w:t>
      </w:r>
      <w:r>
        <w:rPr>
          <w:rFonts w:hint="eastAsia"/>
          <w:color w:val="auto"/>
          <w:lang w:eastAsia="zh-CN"/>
        </w:rPr>
        <w:t>于田县人社局</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737C5EB0">
      <w:pPr>
        <w:spacing w:line="58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（二）绩效目标完成情况分析</w:t>
      </w:r>
    </w:p>
    <w:p w14:paraId="7C9EADC2">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9"/>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本项目在2024年截止12月底，完成对疆内务工人员6616人，疆外务工人员1660人补贴。有效促进农牧民脱贫户、监测户的就业，拓展巩固脱贫攻坚与乡村振兴有效衔接，提高农牧民群众文化素质、逐步培养农牧民为有文化、守法律的公民。一是充分协调各部门力量，形成合力，实施更加积极的就业政策，着力解决项目实施中的问题，全力用好国家政策，用好衔接资金，创造更多的就业岗位，坚持以劳务输出为重点解决就业。</w:t>
      </w:r>
    </w:p>
    <w:p w14:paraId="2CFFACF2">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9"/>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本项目共设置一级指标3个，二级指标7个，三级指标12个，其中已完成三级指标7个，指标完成率为94.20%，指标完成情况分析如下：</w:t>
      </w:r>
    </w:p>
    <w:p w14:paraId="7C95BB92">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both"/>
        <w:textAlignment w:val="auto"/>
        <w:outlineLvl w:val="9"/>
        <w:rPr>
          <w:rFonts w:hint="eastAsia" w:ascii="Times New Roman" w:hAnsi="Times New Roman" w:eastAsia="仿宋_GB2312" w:cs="Times New Roman"/>
          <w:b/>
          <w:bCs/>
          <w:color w:val="000000"/>
          <w:kern w:val="2"/>
          <w:sz w:val="28"/>
          <w:szCs w:val="22"/>
          <w:lang w:val="en-US" w:eastAsia="zh-CN" w:bidi="ar-SA"/>
        </w:rPr>
      </w:pPr>
      <w:r>
        <w:rPr>
          <w:rFonts w:hint="eastAsia" w:ascii="Times New Roman" w:hAnsi="Times New Roman" w:eastAsia="仿宋_GB2312" w:cs="Times New Roman"/>
          <w:b/>
          <w:bCs/>
          <w:color w:val="000000"/>
          <w:kern w:val="2"/>
          <w:sz w:val="28"/>
          <w:szCs w:val="22"/>
          <w:lang w:val="en-US" w:eastAsia="zh-CN" w:bidi="ar-SA"/>
        </w:rPr>
        <w:t>1.产出指标完成情况分析</w:t>
      </w:r>
    </w:p>
    <w:p w14:paraId="0B58C4DA">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9"/>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1.1项目完成数量</w:t>
      </w:r>
    </w:p>
    <w:p w14:paraId="04284513">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9"/>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“补贴疆外务工人员人数”指标，预期指标值为大于等于3000人,全年实际值为1660人，指标完成率为55.33%。所设分值6分，实际得分3.32分。</w:t>
      </w:r>
    </w:p>
    <w:p w14:paraId="73FB65FD">
      <w:pPr>
        <w:pStyle w:val="33"/>
        <w:numPr>
          <w:ilvl w:val="0"/>
          <w:numId w:val="0"/>
        </w:numPr>
        <w:ind w:firstLine="560" w:firstLineChars="200"/>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 xml:space="preserve">  偏差原因：2024年外出务工人员减少。</w:t>
      </w:r>
    </w:p>
    <w:p w14:paraId="51CD49F6">
      <w:pPr>
        <w:pStyle w:val="33"/>
        <w:numPr>
          <w:ilvl w:val="0"/>
          <w:numId w:val="0"/>
        </w:numPr>
        <w:ind w:firstLine="560" w:firstLineChars="200"/>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 xml:space="preserve">整改措施：加强项目管理 </w:t>
      </w:r>
      <w:r>
        <w:rPr>
          <w:rFonts w:hint="eastAsia" w:ascii="Times New Roman" w:hAnsi="Times New Roman" w:cs="Times New Roman"/>
          <w:color w:val="000000"/>
          <w:kern w:val="2"/>
          <w:sz w:val="28"/>
          <w:szCs w:val="22"/>
          <w:lang w:val="en-US" w:eastAsia="zh-CN" w:bidi="ar-SA"/>
        </w:rPr>
        <w:t>，</w:t>
      </w:r>
      <w:r>
        <w:rPr>
          <w:rFonts w:hint="eastAsia" w:ascii="Times New Roman" w:hAnsi="Times New Roman" w:eastAsia="仿宋_GB2312" w:cs="Times New Roman"/>
          <w:color w:val="000000"/>
          <w:kern w:val="2"/>
          <w:sz w:val="28"/>
          <w:szCs w:val="22"/>
          <w:lang w:val="en-US" w:eastAsia="zh-CN" w:bidi="ar-SA"/>
        </w:rPr>
        <w:t xml:space="preserve"> </w:t>
      </w:r>
      <w:r>
        <w:rPr>
          <w:rFonts w:hint="eastAsia"/>
        </w:rPr>
        <w:t>完善实施方案编制与目标设置。</w:t>
      </w:r>
      <w:r>
        <w:rPr>
          <w:rFonts w:hint="eastAsia" w:ascii="Times New Roman" w:hAnsi="Times New Roman" w:eastAsia="仿宋_GB2312" w:cs="Times New Roman"/>
          <w:color w:val="000000"/>
          <w:kern w:val="2"/>
          <w:sz w:val="28"/>
          <w:szCs w:val="22"/>
          <w:lang w:val="en-US" w:eastAsia="zh-CN" w:bidi="ar-SA"/>
        </w:rPr>
        <w:t xml:space="preserve">   </w:t>
      </w:r>
    </w:p>
    <w:p w14:paraId="0E32318E">
      <w:pPr>
        <w:pStyle w:val="52"/>
        <w:spacing w:line="560" w:lineRule="exact"/>
        <w:ind w:left="0" w:leftChars="0" w:right="0" w:rightChars="0" w:firstLine="560"/>
        <w:rPr>
          <w:rFonts w:hint="eastAsia"/>
        </w:rPr>
      </w:pPr>
      <w:r>
        <w:rPr>
          <w:rFonts w:hint="eastAsia" w:ascii="Times New Roman" w:hAnsi="Times New Roman" w:eastAsia="仿宋_GB2312" w:cs="Times New Roman"/>
          <w:color w:val="000000"/>
          <w:kern w:val="2"/>
          <w:sz w:val="28"/>
          <w:szCs w:val="22"/>
          <w:lang w:val="en-US" w:eastAsia="zh-CN" w:bidi="ar-SA"/>
        </w:rPr>
        <w:t>“补贴疆内务工人员人数”指标，预期指标值为</w:t>
      </w:r>
      <w:r>
        <w:rPr>
          <w:rFonts w:hint="eastAsia" w:cs="Times New Roman"/>
          <w:color w:val="000000"/>
          <w:kern w:val="2"/>
          <w:sz w:val="28"/>
          <w:szCs w:val="22"/>
          <w:lang w:val="en-US" w:eastAsia="zh-CN" w:bidi="ar-SA"/>
        </w:rPr>
        <w:t>大于等于7000</w:t>
      </w:r>
      <w:r>
        <w:rPr>
          <w:rFonts w:hint="eastAsia" w:ascii="Times New Roman" w:hAnsi="Times New Roman" w:eastAsia="仿宋_GB2312" w:cs="Times New Roman"/>
          <w:color w:val="000000"/>
          <w:kern w:val="2"/>
          <w:sz w:val="28"/>
          <w:szCs w:val="22"/>
          <w:lang w:val="en-US" w:eastAsia="zh-CN" w:bidi="ar-SA"/>
        </w:rPr>
        <w:t>人,全年实际值为</w:t>
      </w:r>
      <w:r>
        <w:rPr>
          <w:rFonts w:hint="eastAsia" w:cs="Times New Roman"/>
          <w:color w:val="000000"/>
          <w:kern w:val="2"/>
          <w:sz w:val="28"/>
          <w:szCs w:val="22"/>
          <w:lang w:val="en-US" w:eastAsia="zh-CN" w:bidi="ar-SA"/>
        </w:rPr>
        <w:t>6616</w:t>
      </w:r>
      <w:r>
        <w:rPr>
          <w:rFonts w:hint="eastAsia" w:ascii="Times New Roman" w:hAnsi="Times New Roman" w:eastAsia="仿宋_GB2312" w:cs="Times New Roman"/>
          <w:color w:val="000000"/>
          <w:kern w:val="2"/>
          <w:sz w:val="28"/>
          <w:szCs w:val="22"/>
          <w:lang w:val="en-US" w:eastAsia="zh-CN" w:bidi="ar-SA"/>
        </w:rPr>
        <w:t>人，指标完成率为</w:t>
      </w:r>
      <w:r>
        <w:rPr>
          <w:rFonts w:hint="eastAsia" w:cs="Times New Roman"/>
          <w:color w:val="000000"/>
          <w:kern w:val="2"/>
          <w:sz w:val="28"/>
          <w:szCs w:val="22"/>
          <w:lang w:val="en-US" w:eastAsia="zh-CN" w:bidi="ar-SA"/>
        </w:rPr>
        <w:t>94.51</w:t>
      </w:r>
      <w:r>
        <w:rPr>
          <w:rFonts w:hint="eastAsia" w:ascii="Times New Roman" w:hAnsi="Times New Roman" w:eastAsia="仿宋_GB2312" w:cs="Times New Roman"/>
          <w:color w:val="000000"/>
          <w:kern w:val="2"/>
          <w:sz w:val="28"/>
          <w:szCs w:val="22"/>
          <w:lang w:val="en-US" w:eastAsia="zh-CN" w:bidi="ar-SA"/>
        </w:rPr>
        <w:t>%。所设分值6</w:t>
      </w:r>
      <w:r>
        <w:rPr>
          <w:rFonts w:hint="eastAsia"/>
        </w:rPr>
        <w:t>分，实际得分</w:t>
      </w:r>
      <w:r>
        <w:rPr>
          <w:rFonts w:hint="eastAsia"/>
          <w:lang w:val="en-US" w:eastAsia="zh-CN"/>
        </w:rPr>
        <w:t>5.67</w:t>
      </w:r>
      <w:r>
        <w:rPr>
          <w:rFonts w:hint="eastAsia"/>
        </w:rPr>
        <w:t>分。</w:t>
      </w:r>
    </w:p>
    <w:p w14:paraId="387C3C01">
      <w:pPr>
        <w:pStyle w:val="33"/>
        <w:numPr>
          <w:ilvl w:val="0"/>
          <w:numId w:val="0"/>
        </w:numPr>
        <w:ind w:firstLine="560" w:firstLineChars="200"/>
        <w:rPr>
          <w:rFonts w:hint="eastAsia"/>
        </w:rPr>
      </w:pPr>
      <w:r>
        <w:rPr>
          <w:rFonts w:hint="eastAsia"/>
        </w:rPr>
        <w:t>偏差原因：2024年外出务工人员减少</w:t>
      </w:r>
      <w:bookmarkStart w:id="0" w:name="_GoBack"/>
      <w:bookmarkEnd w:id="0"/>
      <w:r>
        <w:rPr>
          <w:rFonts w:hint="eastAsia"/>
        </w:rPr>
        <w:t>。</w:t>
      </w:r>
    </w:p>
    <w:p w14:paraId="0DDEC07D">
      <w:pPr>
        <w:pStyle w:val="33"/>
        <w:numPr>
          <w:ilvl w:val="0"/>
          <w:numId w:val="0"/>
        </w:numPr>
        <w:ind w:firstLine="560" w:firstLineChars="200"/>
        <w:rPr>
          <w:rFonts w:ascii="仿宋_GB2312"/>
        </w:rPr>
      </w:pPr>
      <w:r>
        <w:rPr>
          <w:rFonts w:hint="eastAsia"/>
        </w:rPr>
        <w:t>整改措施：加强项目管理</w:t>
      </w:r>
      <w:r>
        <w:rPr>
          <w:rFonts w:hint="eastAsia"/>
          <w:lang w:eastAsia="zh-CN"/>
        </w:rPr>
        <w:t>，</w:t>
      </w:r>
      <w:r>
        <w:rPr>
          <w:rFonts w:hint="eastAsia"/>
        </w:rPr>
        <w:t>完善实施方案编制与目标设置。</w:t>
      </w:r>
    </w:p>
    <w:p w14:paraId="1FD83370">
      <w:pPr>
        <w:pStyle w:val="52"/>
        <w:spacing w:line="560" w:lineRule="exact"/>
        <w:ind w:left="0" w:leftChars="0" w:right="0" w:rightChars="0" w:firstLine="560"/>
      </w:pPr>
      <w:r>
        <w:rPr>
          <w:rFonts w:ascii="仿宋_GB2312"/>
        </w:rPr>
        <w:t>1.2项目完成质量</w:t>
      </w:r>
    </w:p>
    <w:p w14:paraId="3C9BE356">
      <w:pPr>
        <w:pStyle w:val="52"/>
        <w:spacing w:line="560" w:lineRule="exact"/>
        <w:ind w:left="0" w:leftChars="0" w:right="0" w:rightChars="0" w:firstLine="560"/>
        <w:rPr>
          <w:rFonts w:hint="eastAsia"/>
        </w:rPr>
      </w:pPr>
      <w:r>
        <w:rPr>
          <w:rFonts w:hint="eastAsia"/>
        </w:rPr>
        <w:t>“人员认定准确率”指标，预期指标值为</w:t>
      </w:r>
      <w:r>
        <w:rPr>
          <w:rFonts w:hint="eastAsia"/>
          <w:lang w:eastAsia="zh-CN"/>
        </w:rPr>
        <w:t>等于</w:t>
      </w:r>
      <w:r>
        <w:rPr>
          <w:rFonts w:hint="eastAsia"/>
        </w:rPr>
        <w:t>100.00%,全年实际值为100.00%，指标完成率为100.00%。所设分值6分，实际得分6分。</w:t>
      </w:r>
    </w:p>
    <w:p w14:paraId="5F681D05">
      <w:pPr>
        <w:pStyle w:val="52"/>
        <w:spacing w:line="560" w:lineRule="exact"/>
        <w:ind w:left="0" w:leftChars="0" w:right="0" w:rightChars="0" w:firstLine="560"/>
        <w:rPr>
          <w:rFonts w:hint="eastAsia"/>
        </w:rPr>
      </w:pPr>
      <w:r>
        <w:rPr>
          <w:rFonts w:hint="eastAsia"/>
        </w:rPr>
        <w:t>“补助发放合规率”指标，预期指标值为</w:t>
      </w:r>
      <w:r>
        <w:rPr>
          <w:rFonts w:hint="eastAsia"/>
          <w:lang w:eastAsia="zh-CN"/>
        </w:rPr>
        <w:t>等于</w:t>
      </w:r>
      <w:r>
        <w:rPr>
          <w:rFonts w:hint="eastAsia"/>
        </w:rPr>
        <w:t>100.00%,全年实际值为100.00%，指标完成率为100.00%。所设分值6分，实际得分6分。</w:t>
      </w:r>
    </w:p>
    <w:p w14:paraId="6EDA8D0D">
      <w:pPr>
        <w:pStyle w:val="52"/>
        <w:spacing w:line="560" w:lineRule="exact"/>
        <w:ind w:left="0" w:leftChars="0" w:right="0" w:rightChars="0" w:firstLine="560"/>
      </w:pPr>
      <w:r>
        <w:t>1.3项目完成时效</w:t>
      </w:r>
    </w:p>
    <w:p w14:paraId="6A9E24F3">
      <w:pPr>
        <w:pStyle w:val="52"/>
        <w:spacing w:line="560" w:lineRule="exact"/>
        <w:ind w:left="0" w:leftChars="0" w:right="0" w:rightChars="0" w:firstLine="560"/>
      </w:pPr>
      <w:r>
        <w:rPr>
          <w:rFonts w:hint="eastAsia"/>
        </w:rPr>
        <w:t>“补助发放及时率”指标，预期指标值为</w:t>
      </w:r>
      <w:r>
        <w:rPr>
          <w:rFonts w:hint="eastAsia"/>
          <w:lang w:eastAsia="zh-CN"/>
        </w:rPr>
        <w:t>等于</w:t>
      </w:r>
      <w:r>
        <w:rPr>
          <w:rFonts w:hint="eastAsia"/>
        </w:rPr>
        <w:t>100.00%,全年实际值为100.00%，指标完成率为100.00%。所设分值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30660C58">
      <w:pPr>
        <w:pStyle w:val="52"/>
        <w:spacing w:line="560" w:lineRule="exact"/>
        <w:ind w:left="0" w:leftChars="0" w:right="0" w:rightChars="0" w:firstLine="560"/>
        <w:rPr>
          <w:color w:val="auto"/>
        </w:rPr>
      </w:pPr>
      <w:r>
        <w:rPr>
          <w:rFonts w:hint="eastAsia"/>
        </w:rPr>
        <w:t>“项目完成时间”指标，预期指</w:t>
      </w:r>
      <w:r>
        <w:rPr>
          <w:rFonts w:hint="eastAsia"/>
          <w:color w:val="auto"/>
        </w:rPr>
        <w:t>标值为202</w:t>
      </w:r>
      <w:r>
        <w:rPr>
          <w:rFonts w:hint="eastAsia"/>
          <w:color w:val="auto"/>
          <w:lang w:val="en-US" w:eastAsia="zh-CN"/>
        </w:rPr>
        <w:t>4</w:t>
      </w:r>
      <w:r>
        <w:rPr>
          <w:rFonts w:hint="eastAsia"/>
          <w:color w:val="auto"/>
        </w:rPr>
        <w:t>年</w:t>
      </w:r>
      <w:r>
        <w:rPr>
          <w:rFonts w:hint="eastAsia"/>
          <w:color w:val="auto"/>
          <w:lang w:val="en-US" w:eastAsia="zh-CN"/>
        </w:rPr>
        <w:t>12</w:t>
      </w:r>
      <w:r>
        <w:rPr>
          <w:rFonts w:hint="eastAsia"/>
          <w:color w:val="auto"/>
        </w:rPr>
        <w:t>月,全年实际值为202</w:t>
      </w:r>
      <w:r>
        <w:rPr>
          <w:rFonts w:hint="eastAsia"/>
          <w:color w:val="auto"/>
          <w:lang w:val="en-US" w:eastAsia="zh-CN"/>
        </w:rPr>
        <w:t>4</w:t>
      </w:r>
      <w:r>
        <w:rPr>
          <w:rFonts w:hint="eastAsia"/>
          <w:color w:val="auto"/>
        </w:rPr>
        <w:t>年</w:t>
      </w:r>
      <w:r>
        <w:rPr>
          <w:rFonts w:hint="eastAsia"/>
          <w:color w:val="auto"/>
          <w:lang w:val="en-US" w:eastAsia="zh-CN"/>
        </w:rPr>
        <w:t>12</w:t>
      </w:r>
      <w:r>
        <w:rPr>
          <w:rFonts w:hint="eastAsia"/>
          <w:color w:val="auto"/>
        </w:rPr>
        <w:t>月，指标完成率为100.00%。所设分值</w:t>
      </w:r>
      <w:r>
        <w:rPr>
          <w:rFonts w:hint="eastAsia"/>
          <w:color w:val="auto"/>
          <w:lang w:val="en-US" w:eastAsia="zh-CN"/>
        </w:rPr>
        <w:t>6</w:t>
      </w:r>
      <w:r>
        <w:rPr>
          <w:rFonts w:hint="eastAsia"/>
          <w:color w:val="auto"/>
        </w:rPr>
        <w:t>分，实际得分</w:t>
      </w:r>
      <w:r>
        <w:rPr>
          <w:rFonts w:hint="eastAsia"/>
          <w:color w:val="auto"/>
          <w:lang w:val="en-US" w:eastAsia="zh-CN"/>
        </w:rPr>
        <w:t>6</w:t>
      </w:r>
      <w:r>
        <w:rPr>
          <w:rFonts w:hint="eastAsia"/>
          <w:color w:val="auto"/>
        </w:rPr>
        <w:t>分。</w:t>
      </w:r>
      <w:r>
        <w:rPr>
          <w:color w:val="auto"/>
        </w:rPr>
        <w:t xml:space="preserve">   </w:t>
      </w:r>
    </w:p>
    <w:p w14:paraId="73E15E71">
      <w:pPr>
        <w:pStyle w:val="52"/>
        <w:spacing w:line="560" w:lineRule="exact"/>
        <w:ind w:left="0" w:leftChars="0" w:right="0" w:rightChars="0" w:firstLine="560"/>
      </w:pPr>
      <w:r>
        <w:t>1.4项目成本节约情况</w:t>
      </w:r>
    </w:p>
    <w:p w14:paraId="1E2B190B">
      <w:pPr>
        <w:pStyle w:val="52"/>
        <w:spacing w:line="560" w:lineRule="exact"/>
        <w:ind w:left="0" w:leftChars="0" w:right="0" w:rightChars="0" w:firstLine="560"/>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17EF95D3">
      <w:pPr>
        <w:pStyle w:val="33"/>
        <w:rPr>
          <w:rFonts w:hint="eastAsia"/>
        </w:rPr>
      </w:pPr>
      <w:r>
        <w:rPr>
          <w:rFonts w:hint="eastAsia"/>
        </w:rPr>
        <w:t>“疆外务工人员补贴成本”指标，预期指标值为</w:t>
      </w:r>
      <w:r>
        <w:rPr>
          <w:rFonts w:hint="eastAsia"/>
          <w:lang w:eastAsia="zh-CN"/>
        </w:rPr>
        <w:t>小于等于</w:t>
      </w:r>
      <w:r>
        <w:rPr>
          <w:rFonts w:hint="eastAsia"/>
          <w:lang w:val="en-US" w:eastAsia="zh-CN"/>
        </w:rPr>
        <w:t>300</w:t>
      </w:r>
      <w:r>
        <w:rPr>
          <w:rFonts w:hint="eastAsia"/>
        </w:rPr>
        <w:t>万元, 全年实际值为</w:t>
      </w:r>
      <w:r>
        <w:rPr>
          <w:rFonts w:hint="eastAsia"/>
          <w:lang w:val="en-US" w:eastAsia="zh-CN"/>
        </w:rPr>
        <w:t>296.47</w:t>
      </w:r>
      <w:r>
        <w:rPr>
          <w:rFonts w:hint="eastAsia"/>
        </w:rPr>
        <w:t>万元，指标完成率为</w:t>
      </w:r>
      <w:r>
        <w:rPr>
          <w:rFonts w:hint="eastAsia"/>
          <w:lang w:val="en-US" w:eastAsia="zh-CN"/>
        </w:rPr>
        <w:t>98.82</w:t>
      </w:r>
      <w:r>
        <w:rPr>
          <w:rFonts w:hint="eastAsia"/>
        </w:rPr>
        <w:t>%。所设分值</w:t>
      </w:r>
      <w:r>
        <w:rPr>
          <w:rFonts w:hint="eastAsia"/>
          <w:lang w:val="en-US" w:eastAsia="zh-CN"/>
        </w:rPr>
        <w:t>7</w:t>
      </w:r>
      <w:r>
        <w:rPr>
          <w:rFonts w:hint="eastAsia"/>
        </w:rPr>
        <w:t>分，实际得分</w:t>
      </w:r>
      <w:r>
        <w:rPr>
          <w:rFonts w:hint="eastAsia"/>
          <w:lang w:val="en-US" w:eastAsia="zh-CN"/>
        </w:rPr>
        <w:t>6.92</w:t>
      </w:r>
      <w:r>
        <w:rPr>
          <w:rFonts w:hint="eastAsia"/>
        </w:rPr>
        <w:t>分。</w:t>
      </w:r>
    </w:p>
    <w:p w14:paraId="56023475">
      <w:pPr>
        <w:pStyle w:val="33"/>
        <w:rPr>
          <w:rFonts w:hint="eastAsia"/>
        </w:rPr>
      </w:pPr>
      <w:r>
        <w:rPr>
          <w:rFonts w:hint="eastAsia"/>
        </w:rPr>
        <w:t>偏差原因：预算时按实际票据金额为支付，后期按照文件要求1000元，2000元不等标准补贴。</w:t>
      </w:r>
    </w:p>
    <w:p w14:paraId="37DB44AE">
      <w:pPr>
        <w:pStyle w:val="33"/>
        <w:rPr>
          <w:rFonts w:hint="eastAsia"/>
        </w:rPr>
      </w:pPr>
      <w:r>
        <w:rPr>
          <w:rFonts w:hint="eastAsia"/>
        </w:rPr>
        <w:t>整改措施：加强项目管理，完善预算编制。</w:t>
      </w:r>
    </w:p>
    <w:p w14:paraId="42B54AB2">
      <w:pPr>
        <w:pStyle w:val="33"/>
        <w:rPr>
          <w:rFonts w:hint="eastAsia"/>
        </w:rPr>
      </w:pPr>
      <w:r>
        <w:rPr>
          <w:rFonts w:hint="eastAsia"/>
        </w:rPr>
        <w:t>“疆内务工人员补贴成本”指标，预期指标值为</w:t>
      </w:r>
      <w:r>
        <w:rPr>
          <w:rFonts w:hint="eastAsia"/>
          <w:lang w:eastAsia="zh-CN"/>
        </w:rPr>
        <w:t>小于等于</w:t>
      </w:r>
      <w:r>
        <w:rPr>
          <w:rFonts w:hint="eastAsia"/>
          <w:lang w:val="en-US" w:eastAsia="zh-CN"/>
        </w:rPr>
        <w:t>386.58</w:t>
      </w:r>
      <w:r>
        <w:rPr>
          <w:rFonts w:hint="eastAsia"/>
        </w:rPr>
        <w:t>万元, 全年实际值为</w:t>
      </w:r>
      <w:r>
        <w:rPr>
          <w:rFonts w:hint="eastAsia"/>
          <w:lang w:val="en-US" w:eastAsia="zh-CN"/>
        </w:rPr>
        <w:t>390.11</w:t>
      </w:r>
      <w:r>
        <w:rPr>
          <w:rFonts w:hint="eastAsia"/>
        </w:rPr>
        <w:t>万元，指标完成率为</w:t>
      </w:r>
      <w:r>
        <w:rPr>
          <w:rFonts w:hint="eastAsia"/>
          <w:lang w:val="en-US" w:eastAsia="zh-CN"/>
        </w:rPr>
        <w:t>99</w:t>
      </w:r>
      <w:r>
        <w:rPr>
          <w:rFonts w:hint="eastAsia"/>
        </w:rPr>
        <w:t>%；所设分值</w:t>
      </w:r>
      <w:r>
        <w:rPr>
          <w:rFonts w:hint="eastAsia"/>
          <w:lang w:val="en-US" w:eastAsia="zh-CN"/>
        </w:rPr>
        <w:t>7</w:t>
      </w:r>
      <w:r>
        <w:rPr>
          <w:rFonts w:hint="eastAsia"/>
        </w:rPr>
        <w:t>分，实际得分</w:t>
      </w:r>
      <w:r>
        <w:rPr>
          <w:rFonts w:hint="eastAsia"/>
          <w:lang w:val="en-US" w:eastAsia="zh-CN"/>
        </w:rPr>
        <w:t>6.93</w:t>
      </w:r>
      <w:r>
        <w:rPr>
          <w:rFonts w:hint="eastAsia"/>
        </w:rPr>
        <w:t>分。</w:t>
      </w:r>
    </w:p>
    <w:p w14:paraId="57FDA7CF">
      <w:pPr>
        <w:pStyle w:val="33"/>
        <w:rPr>
          <w:rFonts w:hint="eastAsia"/>
        </w:rPr>
      </w:pPr>
      <w:r>
        <w:rPr>
          <w:rFonts w:hint="eastAsia"/>
        </w:rPr>
        <w:t>偏差原因：预算时按实际票据金额为支付，后期按照文件要求1000元，2000元不等标准补贴。</w:t>
      </w:r>
    </w:p>
    <w:p w14:paraId="0DBAFD9E">
      <w:pPr>
        <w:pStyle w:val="33"/>
        <w:rPr>
          <w:rFonts w:hint="eastAsia"/>
        </w:rPr>
      </w:pPr>
      <w:r>
        <w:rPr>
          <w:rFonts w:hint="eastAsia"/>
        </w:rPr>
        <w:t>整改措施：加强项目管理，完善预算编制。</w:t>
      </w:r>
    </w:p>
    <w:p w14:paraId="6BED2D9D">
      <w:pPr>
        <w:pStyle w:val="33"/>
        <w:rPr>
          <w:b/>
          <w:bCs w:val="0"/>
        </w:rPr>
      </w:pPr>
      <w:r>
        <w:rPr>
          <w:rFonts w:hint="eastAsia"/>
          <w:b/>
          <w:bCs w:val="0"/>
        </w:rPr>
        <w:t>2.效益指标完成情况分析</w:t>
      </w:r>
    </w:p>
    <w:p w14:paraId="5F68F0B8">
      <w:pPr>
        <w:pStyle w:val="52"/>
        <w:spacing w:line="560" w:lineRule="exact"/>
        <w:ind w:left="0" w:leftChars="0" w:right="0" w:rightChars="0" w:firstLine="560"/>
      </w:pPr>
      <w:r>
        <w:t>2.</w:t>
      </w:r>
      <w:r>
        <w:rPr>
          <w:rFonts w:hint="eastAsia"/>
          <w:lang w:val="en-US" w:eastAsia="zh-CN"/>
        </w:rPr>
        <w:t>1</w:t>
      </w:r>
      <w:r>
        <w:t>项目实施的社会效益分析</w:t>
      </w:r>
    </w:p>
    <w:p w14:paraId="6D692677">
      <w:pPr>
        <w:pStyle w:val="52"/>
        <w:spacing w:line="560" w:lineRule="exact"/>
        <w:ind w:left="0" w:leftChars="0" w:right="0" w:rightChars="0" w:firstLine="560"/>
        <w:rPr>
          <w:rFonts w:hint="eastAsia"/>
        </w:rPr>
      </w:pPr>
      <w:r>
        <w:rPr>
          <w:rFonts w:hint="eastAsia"/>
        </w:rPr>
        <w:t>“有效促进转移就业积极性”指标，指标预期值为有效促进，实际完成值为有效促进，指标完成率为100.00%。所设分值</w:t>
      </w:r>
      <w:r>
        <w:rPr>
          <w:rFonts w:hint="eastAsia"/>
          <w:lang w:val="en-US" w:eastAsia="zh-CN"/>
        </w:rPr>
        <w:t>10</w:t>
      </w:r>
      <w:r>
        <w:rPr>
          <w:rFonts w:hint="eastAsia"/>
        </w:rPr>
        <w:t>分，实际得分</w:t>
      </w:r>
      <w:r>
        <w:rPr>
          <w:rFonts w:hint="eastAsia"/>
          <w:lang w:val="en-US" w:eastAsia="zh-CN"/>
        </w:rPr>
        <w:t>10</w:t>
      </w:r>
      <w:r>
        <w:rPr>
          <w:rFonts w:hint="eastAsia"/>
        </w:rPr>
        <w:t>分。</w:t>
      </w:r>
    </w:p>
    <w:p w14:paraId="31DD0EE0">
      <w:pPr>
        <w:pStyle w:val="52"/>
        <w:spacing w:line="560" w:lineRule="exact"/>
        <w:ind w:left="0" w:leftChars="0" w:right="0" w:rightChars="0" w:firstLine="560"/>
        <w:rPr>
          <w:rFonts w:hint="eastAsia"/>
        </w:rPr>
      </w:pPr>
      <w:r>
        <w:rPr>
          <w:rFonts w:hint="eastAsia"/>
        </w:rPr>
        <w:t>“受益务工人员人口数”指标，指标预期值为</w:t>
      </w:r>
      <w:r>
        <w:rPr>
          <w:rFonts w:hint="eastAsia" w:cs="Times New Roman"/>
          <w:color w:val="000000"/>
          <w:kern w:val="2"/>
          <w:sz w:val="28"/>
          <w:szCs w:val="22"/>
          <w:lang w:val="en-US" w:eastAsia="zh-CN" w:bidi="ar-SA"/>
        </w:rPr>
        <w:t>大于等于10</w:t>
      </w:r>
      <w:r>
        <w:rPr>
          <w:rFonts w:hint="eastAsia" w:ascii="Times New Roman" w:hAnsi="Times New Roman" w:eastAsia="仿宋_GB2312" w:cs="Times New Roman"/>
          <w:color w:val="000000"/>
          <w:kern w:val="2"/>
          <w:sz w:val="28"/>
          <w:szCs w:val="22"/>
          <w:lang w:val="en-US" w:eastAsia="zh-CN" w:bidi="ar-SA"/>
        </w:rPr>
        <w:t>000人,全年实际值为</w:t>
      </w:r>
      <w:r>
        <w:rPr>
          <w:rFonts w:hint="eastAsia" w:cs="Times New Roman"/>
          <w:color w:val="000000"/>
          <w:kern w:val="2"/>
          <w:sz w:val="28"/>
          <w:szCs w:val="22"/>
          <w:lang w:val="en-US" w:eastAsia="zh-CN" w:bidi="ar-SA"/>
        </w:rPr>
        <w:t>8276</w:t>
      </w:r>
      <w:r>
        <w:rPr>
          <w:rFonts w:hint="eastAsia" w:ascii="Times New Roman" w:hAnsi="Times New Roman" w:eastAsia="仿宋_GB2312" w:cs="Times New Roman"/>
          <w:color w:val="000000"/>
          <w:kern w:val="2"/>
          <w:sz w:val="28"/>
          <w:szCs w:val="22"/>
          <w:lang w:val="en-US" w:eastAsia="zh-CN" w:bidi="ar-SA"/>
        </w:rPr>
        <w:t>人，指标完成率为</w:t>
      </w:r>
      <w:r>
        <w:rPr>
          <w:rFonts w:hint="eastAsia" w:cs="Times New Roman"/>
          <w:color w:val="000000"/>
          <w:kern w:val="2"/>
          <w:sz w:val="28"/>
          <w:szCs w:val="22"/>
          <w:lang w:val="en-US" w:eastAsia="zh-CN" w:bidi="ar-SA"/>
        </w:rPr>
        <w:t>82.76</w:t>
      </w:r>
      <w:r>
        <w:rPr>
          <w:rFonts w:hint="eastAsia" w:ascii="Times New Roman" w:hAnsi="Times New Roman" w:eastAsia="仿宋_GB2312" w:cs="Times New Roman"/>
          <w:color w:val="000000"/>
          <w:kern w:val="2"/>
          <w:sz w:val="28"/>
          <w:szCs w:val="22"/>
          <w:lang w:val="en-US" w:eastAsia="zh-CN" w:bidi="ar-SA"/>
        </w:rPr>
        <w:t>%。所设分值</w:t>
      </w:r>
      <w:r>
        <w:rPr>
          <w:rFonts w:hint="eastAsia" w:cs="Times New Roman"/>
          <w:color w:val="000000"/>
          <w:kern w:val="2"/>
          <w:sz w:val="28"/>
          <w:szCs w:val="22"/>
          <w:lang w:val="en-US" w:eastAsia="zh-CN" w:bidi="ar-SA"/>
        </w:rPr>
        <w:t>10</w:t>
      </w:r>
      <w:r>
        <w:rPr>
          <w:rFonts w:hint="eastAsia" w:ascii="Times New Roman" w:hAnsi="Times New Roman" w:eastAsia="仿宋_GB2312" w:cs="Times New Roman"/>
          <w:color w:val="000000"/>
          <w:kern w:val="2"/>
          <w:sz w:val="28"/>
          <w:szCs w:val="22"/>
          <w:lang w:val="en-US" w:eastAsia="zh-CN" w:bidi="ar-SA"/>
        </w:rPr>
        <w:t>分，实际得分</w:t>
      </w:r>
      <w:r>
        <w:rPr>
          <w:rFonts w:hint="eastAsia" w:cs="Times New Roman"/>
          <w:color w:val="000000"/>
          <w:kern w:val="2"/>
          <w:sz w:val="28"/>
          <w:szCs w:val="22"/>
          <w:lang w:val="en-US" w:eastAsia="zh-CN" w:bidi="ar-SA"/>
        </w:rPr>
        <w:t>8.28</w:t>
      </w:r>
      <w:r>
        <w:rPr>
          <w:rFonts w:hint="eastAsia" w:ascii="Times New Roman" w:hAnsi="Times New Roman" w:eastAsia="仿宋_GB2312" w:cs="Times New Roman"/>
          <w:color w:val="000000"/>
          <w:kern w:val="2"/>
          <w:sz w:val="28"/>
          <w:szCs w:val="22"/>
          <w:lang w:val="en-US" w:eastAsia="zh-CN" w:bidi="ar-SA"/>
        </w:rPr>
        <w:t xml:space="preserve">分。 </w:t>
      </w:r>
    </w:p>
    <w:p w14:paraId="13DB634D">
      <w:pPr>
        <w:pStyle w:val="52"/>
        <w:spacing w:line="560" w:lineRule="exact"/>
        <w:ind w:left="0" w:leftChars="0" w:right="0" w:rightChars="0" w:firstLine="560"/>
        <w:rPr>
          <w:rFonts w:hint="eastAsia"/>
        </w:rPr>
      </w:pPr>
      <w:r>
        <w:rPr>
          <w:rFonts w:hint="eastAsia"/>
        </w:rPr>
        <w:t>偏差原因：按照符合享受条件的人数筛选实际享受补贴人数为8276人。</w:t>
      </w:r>
    </w:p>
    <w:p w14:paraId="762803A2">
      <w:pPr>
        <w:pStyle w:val="52"/>
        <w:spacing w:line="560" w:lineRule="exact"/>
        <w:ind w:left="0" w:leftChars="0" w:right="0" w:rightChars="0" w:firstLine="560"/>
      </w:pPr>
      <w:r>
        <w:rPr>
          <w:rFonts w:hint="eastAsia"/>
        </w:rPr>
        <w:t>改进措施：加强项目管理，完善实施方案编制与目标设置。</w:t>
      </w:r>
    </w:p>
    <w:p w14:paraId="48DF77A5">
      <w:pPr>
        <w:pStyle w:val="52"/>
        <w:spacing w:line="560" w:lineRule="exact"/>
        <w:ind w:left="0" w:leftChars="0" w:right="0" w:rightChars="0" w:firstLine="560"/>
      </w:pPr>
      <w:r>
        <w:t>2.</w:t>
      </w:r>
      <w:r>
        <w:rPr>
          <w:rFonts w:hint="eastAsia"/>
          <w:lang w:val="en-US" w:eastAsia="zh-CN"/>
        </w:rPr>
        <w:t>2</w:t>
      </w:r>
      <w:r>
        <w:t>项目实施的可持续影响分析</w:t>
      </w:r>
    </w:p>
    <w:p w14:paraId="70912F69">
      <w:pPr>
        <w:pStyle w:val="33"/>
      </w:pPr>
      <w:r>
        <w:rPr>
          <w:rFonts w:hint="eastAsia"/>
        </w:rPr>
        <w:t>“项目持续时间”指标，指标预期值为</w:t>
      </w:r>
      <w:r>
        <w:rPr>
          <w:rFonts w:hint="eastAsia"/>
          <w:lang w:val="en-US" w:eastAsia="zh-CN"/>
        </w:rPr>
        <w:t>等于1年</w:t>
      </w:r>
      <w:r>
        <w:rPr>
          <w:rFonts w:hint="eastAsia"/>
        </w:rPr>
        <w:t>，实际完成值为</w:t>
      </w:r>
      <w:r>
        <w:rPr>
          <w:rFonts w:hint="eastAsia"/>
          <w:lang w:val="en-US" w:eastAsia="zh-CN"/>
        </w:rPr>
        <w:t>1年</w:t>
      </w:r>
      <w:r>
        <w:rPr>
          <w:rFonts w:hint="eastAsia"/>
        </w:rPr>
        <w:t>，指标完成率为100.00%。。所设分值</w:t>
      </w:r>
      <w:r>
        <w:rPr>
          <w:rFonts w:hint="eastAsia"/>
          <w:lang w:val="en-US" w:eastAsia="zh-CN"/>
        </w:rPr>
        <w:t>10</w:t>
      </w:r>
      <w:r>
        <w:rPr>
          <w:rFonts w:hint="eastAsia"/>
        </w:rPr>
        <w:t>分，实际得分</w:t>
      </w:r>
      <w:r>
        <w:rPr>
          <w:rFonts w:hint="eastAsia"/>
          <w:lang w:val="en-US" w:eastAsia="zh-CN"/>
        </w:rPr>
        <w:t>10</w:t>
      </w:r>
      <w:r>
        <w:rPr>
          <w:rFonts w:hint="eastAsia"/>
        </w:rPr>
        <w:t>分。</w:t>
      </w:r>
    </w:p>
    <w:p w14:paraId="5FED170F">
      <w:pPr>
        <w:pStyle w:val="33"/>
        <w:rPr>
          <w:b/>
          <w:bCs w:val="0"/>
        </w:rPr>
      </w:pPr>
      <w:r>
        <w:rPr>
          <w:rFonts w:hint="eastAsia"/>
          <w:b/>
          <w:bCs w:val="0"/>
        </w:rPr>
        <w:t>3.满意度指标完成情况分析</w:t>
      </w:r>
    </w:p>
    <w:p w14:paraId="199CE9E7">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“受益</w:t>
      </w:r>
      <w:r>
        <w:rPr>
          <w:rFonts w:hint="eastAsia" w:ascii="仿宋_GB2312" w:hAnsi="Times New Roman" w:eastAsia="仿宋_GB2312" w:cs="Times New Roman"/>
          <w:bCs/>
          <w:spacing w:val="-4"/>
          <w:sz w:val="28"/>
          <w:szCs w:val="28"/>
          <w:lang w:val="en-US" w:eastAsia="zh-CN"/>
        </w:rPr>
        <w:t>务工人员</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w:t>
      </w:r>
      <w:r>
        <w:rPr>
          <w:rFonts w:hint="eastAsia" w:ascii="仿宋_GB2312" w:hAnsi="Times New Roman" w:eastAsia="仿宋_GB2312" w:cs="Times New Roman"/>
          <w:bCs/>
          <w:spacing w:val="-4"/>
          <w:sz w:val="28"/>
          <w:szCs w:val="28"/>
          <w:lang w:val="en-US" w:eastAsia="zh-CN"/>
        </w:rPr>
        <w:t>98</w:t>
      </w:r>
      <w:r>
        <w:rPr>
          <w:rFonts w:hint="eastAsia" w:ascii="仿宋_GB2312" w:hAnsi="Times New Roman" w:eastAsia="仿宋_GB2312" w:cs="Times New Roman"/>
          <w:bCs/>
          <w:spacing w:val="-4"/>
          <w:sz w:val="28"/>
          <w:szCs w:val="28"/>
        </w:rPr>
        <w:t>%，指标完成率为100.00%。所设分值10分，实际得分10分。</w:t>
      </w:r>
    </w:p>
    <w:p w14:paraId="70055D55">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项目实施完成后我单位就该项目的满意度采取抽样发放调查问卷的方式开展调查，通过对调查问卷的梳理和统计，受益</w:t>
      </w:r>
      <w:r>
        <w:rPr>
          <w:rFonts w:hint="eastAsia" w:ascii="仿宋_GB2312" w:hAnsi="Times New Roman" w:eastAsia="仿宋_GB2312" w:cs="Times New Roman"/>
          <w:b w:val="0"/>
          <w:color w:val="auto"/>
          <w:spacing w:val="-4"/>
          <w:szCs w:val="28"/>
          <w:lang w:val="en-US" w:eastAsia="zh-CN"/>
        </w:rPr>
        <w:t>务工人员</w:t>
      </w:r>
      <w:r>
        <w:rPr>
          <w:rFonts w:hint="eastAsia" w:ascii="仿宋_GB2312" w:hAnsi="Times New Roman" w:eastAsia="仿宋_GB2312" w:cs="Times New Roman"/>
          <w:b w:val="0"/>
          <w:color w:val="auto"/>
          <w:spacing w:val="-4"/>
          <w:szCs w:val="28"/>
        </w:rPr>
        <w:t>满意度指标综合满意率为9</w:t>
      </w:r>
      <w:r>
        <w:rPr>
          <w:rFonts w:hint="eastAsia" w:ascii="仿宋_GB2312" w:hAnsi="Times New Roman" w:eastAsia="仿宋_GB2312" w:cs="Times New Roman"/>
          <w:b w:val="0"/>
          <w:color w:val="auto"/>
          <w:spacing w:val="-4"/>
          <w:szCs w:val="28"/>
          <w:lang w:val="en-US" w:eastAsia="zh-CN"/>
        </w:rPr>
        <w:t>8</w:t>
      </w:r>
      <w:r>
        <w:rPr>
          <w:rFonts w:hint="eastAsia" w:ascii="仿宋_GB2312" w:hAnsi="Times New Roman" w:eastAsia="仿宋_GB2312" w:cs="Times New Roman"/>
          <w:b w:val="0"/>
          <w:color w:val="auto"/>
          <w:spacing w:val="-4"/>
          <w:szCs w:val="28"/>
        </w:rPr>
        <w:t>.00%。</w:t>
      </w:r>
    </w:p>
    <w:p w14:paraId="38DB66A3">
      <w:pPr>
        <w:pStyle w:val="29"/>
        <w:spacing w:before="120"/>
        <w:ind w:left="0" w:leftChars="0" w:right="3" w:firstLine="562" w:firstLineChars="200"/>
      </w:pPr>
      <w:r>
        <w:rPr>
          <w:rFonts w:hint="eastAsia"/>
        </w:rPr>
        <w:t>四、偏离绩效目标的原因和下一步改进措施</w:t>
      </w:r>
    </w:p>
    <w:p w14:paraId="3F39A4E5">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outlineLvl w:val="9"/>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1.数量指标-“补贴疆外务工人员人数”指标，预期指标值为大于等于3000人,全年实际值为1660人。</w:t>
      </w:r>
    </w:p>
    <w:p w14:paraId="1FD49208">
      <w:pPr>
        <w:pStyle w:val="33"/>
        <w:numPr>
          <w:ilvl w:val="0"/>
          <w:numId w:val="0"/>
        </w:numPr>
        <w:ind w:firstLine="560" w:firstLineChars="200"/>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 xml:space="preserve"> 偏差原因：预算时按实际票据金额为支付，后期按照文件要求1000元，2000元不等标准补贴。</w:t>
      </w:r>
    </w:p>
    <w:p w14:paraId="1858D9F6">
      <w:pPr>
        <w:pStyle w:val="33"/>
        <w:numPr>
          <w:ilvl w:val="0"/>
          <w:numId w:val="0"/>
        </w:numPr>
        <w:ind w:firstLine="560" w:firstLineChars="200"/>
        <w:rPr>
          <w:rFonts w:hint="eastAsia" w:ascii="Times New Roman" w:hAnsi="Times New Roman" w:eastAsia="仿宋_GB2312" w:cs="Times New Roman"/>
          <w:color w:val="000000"/>
          <w:kern w:val="2"/>
          <w:sz w:val="28"/>
          <w:szCs w:val="22"/>
          <w:lang w:val="en-US" w:eastAsia="zh-CN" w:bidi="ar-SA"/>
        </w:rPr>
      </w:pPr>
      <w:r>
        <w:rPr>
          <w:rFonts w:hint="eastAsia" w:ascii="Times New Roman" w:hAnsi="Times New Roman" w:eastAsia="仿宋_GB2312" w:cs="Times New Roman"/>
          <w:color w:val="000000"/>
          <w:kern w:val="2"/>
          <w:sz w:val="28"/>
          <w:szCs w:val="22"/>
          <w:lang w:val="en-US" w:eastAsia="zh-CN" w:bidi="ar-SA"/>
        </w:rPr>
        <w:t>整改措施：加强项目管理，完善实施方案编制与目标设置</w:t>
      </w:r>
      <w:r>
        <w:rPr>
          <w:rFonts w:hint="eastAsia"/>
        </w:rPr>
        <w:t>。</w:t>
      </w:r>
      <w:r>
        <w:rPr>
          <w:rFonts w:hint="eastAsia" w:ascii="Times New Roman" w:hAnsi="Times New Roman" w:eastAsia="仿宋_GB2312" w:cs="Times New Roman"/>
          <w:color w:val="000000"/>
          <w:kern w:val="2"/>
          <w:sz w:val="28"/>
          <w:szCs w:val="22"/>
          <w:lang w:val="en-US" w:eastAsia="zh-CN" w:bidi="ar-SA"/>
        </w:rPr>
        <w:t xml:space="preserve">   </w:t>
      </w:r>
    </w:p>
    <w:p w14:paraId="4178B551">
      <w:pPr>
        <w:pStyle w:val="52"/>
        <w:spacing w:line="560" w:lineRule="exact"/>
        <w:ind w:left="0" w:leftChars="0" w:right="0" w:rightChars="0" w:firstLine="560"/>
        <w:rPr>
          <w:rFonts w:hint="eastAsia"/>
        </w:rPr>
      </w:pPr>
      <w:r>
        <w:rPr>
          <w:rFonts w:hint="eastAsia" w:cs="Times New Roman"/>
          <w:color w:val="000000"/>
          <w:kern w:val="2"/>
          <w:sz w:val="28"/>
          <w:szCs w:val="22"/>
          <w:lang w:val="en-US" w:eastAsia="zh-CN" w:bidi="ar-SA"/>
        </w:rPr>
        <w:t>2.数量指标-</w:t>
      </w:r>
      <w:r>
        <w:rPr>
          <w:rFonts w:hint="eastAsia" w:ascii="Times New Roman" w:hAnsi="Times New Roman" w:eastAsia="仿宋_GB2312" w:cs="Times New Roman"/>
          <w:color w:val="000000"/>
          <w:kern w:val="2"/>
          <w:sz w:val="28"/>
          <w:szCs w:val="22"/>
          <w:lang w:val="en-US" w:eastAsia="zh-CN" w:bidi="ar-SA"/>
        </w:rPr>
        <w:t>“补贴疆内务工人员人数”指标，预期指标值为</w:t>
      </w:r>
      <w:r>
        <w:rPr>
          <w:rFonts w:hint="eastAsia" w:cs="Times New Roman"/>
          <w:color w:val="000000"/>
          <w:kern w:val="2"/>
          <w:sz w:val="28"/>
          <w:szCs w:val="22"/>
          <w:lang w:val="en-US" w:eastAsia="zh-CN" w:bidi="ar-SA"/>
        </w:rPr>
        <w:t>大于等于7000</w:t>
      </w:r>
      <w:r>
        <w:rPr>
          <w:rFonts w:hint="eastAsia" w:ascii="Times New Roman" w:hAnsi="Times New Roman" w:eastAsia="仿宋_GB2312" w:cs="Times New Roman"/>
          <w:color w:val="000000"/>
          <w:kern w:val="2"/>
          <w:sz w:val="28"/>
          <w:szCs w:val="22"/>
          <w:lang w:val="en-US" w:eastAsia="zh-CN" w:bidi="ar-SA"/>
        </w:rPr>
        <w:t>人,全年实际值为</w:t>
      </w:r>
      <w:r>
        <w:rPr>
          <w:rFonts w:hint="eastAsia" w:cs="Times New Roman"/>
          <w:color w:val="000000"/>
          <w:kern w:val="2"/>
          <w:sz w:val="28"/>
          <w:szCs w:val="22"/>
          <w:lang w:val="en-US" w:eastAsia="zh-CN" w:bidi="ar-SA"/>
        </w:rPr>
        <w:t>6616</w:t>
      </w:r>
      <w:r>
        <w:rPr>
          <w:rFonts w:hint="eastAsia" w:ascii="Times New Roman" w:hAnsi="Times New Roman" w:eastAsia="仿宋_GB2312" w:cs="Times New Roman"/>
          <w:color w:val="000000"/>
          <w:kern w:val="2"/>
          <w:sz w:val="28"/>
          <w:szCs w:val="22"/>
          <w:lang w:val="en-US" w:eastAsia="zh-CN" w:bidi="ar-SA"/>
        </w:rPr>
        <w:t>人</w:t>
      </w:r>
      <w:r>
        <w:rPr>
          <w:rFonts w:hint="eastAsia"/>
        </w:rPr>
        <w:t>。</w:t>
      </w:r>
    </w:p>
    <w:p w14:paraId="21C1F0EA">
      <w:pPr>
        <w:pStyle w:val="33"/>
        <w:numPr>
          <w:ilvl w:val="0"/>
          <w:numId w:val="0"/>
        </w:numPr>
        <w:ind w:firstLine="560" w:firstLineChars="200"/>
        <w:rPr>
          <w:rFonts w:hint="eastAsia"/>
        </w:rPr>
      </w:pPr>
      <w:r>
        <w:rPr>
          <w:rFonts w:hint="eastAsia"/>
        </w:rPr>
        <w:t>偏差原因：预算时按实际票据金额为支付，后期按照文件要求1000元，2000元不等标准补贴。</w:t>
      </w:r>
    </w:p>
    <w:p w14:paraId="30C9E806">
      <w:pPr>
        <w:pStyle w:val="33"/>
        <w:numPr>
          <w:ilvl w:val="0"/>
          <w:numId w:val="0"/>
        </w:numPr>
        <w:ind w:firstLine="560" w:firstLineChars="200"/>
        <w:rPr>
          <w:rFonts w:hint="eastAsia"/>
        </w:rPr>
      </w:pPr>
      <w:r>
        <w:rPr>
          <w:rFonts w:hint="eastAsia"/>
        </w:rPr>
        <w:t>整改措施：加强项目管理，完善实施方案编制与目标设置。</w:t>
      </w:r>
    </w:p>
    <w:p w14:paraId="5B20039F">
      <w:pPr>
        <w:pStyle w:val="33"/>
        <w:rPr>
          <w:rFonts w:hint="eastAsia"/>
        </w:rPr>
      </w:pPr>
      <w:r>
        <w:rPr>
          <w:rFonts w:hint="eastAsia"/>
          <w:lang w:val="en-US" w:eastAsia="zh-CN"/>
        </w:rPr>
        <w:t>3.成本指标-</w:t>
      </w:r>
      <w:r>
        <w:rPr>
          <w:rFonts w:hint="eastAsia"/>
        </w:rPr>
        <w:t>“疆外务工人员补贴成本”指标，预期指标值为</w:t>
      </w:r>
      <w:r>
        <w:rPr>
          <w:rFonts w:hint="eastAsia"/>
          <w:lang w:eastAsia="zh-CN"/>
        </w:rPr>
        <w:t>小于等于</w:t>
      </w:r>
      <w:r>
        <w:rPr>
          <w:rFonts w:hint="eastAsia"/>
          <w:lang w:val="en-US" w:eastAsia="zh-CN"/>
        </w:rPr>
        <w:t>300</w:t>
      </w:r>
      <w:r>
        <w:rPr>
          <w:rFonts w:hint="eastAsia"/>
        </w:rPr>
        <w:t>万元, 全年实际值为</w:t>
      </w:r>
      <w:r>
        <w:rPr>
          <w:rFonts w:hint="eastAsia"/>
          <w:lang w:val="en-US" w:eastAsia="zh-CN"/>
        </w:rPr>
        <w:t>296.47</w:t>
      </w:r>
      <w:r>
        <w:rPr>
          <w:rFonts w:hint="eastAsia"/>
        </w:rPr>
        <w:t>万元。</w:t>
      </w:r>
    </w:p>
    <w:p w14:paraId="3D0F877A">
      <w:pPr>
        <w:pStyle w:val="33"/>
        <w:rPr>
          <w:rFonts w:hint="eastAsia"/>
        </w:rPr>
      </w:pPr>
      <w:r>
        <w:rPr>
          <w:rFonts w:hint="eastAsia"/>
        </w:rPr>
        <w:t>偏差原因：预算时按实际票据金额为支付，后期按照文件要求1000元，2000元不等标准补贴。</w:t>
      </w:r>
    </w:p>
    <w:p w14:paraId="79D67023">
      <w:pPr>
        <w:pStyle w:val="33"/>
        <w:rPr>
          <w:rFonts w:hint="eastAsia"/>
        </w:rPr>
      </w:pPr>
      <w:r>
        <w:rPr>
          <w:rFonts w:hint="eastAsia"/>
        </w:rPr>
        <w:t>整改措施：加强项目管理，完善预算编制。</w:t>
      </w:r>
    </w:p>
    <w:p w14:paraId="1A867A40">
      <w:pPr>
        <w:pStyle w:val="33"/>
        <w:rPr>
          <w:rFonts w:hint="eastAsia"/>
        </w:rPr>
      </w:pPr>
      <w:r>
        <w:rPr>
          <w:rFonts w:hint="eastAsia"/>
          <w:lang w:val="en-US" w:eastAsia="zh-CN"/>
        </w:rPr>
        <w:t>4.成本指标-</w:t>
      </w:r>
      <w:r>
        <w:rPr>
          <w:rFonts w:hint="eastAsia"/>
        </w:rPr>
        <w:t>“疆内务工人员补贴成本”指标，预期指标值为</w:t>
      </w:r>
      <w:r>
        <w:rPr>
          <w:rFonts w:hint="eastAsia"/>
          <w:lang w:eastAsia="zh-CN"/>
        </w:rPr>
        <w:t>小于等于</w:t>
      </w:r>
      <w:r>
        <w:rPr>
          <w:rFonts w:hint="eastAsia"/>
          <w:lang w:val="en-US" w:eastAsia="zh-CN"/>
        </w:rPr>
        <w:t>386.58</w:t>
      </w:r>
      <w:r>
        <w:rPr>
          <w:rFonts w:hint="eastAsia"/>
        </w:rPr>
        <w:t>万元, 全年实际值为</w:t>
      </w:r>
      <w:r>
        <w:rPr>
          <w:rFonts w:hint="eastAsia"/>
          <w:lang w:val="en-US" w:eastAsia="zh-CN"/>
        </w:rPr>
        <w:t>390.11</w:t>
      </w:r>
      <w:r>
        <w:rPr>
          <w:rFonts w:hint="eastAsia"/>
        </w:rPr>
        <w:t>万元。</w:t>
      </w:r>
    </w:p>
    <w:p w14:paraId="0465E2B1">
      <w:pPr>
        <w:pStyle w:val="33"/>
        <w:rPr>
          <w:rFonts w:hint="eastAsia"/>
        </w:rPr>
      </w:pPr>
      <w:r>
        <w:rPr>
          <w:rFonts w:hint="eastAsia"/>
        </w:rPr>
        <w:t>偏差原因：预算时按实际票据金额为支付，后期按照文件要求1000元，2000元不等标准补贴。</w:t>
      </w:r>
    </w:p>
    <w:p w14:paraId="171D7945">
      <w:pPr>
        <w:pStyle w:val="33"/>
        <w:rPr>
          <w:rFonts w:hint="eastAsia"/>
        </w:rPr>
      </w:pPr>
      <w:r>
        <w:rPr>
          <w:rFonts w:hint="eastAsia"/>
        </w:rPr>
        <w:t>整改措施：加强项目管理，完善预算编制。</w:t>
      </w:r>
    </w:p>
    <w:p w14:paraId="6C411272">
      <w:pPr>
        <w:pStyle w:val="52"/>
        <w:spacing w:line="560" w:lineRule="exact"/>
        <w:ind w:left="0" w:leftChars="0" w:right="0" w:rightChars="0" w:firstLine="560"/>
        <w:rPr>
          <w:rFonts w:hint="eastAsia"/>
        </w:rPr>
      </w:pPr>
      <w:r>
        <w:rPr>
          <w:rFonts w:hint="eastAsia"/>
          <w:lang w:val="en-US" w:eastAsia="zh-CN"/>
        </w:rPr>
        <w:t>5.社会效益指标-</w:t>
      </w:r>
      <w:r>
        <w:rPr>
          <w:rFonts w:hint="eastAsia"/>
        </w:rPr>
        <w:t>“受益务工人员人口数”指标，指标预期值为</w:t>
      </w:r>
      <w:r>
        <w:rPr>
          <w:rFonts w:hint="eastAsia" w:cs="Times New Roman"/>
          <w:color w:val="000000"/>
          <w:kern w:val="2"/>
          <w:sz w:val="28"/>
          <w:szCs w:val="22"/>
          <w:lang w:val="en-US" w:eastAsia="zh-CN" w:bidi="ar-SA"/>
        </w:rPr>
        <w:t>大于等于10</w:t>
      </w:r>
      <w:r>
        <w:rPr>
          <w:rFonts w:hint="eastAsia" w:ascii="Times New Roman" w:hAnsi="Times New Roman" w:eastAsia="仿宋_GB2312" w:cs="Times New Roman"/>
          <w:color w:val="000000"/>
          <w:kern w:val="2"/>
          <w:sz w:val="28"/>
          <w:szCs w:val="22"/>
          <w:lang w:val="en-US" w:eastAsia="zh-CN" w:bidi="ar-SA"/>
        </w:rPr>
        <w:t>000人,全年实际值为</w:t>
      </w:r>
      <w:r>
        <w:rPr>
          <w:rFonts w:hint="eastAsia" w:cs="Times New Roman"/>
          <w:color w:val="000000"/>
          <w:kern w:val="2"/>
          <w:sz w:val="28"/>
          <w:szCs w:val="22"/>
          <w:lang w:val="en-US" w:eastAsia="zh-CN" w:bidi="ar-SA"/>
        </w:rPr>
        <w:t>8276</w:t>
      </w:r>
      <w:r>
        <w:rPr>
          <w:rFonts w:hint="eastAsia" w:ascii="Times New Roman" w:hAnsi="Times New Roman" w:eastAsia="仿宋_GB2312" w:cs="Times New Roman"/>
          <w:color w:val="000000"/>
          <w:kern w:val="2"/>
          <w:sz w:val="28"/>
          <w:szCs w:val="22"/>
          <w:lang w:val="en-US" w:eastAsia="zh-CN" w:bidi="ar-SA"/>
        </w:rPr>
        <w:t xml:space="preserve">人。 </w:t>
      </w:r>
    </w:p>
    <w:p w14:paraId="6F1CAF4D">
      <w:pPr>
        <w:pStyle w:val="33"/>
        <w:rPr>
          <w:rFonts w:hint="eastAsia"/>
        </w:rPr>
      </w:pPr>
      <w:r>
        <w:rPr>
          <w:rFonts w:hint="eastAsia"/>
        </w:rPr>
        <w:t>偏差原因：按照符合享受条件的人数筛选实际享受补贴人数为8276人。</w:t>
      </w:r>
    </w:p>
    <w:p w14:paraId="56D95A75">
      <w:pPr>
        <w:pStyle w:val="33"/>
        <w:rPr>
          <w:rFonts w:hint="eastAsia" w:eastAsia="仿宋_GB2312"/>
          <w:lang w:val="en-US" w:eastAsia="zh-CN"/>
        </w:rPr>
      </w:pPr>
      <w:r>
        <w:rPr>
          <w:rFonts w:hint="eastAsia"/>
        </w:rPr>
        <w:t>整改措施：加强项目管理</w:t>
      </w:r>
      <w:r>
        <w:rPr>
          <w:rFonts w:hint="eastAsia"/>
          <w:lang w:eastAsia="zh-CN"/>
        </w:rPr>
        <w:t>。</w:t>
      </w:r>
    </w:p>
    <w:p w14:paraId="63C0F8B6">
      <w:pPr>
        <w:pStyle w:val="29"/>
        <w:spacing w:before="120"/>
        <w:ind w:left="0" w:leftChars="0" w:right="3" w:firstLine="562" w:firstLineChars="200"/>
      </w:pPr>
      <w:r>
        <w:rPr>
          <w:rFonts w:hint="eastAsia"/>
        </w:rPr>
        <w:t>五、绩效自评结果拟应用和公开情况</w:t>
      </w:r>
    </w:p>
    <w:p w14:paraId="4FF9E925">
      <w:pPr>
        <w:pStyle w:val="52"/>
        <w:spacing w:line="560" w:lineRule="exact"/>
        <w:ind w:left="3" w:right="3" w:firstLine="560"/>
        <w:rPr>
          <w:rFonts w:ascii="仿宋_GB2312"/>
        </w:rPr>
      </w:pPr>
      <w:r>
        <w:rPr>
          <w:rFonts w:hint="eastAsia" w:ascii="仿宋_GB2312"/>
        </w:rPr>
        <w:t>项目本次评价通过文件研读、实地调研、数据采集、问卷调查方式下，全面了解</w:t>
      </w:r>
      <w:r>
        <w:rPr>
          <w:rFonts w:hint="eastAsia" w:ascii="仿宋_GB2312" w:cs="Times New Roman"/>
          <w:color w:val="000000"/>
          <w:sz w:val="28"/>
          <w:szCs w:val="32"/>
          <w:lang w:eastAsia="zh-CN"/>
        </w:rPr>
        <w:t>于田县脱贫劳动力转移就业一次性交通补助项目（人社局）</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w:t>
      </w:r>
      <w:r>
        <w:rPr>
          <w:rFonts w:hint="eastAsia" w:ascii="仿宋_GB2312"/>
          <w:lang w:val="en-US" w:eastAsia="zh-CN"/>
        </w:rPr>
        <w:t>12</w:t>
      </w:r>
      <w:r>
        <w:rPr>
          <w:rFonts w:hint="eastAsia" w:ascii="仿宋_GB2312"/>
        </w:rPr>
        <w:t>个，其中已完成三级指标</w:t>
      </w:r>
      <w:r>
        <w:rPr>
          <w:rFonts w:hint="eastAsia" w:ascii="仿宋_GB2312"/>
          <w:lang w:val="en-US" w:eastAsia="zh-CN"/>
        </w:rPr>
        <w:t>7</w:t>
      </w:r>
      <w:r>
        <w:rPr>
          <w:rFonts w:hint="eastAsia" w:ascii="仿宋_GB2312"/>
        </w:rPr>
        <w:t>个，指标完成率为</w:t>
      </w:r>
      <w:r>
        <w:rPr>
          <w:rFonts w:hint="eastAsia" w:ascii="仿宋_GB2312"/>
          <w:lang w:val="en-US" w:eastAsia="zh-CN"/>
        </w:rPr>
        <w:t>94.20%</w:t>
      </w:r>
      <w:r>
        <w:rPr>
          <w:rFonts w:hint="eastAsia" w:ascii="仿宋_GB2312"/>
        </w:rPr>
        <w:t>；在资金使用方面，严格按照《于田县扶贫资金财务管理制度》、《</w:t>
      </w:r>
      <w:r>
        <w:rPr>
          <w:rFonts w:hint="eastAsia" w:ascii="仿宋_GB2312"/>
          <w:lang w:eastAsia="zh-CN"/>
        </w:rPr>
        <w:t>于田县人力资源和社会保障局</w:t>
      </w:r>
      <w:r>
        <w:rPr>
          <w:rFonts w:hint="eastAsia" w:ascii="仿宋_GB2312"/>
        </w:rPr>
        <w:t>财务管理制度》执行，保障了资金使用规范、安全，无挪用、截留资金的情况发生。在项目管理方面，制定了《</w:t>
      </w:r>
      <w:r>
        <w:rPr>
          <w:rFonts w:hint="eastAsia" w:ascii="仿宋_GB2312" w:cs="Times New Roman"/>
          <w:color w:val="000000"/>
          <w:sz w:val="28"/>
          <w:szCs w:val="32"/>
          <w:lang w:eastAsia="zh-CN"/>
        </w:rPr>
        <w:t>于田县脱贫劳动力转移就业一次性交通补助项目（人社局）</w:t>
      </w:r>
      <w:r>
        <w:rPr>
          <w:rFonts w:hint="eastAsia" w:ascii="仿宋_GB2312"/>
          <w:color w:val="000000" w:themeColor="text1"/>
          <w14:textFill>
            <w14:solidFill>
              <w14:schemeClr w14:val="tx1"/>
            </w14:solidFill>
          </w14:textFill>
        </w:rPr>
        <w:t>实施方案》</w:t>
      </w:r>
      <w:r>
        <w:rPr>
          <w:rFonts w:hint="eastAsia" w:ascii="仿宋_GB2312"/>
        </w:rPr>
        <w:t>，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63F2D45D">
      <w:pPr>
        <w:pStyle w:val="52"/>
        <w:spacing w:line="560" w:lineRule="exact"/>
        <w:ind w:left="3" w:right="3" w:firstLine="560"/>
        <w:rPr>
          <w:rFonts w:ascii="仿宋_GB2312"/>
        </w:rPr>
      </w:pPr>
      <w:r>
        <w:rPr>
          <w:rFonts w:hint="eastAsia" w:ascii="仿宋_GB2312"/>
        </w:rPr>
        <w:t>项目最终得分为</w:t>
      </w:r>
      <w:r>
        <w:rPr>
          <w:rFonts w:hint="eastAsia" w:ascii="仿宋_GB2312"/>
          <w:lang w:val="en-US" w:eastAsia="zh-CN"/>
        </w:rPr>
        <w:t>95.12</w:t>
      </w:r>
      <w:r>
        <w:rPr>
          <w:rFonts w:hint="eastAsia" w:ascii="仿宋_GB2312"/>
        </w:rPr>
        <w:t>分，评价等级为</w:t>
      </w:r>
      <w:r>
        <w:rPr>
          <w:rFonts w:hint="eastAsia" w:ascii="仿宋_GB2312"/>
          <w:lang w:val="en-US" w:eastAsia="zh-CN"/>
        </w:rPr>
        <w:t>优</w:t>
      </w:r>
      <w:r>
        <w:rPr>
          <w:rFonts w:hint="eastAsia" w:ascii="仿宋_GB2312"/>
        </w:rPr>
        <w:t>。</w:t>
      </w:r>
    </w:p>
    <w:p w14:paraId="2ABF473C">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686CB7C4">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276B6F6A">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748B452B">
      <w:pPr>
        <w:pStyle w:val="52"/>
        <w:spacing w:line="560" w:lineRule="exact"/>
        <w:ind w:left="3" w:right="3" w:firstLine="560"/>
        <w:rPr>
          <w:rFonts w:ascii="仿宋_GB2312"/>
        </w:rPr>
      </w:pPr>
      <w:r>
        <w:rPr>
          <w:rFonts w:hint="eastAsia" w:ascii="仿宋_GB2312"/>
        </w:rPr>
        <w:t>项目状况：该项目不存在立项，由于田县</w:t>
      </w:r>
      <w:r>
        <w:rPr>
          <w:rFonts w:hint="eastAsia" w:ascii="仿宋_GB2312"/>
          <w:lang w:eastAsia="zh-CN"/>
        </w:rPr>
        <w:t>人力资源和社会保障局</w:t>
      </w:r>
      <w:r>
        <w:rPr>
          <w:rFonts w:hint="eastAsia" w:ascii="仿宋_GB2312"/>
        </w:rPr>
        <w:t>负责项目的实施方案，并由</w:t>
      </w:r>
      <w:r>
        <w:rPr>
          <w:rFonts w:hint="eastAsia" w:ascii="仿宋_GB2312"/>
          <w:szCs w:val="32"/>
        </w:rPr>
        <w:t>于</w:t>
      </w:r>
      <w:r>
        <w:rPr>
          <w:rFonts w:hint="eastAsia" w:ascii="仿宋_GB2312"/>
          <w:color w:val="auto"/>
          <w:szCs w:val="32"/>
        </w:rPr>
        <w:t>田县</w:t>
      </w:r>
      <w:r>
        <w:rPr>
          <w:rFonts w:hint="eastAsia" w:ascii="仿宋_GB2312"/>
          <w:color w:val="auto"/>
          <w:szCs w:val="32"/>
          <w:lang w:val="en-US" w:eastAsia="zh-CN"/>
        </w:rPr>
        <w:t>就业工作领导小组办公室</w:t>
      </w:r>
      <w:r>
        <w:rPr>
          <w:rFonts w:hint="eastAsia" w:ascii="仿宋_GB2312"/>
          <w:color w:val="auto"/>
          <w:szCs w:val="32"/>
        </w:rPr>
        <w:t>下发的《关于</w:t>
      </w:r>
      <w:r>
        <w:rPr>
          <w:rFonts w:hint="eastAsia" w:ascii="仿宋_GB2312"/>
          <w:color w:val="auto"/>
          <w:szCs w:val="32"/>
          <w:lang w:val="en-US" w:eastAsia="zh-CN"/>
        </w:rPr>
        <w:t>跨区域就业脱贫劳动力一次性交通补助开发</w:t>
      </w:r>
      <w:r>
        <w:rPr>
          <w:rFonts w:hint="eastAsia" w:ascii="仿宋_GB2312"/>
          <w:color w:val="auto"/>
          <w:szCs w:val="32"/>
        </w:rPr>
        <w:t>项目</w:t>
      </w:r>
      <w:r>
        <w:rPr>
          <w:rFonts w:hint="eastAsia" w:ascii="仿宋_GB2312"/>
          <w:color w:val="auto"/>
          <w:szCs w:val="32"/>
          <w:lang w:eastAsia="zh-CN"/>
        </w:rPr>
        <w:t>实施方案</w:t>
      </w:r>
      <w:r>
        <w:rPr>
          <w:rFonts w:hint="eastAsia" w:ascii="仿宋_GB2312"/>
          <w:color w:val="auto"/>
          <w:szCs w:val="32"/>
        </w:rPr>
        <w:t>的批复》（于</w:t>
      </w:r>
      <w:r>
        <w:rPr>
          <w:rFonts w:hint="eastAsia" w:ascii="仿宋_GB2312"/>
          <w:color w:val="auto"/>
          <w:szCs w:val="32"/>
          <w:lang w:val="en-US" w:eastAsia="zh-CN"/>
        </w:rPr>
        <w:t>就办</w:t>
      </w:r>
      <w:r>
        <w:rPr>
          <w:rFonts w:hint="eastAsia" w:ascii="仿宋_GB2312"/>
          <w:color w:val="auto"/>
          <w:szCs w:val="32"/>
        </w:rPr>
        <w:t>[202</w:t>
      </w:r>
      <w:r>
        <w:rPr>
          <w:rFonts w:hint="eastAsia" w:ascii="仿宋_GB2312"/>
          <w:color w:val="auto"/>
          <w:szCs w:val="32"/>
          <w:lang w:val="en-US" w:eastAsia="zh-CN"/>
        </w:rPr>
        <w:t>5</w:t>
      </w:r>
      <w:r>
        <w:rPr>
          <w:rFonts w:hint="eastAsia" w:ascii="仿宋_GB2312"/>
          <w:color w:val="auto"/>
          <w:szCs w:val="32"/>
        </w:rPr>
        <w:t>]</w:t>
      </w:r>
      <w:r>
        <w:rPr>
          <w:rFonts w:hint="eastAsia" w:ascii="仿宋_GB2312"/>
          <w:color w:val="auto"/>
          <w:szCs w:val="32"/>
          <w:lang w:val="en-US" w:eastAsia="zh-CN"/>
        </w:rPr>
        <w:t>9</w:t>
      </w:r>
      <w:r>
        <w:rPr>
          <w:rFonts w:hint="eastAsia" w:ascii="仿宋_GB2312"/>
          <w:color w:val="auto"/>
          <w:szCs w:val="32"/>
        </w:rPr>
        <w:t>号）</w:t>
      </w:r>
      <w:r>
        <w:rPr>
          <w:rFonts w:hint="eastAsia" w:ascii="仿宋_GB2312"/>
          <w:szCs w:val="32"/>
          <w:lang w:eastAsia="zh-CN"/>
        </w:rPr>
        <w:t>的</w:t>
      </w:r>
      <w:r>
        <w:rPr>
          <w:rFonts w:hint="eastAsia" w:ascii="仿宋_GB2312"/>
          <w:szCs w:val="32"/>
        </w:rPr>
        <w:t>批复</w:t>
      </w:r>
      <w:r>
        <w:rPr>
          <w:rFonts w:hint="eastAsia" w:ascii="仿宋_GB2312"/>
        </w:rPr>
        <w:t>。</w:t>
      </w:r>
    </w:p>
    <w:p w14:paraId="3AB62381">
      <w:pPr>
        <w:pStyle w:val="52"/>
        <w:spacing w:line="560" w:lineRule="exact"/>
        <w:ind w:left="3" w:right="3"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资金状况：预算资金来源为</w:t>
      </w:r>
      <w:r>
        <w:rPr>
          <w:rFonts w:hint="eastAsia" w:ascii="仿宋_GB2312"/>
          <w:color w:val="000000" w:themeColor="text1"/>
          <w:lang w:eastAsia="zh-CN"/>
          <w14:textFill>
            <w14:solidFill>
              <w14:schemeClr w14:val="tx1"/>
            </w14:solidFill>
          </w14:textFill>
        </w:rPr>
        <w:t>乡村振兴衔接</w:t>
      </w:r>
      <w:r>
        <w:rPr>
          <w:rFonts w:hint="eastAsia" w:ascii="仿宋_GB2312"/>
          <w:color w:val="000000" w:themeColor="text1"/>
          <w14:textFill>
            <w14:solidFill>
              <w14:schemeClr w14:val="tx1"/>
            </w14:solidFill>
          </w14:textFill>
        </w:rPr>
        <w:t>资金，文件依据：</w:t>
      </w:r>
      <w:r>
        <w:rPr>
          <w:rFonts w:hint="eastAsia" w:ascii="仿宋_GB2312"/>
          <w:szCs w:val="32"/>
        </w:rPr>
        <w:t>于</w:t>
      </w:r>
      <w:r>
        <w:rPr>
          <w:rFonts w:hint="eastAsia" w:ascii="仿宋_GB2312"/>
          <w:color w:val="auto"/>
          <w:szCs w:val="32"/>
        </w:rPr>
        <w:t>田县</w:t>
      </w:r>
      <w:r>
        <w:rPr>
          <w:rFonts w:hint="eastAsia" w:ascii="仿宋_GB2312"/>
          <w:color w:val="auto"/>
          <w:szCs w:val="32"/>
          <w:lang w:val="en-US" w:eastAsia="zh-CN"/>
        </w:rPr>
        <w:t>就业工作领导小组办公室</w:t>
      </w:r>
      <w:r>
        <w:rPr>
          <w:rFonts w:hint="eastAsia" w:ascii="仿宋_GB2312"/>
          <w:color w:val="auto"/>
          <w:szCs w:val="32"/>
        </w:rPr>
        <w:t>下发的《关于</w:t>
      </w:r>
      <w:r>
        <w:rPr>
          <w:rFonts w:hint="eastAsia" w:ascii="仿宋_GB2312"/>
          <w:color w:val="auto"/>
          <w:szCs w:val="32"/>
          <w:lang w:val="en-US" w:eastAsia="zh-CN"/>
        </w:rPr>
        <w:t>跨区域就业脱贫劳动力一次性交通补助开发</w:t>
      </w:r>
      <w:r>
        <w:rPr>
          <w:rFonts w:hint="eastAsia" w:ascii="仿宋_GB2312"/>
          <w:color w:val="auto"/>
          <w:szCs w:val="32"/>
        </w:rPr>
        <w:t>项目</w:t>
      </w:r>
      <w:r>
        <w:rPr>
          <w:rFonts w:hint="eastAsia" w:ascii="仿宋_GB2312"/>
          <w:color w:val="auto"/>
          <w:szCs w:val="32"/>
          <w:lang w:eastAsia="zh-CN"/>
        </w:rPr>
        <w:t>实施方案</w:t>
      </w:r>
      <w:r>
        <w:rPr>
          <w:rFonts w:hint="eastAsia" w:ascii="仿宋_GB2312"/>
          <w:color w:val="auto"/>
          <w:szCs w:val="32"/>
        </w:rPr>
        <w:t>的批复》（于</w:t>
      </w:r>
      <w:r>
        <w:rPr>
          <w:rFonts w:hint="eastAsia" w:ascii="仿宋_GB2312"/>
          <w:color w:val="auto"/>
          <w:szCs w:val="32"/>
          <w:lang w:val="en-US" w:eastAsia="zh-CN"/>
        </w:rPr>
        <w:t>就办</w:t>
      </w:r>
      <w:r>
        <w:rPr>
          <w:rFonts w:hint="eastAsia" w:ascii="仿宋_GB2312"/>
          <w:color w:val="auto"/>
          <w:szCs w:val="32"/>
        </w:rPr>
        <w:t>[202</w:t>
      </w:r>
      <w:r>
        <w:rPr>
          <w:rFonts w:hint="eastAsia" w:ascii="仿宋_GB2312"/>
          <w:color w:val="auto"/>
          <w:szCs w:val="32"/>
          <w:lang w:val="en-US" w:eastAsia="zh-CN"/>
        </w:rPr>
        <w:t>5</w:t>
      </w:r>
      <w:r>
        <w:rPr>
          <w:rFonts w:hint="eastAsia" w:ascii="仿宋_GB2312"/>
          <w:color w:val="auto"/>
          <w:szCs w:val="32"/>
        </w:rPr>
        <w:t>]</w:t>
      </w:r>
      <w:r>
        <w:rPr>
          <w:rFonts w:hint="eastAsia" w:ascii="仿宋_GB2312"/>
          <w:color w:val="auto"/>
          <w:szCs w:val="32"/>
          <w:lang w:val="en-US" w:eastAsia="zh-CN"/>
        </w:rPr>
        <w:t>9</w:t>
      </w:r>
      <w:r>
        <w:rPr>
          <w:rFonts w:hint="eastAsia" w:ascii="仿宋_GB2312"/>
          <w:color w:val="auto"/>
          <w:szCs w:val="32"/>
        </w:rPr>
        <w:t>号）</w:t>
      </w:r>
      <w:r>
        <w:rPr>
          <w:rFonts w:hint="eastAsia" w:ascii="仿宋_GB2312"/>
          <w:color w:val="000000" w:themeColor="text1"/>
          <w14:textFill>
            <w14:solidFill>
              <w14:schemeClr w14:val="tx1"/>
            </w14:solidFill>
          </w14:textFill>
        </w:rPr>
        <w:t>。</w:t>
      </w:r>
    </w:p>
    <w:p w14:paraId="7B4D6AC7">
      <w:pPr>
        <w:pStyle w:val="52"/>
        <w:spacing w:line="560" w:lineRule="exact"/>
        <w:ind w:left="3" w:right="3" w:firstLine="560"/>
        <w:rPr>
          <w:rFonts w:ascii="仿宋_GB2312"/>
        </w:rPr>
      </w:pPr>
      <w:r>
        <w:rPr>
          <w:rFonts w:hint="eastAsia" w:ascii="仿宋_GB2312"/>
        </w:rPr>
        <w:t>过程状况：该项目于202</w:t>
      </w:r>
      <w:r>
        <w:rPr>
          <w:rFonts w:hint="eastAsia" w:ascii="仿宋_GB2312"/>
          <w:lang w:val="en-US" w:eastAsia="zh-CN"/>
        </w:rPr>
        <w:t>4</w:t>
      </w:r>
      <w:r>
        <w:rPr>
          <w:rFonts w:hint="eastAsia" w:ascii="仿宋_GB2312"/>
        </w:rPr>
        <w:t>年</w:t>
      </w:r>
      <w:r>
        <w:rPr>
          <w:rFonts w:hint="eastAsia" w:ascii="仿宋_GB2312"/>
          <w:lang w:val="en-US" w:eastAsia="zh-CN"/>
        </w:rPr>
        <w:t>1</w:t>
      </w:r>
      <w:r>
        <w:rPr>
          <w:rFonts w:hint="eastAsia" w:ascii="仿宋_GB2312"/>
        </w:rPr>
        <w:t>月制订初步</w:t>
      </w:r>
      <w:r>
        <w:rPr>
          <w:rFonts w:hint="eastAsia" w:ascii="仿宋_GB2312"/>
          <w:szCs w:val="32"/>
          <w:lang w:eastAsia="zh-CN"/>
        </w:rPr>
        <w:t>实施方案</w:t>
      </w:r>
      <w:r>
        <w:rPr>
          <w:rFonts w:hint="eastAsia" w:ascii="仿宋_GB2312"/>
        </w:rPr>
        <w:t>，</w:t>
      </w:r>
      <w:r>
        <w:rPr>
          <w:rFonts w:hint="eastAsia" w:ascii="仿宋_GB2312"/>
          <w:lang w:val="en-US" w:eastAsia="zh-CN"/>
        </w:rPr>
        <w:t>经审核按要求补贴疆内疆外外出务工人</w:t>
      </w:r>
      <w:r>
        <w:rPr>
          <w:rFonts w:hint="eastAsia" w:ascii="仿宋_GB2312"/>
          <w:color w:val="auto"/>
          <w:lang w:val="en-US" w:eastAsia="zh-CN"/>
        </w:rPr>
        <w:t>员，</w:t>
      </w:r>
      <w:r>
        <w:rPr>
          <w:rFonts w:hint="eastAsia" w:ascii="仿宋_GB2312"/>
          <w:color w:val="auto"/>
        </w:rPr>
        <w:t>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1</w:t>
      </w:r>
      <w:r>
        <w:rPr>
          <w:rFonts w:hint="eastAsia" w:ascii="仿宋_GB2312"/>
          <w:lang w:val="en-US" w:eastAsia="zh-CN"/>
        </w:rPr>
        <w:t>2</w:t>
      </w:r>
      <w:r>
        <w:rPr>
          <w:rFonts w:hint="eastAsia" w:ascii="仿宋_GB2312"/>
        </w:rPr>
        <w:t>月</w:t>
      </w:r>
      <w:r>
        <w:rPr>
          <w:rFonts w:hint="eastAsia" w:ascii="仿宋_GB2312"/>
          <w:lang w:val="en-US" w:eastAsia="zh-CN"/>
        </w:rPr>
        <w:t>31</w:t>
      </w:r>
      <w:r>
        <w:rPr>
          <w:rFonts w:hint="eastAsia" w:ascii="仿宋_GB2312"/>
        </w:rPr>
        <w:t>日</w:t>
      </w:r>
      <w:r>
        <w:rPr>
          <w:rFonts w:hint="eastAsia" w:ascii="仿宋_GB2312"/>
          <w:lang w:eastAsia="zh-CN"/>
        </w:rPr>
        <w:t>完成项目</w:t>
      </w:r>
      <w:r>
        <w:rPr>
          <w:rFonts w:hint="eastAsia" w:ascii="仿宋_GB2312"/>
        </w:rPr>
        <w:t>。</w:t>
      </w:r>
    </w:p>
    <w:p w14:paraId="313EA184">
      <w:pPr>
        <w:pStyle w:val="52"/>
        <w:spacing w:line="560" w:lineRule="exact"/>
        <w:ind w:left="3" w:right="3" w:firstLine="560"/>
        <w:rPr>
          <w:rFonts w:ascii="仿宋_GB2312"/>
        </w:rPr>
      </w:pPr>
      <w:r>
        <w:rPr>
          <w:rFonts w:hint="eastAsia" w:ascii="仿宋_GB2312"/>
        </w:rPr>
        <w:t>结果状况：12月</w:t>
      </w:r>
      <w:r>
        <w:rPr>
          <w:rFonts w:hint="eastAsia" w:ascii="仿宋_GB2312"/>
          <w:lang w:val="en-US" w:eastAsia="zh-CN"/>
        </w:rPr>
        <w:t>28</w:t>
      </w:r>
      <w:r>
        <w:rPr>
          <w:rFonts w:hint="eastAsia" w:ascii="仿宋_GB2312"/>
        </w:rPr>
        <w:t>日，于田县</w:t>
      </w:r>
      <w:r>
        <w:rPr>
          <w:rFonts w:hint="eastAsia" w:ascii="仿宋_GB2312"/>
          <w:lang w:eastAsia="zh-CN"/>
        </w:rPr>
        <w:t>就业工作领导小组办公室</w:t>
      </w:r>
      <w:r>
        <w:rPr>
          <w:rFonts w:hint="eastAsia" w:ascii="仿宋_GB2312"/>
        </w:rPr>
        <w:t>竣工验收结果状况：合格。</w:t>
      </w:r>
    </w:p>
    <w:p w14:paraId="63469D5A">
      <w:pPr>
        <w:pStyle w:val="52"/>
        <w:spacing w:line="560" w:lineRule="exact"/>
        <w:ind w:left="3" w:right="3" w:firstLine="562"/>
        <w:rPr>
          <w:rStyle w:val="19"/>
          <w:rFonts w:ascii="楷体_GB2312"/>
        </w:rPr>
      </w:pPr>
      <w:r>
        <w:rPr>
          <w:rStyle w:val="19"/>
          <w:rFonts w:hint="eastAsia" w:ascii="楷体_GB2312"/>
        </w:rPr>
        <w:t>（三）主要经验及做法</w:t>
      </w:r>
    </w:p>
    <w:p w14:paraId="7F908DDF">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202</w:t>
      </w:r>
      <w:r>
        <w:rPr>
          <w:rFonts w:hint="eastAsia" w:ascii="仿宋_GB2312" w:hAnsi="Times New Roman" w:eastAsia="仿宋_GB2312" w:cs="Times New Roman"/>
          <w:color w:val="000000"/>
          <w:sz w:val="28"/>
          <w:lang w:val="en-US" w:eastAsia="zh-CN"/>
        </w:rPr>
        <w:t>4</w:t>
      </w:r>
      <w:r>
        <w:rPr>
          <w:rFonts w:hint="eastAsia" w:ascii="仿宋_GB2312" w:hAnsi="Times New Roman" w:eastAsia="仿宋_GB2312" w:cs="Times New Roman"/>
          <w:color w:val="000000"/>
          <w:sz w:val="28"/>
        </w:rPr>
        <w:t>年</w:t>
      </w:r>
      <w:r>
        <w:rPr>
          <w:rFonts w:hint="eastAsia" w:ascii="仿宋_GB2312" w:hAnsi="Times New Roman" w:eastAsia="仿宋_GB2312" w:cs="Times New Roman"/>
          <w:color w:val="000000"/>
          <w:sz w:val="28"/>
          <w:lang w:eastAsia="zh-CN"/>
        </w:rPr>
        <w:t>于田县脱贫劳动力转移就业一次性交通补助项目（人社局）</w:t>
      </w:r>
      <w:r>
        <w:rPr>
          <w:rFonts w:hint="eastAsia" w:ascii="仿宋_GB2312" w:hAnsi="Times New Roman" w:eastAsia="仿宋_GB2312" w:cs="Times New Roman"/>
          <w:color w:val="000000"/>
          <w:sz w:val="28"/>
        </w:rPr>
        <w:t>资金安排、使用过程中严格执行乡村振兴项目资金管理制度，确保乡村振兴项目正常运行为构建长效稳定奠定物质基础。</w:t>
      </w:r>
    </w:p>
    <w:p w14:paraId="49059FD9">
      <w:pPr>
        <w:spacing w:line="560" w:lineRule="exact"/>
        <w:ind w:firstLine="562" w:firstLineChars="200"/>
        <w:rPr>
          <w:rStyle w:val="19"/>
          <w:rFonts w:ascii="楷体_GB2312"/>
          <w:sz w:val="28"/>
        </w:rPr>
      </w:pPr>
      <w:r>
        <w:rPr>
          <w:rStyle w:val="19"/>
          <w:rFonts w:hint="eastAsia" w:ascii="楷体_GB2312"/>
          <w:sz w:val="28"/>
        </w:rPr>
        <w:t>（四）存在的问题</w:t>
      </w:r>
    </w:p>
    <w:p w14:paraId="282C9060">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202</w:t>
      </w:r>
      <w:r>
        <w:rPr>
          <w:rFonts w:hint="eastAsia" w:ascii="仿宋_GB2312" w:hAnsi="Times New Roman" w:eastAsia="仿宋_GB2312" w:cs="Times New Roman"/>
          <w:color w:val="000000"/>
          <w:sz w:val="28"/>
          <w:lang w:val="en-US" w:eastAsia="zh-CN"/>
        </w:rPr>
        <w:t>4</w:t>
      </w:r>
      <w:r>
        <w:rPr>
          <w:rFonts w:hint="eastAsia" w:ascii="仿宋_GB2312" w:hAnsi="Times New Roman" w:eastAsia="仿宋_GB2312" w:cs="Times New Roman"/>
          <w:color w:val="000000"/>
          <w:sz w:val="28"/>
        </w:rPr>
        <w:t>年于田县脱贫劳动力转移就业一次性交通补项目资金安排、使用过程中存在一些问题，主要是资金申报，审批，发放过程中存在对资金拨付缓慢问题。</w:t>
      </w:r>
    </w:p>
    <w:p w14:paraId="10E73C66">
      <w:pPr>
        <w:spacing w:line="560" w:lineRule="exact"/>
        <w:ind w:firstLine="562" w:firstLineChars="200"/>
        <w:rPr>
          <w:rStyle w:val="19"/>
          <w:rFonts w:ascii="楷体_GB2312"/>
          <w:sz w:val="28"/>
        </w:rPr>
      </w:pPr>
      <w:r>
        <w:rPr>
          <w:rStyle w:val="19"/>
          <w:rFonts w:hint="eastAsia" w:ascii="楷体_GB2312"/>
          <w:sz w:val="28"/>
        </w:rPr>
        <w:t>（五）建议</w:t>
      </w:r>
    </w:p>
    <w:p w14:paraId="21CE3120">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788373F8">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2BBE4E0E">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0EDDE943">
        <w:pPr>
          <w:pStyle w:val="13"/>
          <w:jc w:val="center"/>
        </w:pPr>
        <w:r>
          <w:fldChar w:fldCharType="begin"/>
        </w:r>
        <w:r>
          <w:instrText xml:space="preserve">PAGE   \* MERGEFORMAT</w:instrText>
        </w:r>
        <w:r>
          <w:fldChar w:fldCharType="separate"/>
        </w:r>
        <w:r>
          <w:rPr>
            <w:lang w:val="zh-CN"/>
          </w:rPr>
          <w:t>1</w:t>
        </w:r>
        <w:r>
          <w:fldChar w:fldCharType="end"/>
        </w:r>
      </w:p>
    </w:sdtContent>
  </w:sdt>
  <w:p w14:paraId="71976FFA">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F5660">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docVars>
    <w:docVar w:name="commondata" w:val="eyJoZGlkIjoiY2RlOGExMTJjOWFmYjNiZTJjMWUwNDM2NWFmZTM5NmEifQ=="/>
  </w:docVars>
  <w:rsids>
    <w:rsidRoot w:val="00B312FC"/>
    <w:rsid w:val="00005A8B"/>
    <w:rsid w:val="00010FA9"/>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1C2427"/>
    <w:rsid w:val="016A4A5F"/>
    <w:rsid w:val="01CB73BC"/>
    <w:rsid w:val="0239272D"/>
    <w:rsid w:val="023D5371"/>
    <w:rsid w:val="02427204"/>
    <w:rsid w:val="02E351D6"/>
    <w:rsid w:val="033D5250"/>
    <w:rsid w:val="03755AC2"/>
    <w:rsid w:val="041A7D01"/>
    <w:rsid w:val="0468735C"/>
    <w:rsid w:val="04814544"/>
    <w:rsid w:val="04815D8A"/>
    <w:rsid w:val="04D920B8"/>
    <w:rsid w:val="05DA7EE3"/>
    <w:rsid w:val="05F67F55"/>
    <w:rsid w:val="06A4246A"/>
    <w:rsid w:val="06FC7743"/>
    <w:rsid w:val="079A5339"/>
    <w:rsid w:val="084D3504"/>
    <w:rsid w:val="08575C4D"/>
    <w:rsid w:val="08764FA2"/>
    <w:rsid w:val="08DB0130"/>
    <w:rsid w:val="08EC7EB6"/>
    <w:rsid w:val="09162BF7"/>
    <w:rsid w:val="097127B3"/>
    <w:rsid w:val="09757BEA"/>
    <w:rsid w:val="09770172"/>
    <w:rsid w:val="09BA5A41"/>
    <w:rsid w:val="09C542C1"/>
    <w:rsid w:val="0A0277D0"/>
    <w:rsid w:val="0A184CD2"/>
    <w:rsid w:val="0A30600B"/>
    <w:rsid w:val="0AE45EEF"/>
    <w:rsid w:val="0B0A2C8A"/>
    <w:rsid w:val="0B0B3AA3"/>
    <w:rsid w:val="0B22621D"/>
    <w:rsid w:val="0B326DB1"/>
    <w:rsid w:val="0B466EA5"/>
    <w:rsid w:val="0B9E305C"/>
    <w:rsid w:val="0CE25E4B"/>
    <w:rsid w:val="0D88160F"/>
    <w:rsid w:val="0DC0772C"/>
    <w:rsid w:val="0EB84843"/>
    <w:rsid w:val="0F361A7F"/>
    <w:rsid w:val="0F6316E3"/>
    <w:rsid w:val="0FB3372A"/>
    <w:rsid w:val="0FB91832"/>
    <w:rsid w:val="112425B2"/>
    <w:rsid w:val="11521BAB"/>
    <w:rsid w:val="122F2D84"/>
    <w:rsid w:val="12645637"/>
    <w:rsid w:val="12954108"/>
    <w:rsid w:val="12CA4DA4"/>
    <w:rsid w:val="137A6E46"/>
    <w:rsid w:val="142654DD"/>
    <w:rsid w:val="146B3922"/>
    <w:rsid w:val="14E07EDF"/>
    <w:rsid w:val="151E30B2"/>
    <w:rsid w:val="15BA0BC0"/>
    <w:rsid w:val="16062D44"/>
    <w:rsid w:val="16437709"/>
    <w:rsid w:val="16686B98"/>
    <w:rsid w:val="1732350A"/>
    <w:rsid w:val="17BD01AF"/>
    <w:rsid w:val="18431A8A"/>
    <w:rsid w:val="19EF781D"/>
    <w:rsid w:val="1A6872E1"/>
    <w:rsid w:val="1A8167B2"/>
    <w:rsid w:val="1A935C02"/>
    <w:rsid w:val="1ACD22B9"/>
    <w:rsid w:val="1B4876A2"/>
    <w:rsid w:val="1BA22217"/>
    <w:rsid w:val="1BB50451"/>
    <w:rsid w:val="1BBB40B6"/>
    <w:rsid w:val="1BCB69FF"/>
    <w:rsid w:val="1C256F85"/>
    <w:rsid w:val="1D08380B"/>
    <w:rsid w:val="1D367012"/>
    <w:rsid w:val="1D6B591E"/>
    <w:rsid w:val="1E2213F7"/>
    <w:rsid w:val="1E2A2986"/>
    <w:rsid w:val="1E536CBC"/>
    <w:rsid w:val="1E7E0F2C"/>
    <w:rsid w:val="1E94629A"/>
    <w:rsid w:val="1EF87BE6"/>
    <w:rsid w:val="1F215D5F"/>
    <w:rsid w:val="21822574"/>
    <w:rsid w:val="226D4854"/>
    <w:rsid w:val="22B75DA9"/>
    <w:rsid w:val="22D97BA4"/>
    <w:rsid w:val="23B41898"/>
    <w:rsid w:val="23E41F78"/>
    <w:rsid w:val="24A53602"/>
    <w:rsid w:val="24E34FAA"/>
    <w:rsid w:val="251C0753"/>
    <w:rsid w:val="25AA643F"/>
    <w:rsid w:val="25D64895"/>
    <w:rsid w:val="26C2190A"/>
    <w:rsid w:val="27521929"/>
    <w:rsid w:val="275E6560"/>
    <w:rsid w:val="277462EA"/>
    <w:rsid w:val="27B03113"/>
    <w:rsid w:val="295F1D10"/>
    <w:rsid w:val="29F1246C"/>
    <w:rsid w:val="2AFD6635"/>
    <w:rsid w:val="2B3614DD"/>
    <w:rsid w:val="2C5B4F6C"/>
    <w:rsid w:val="2C695F8E"/>
    <w:rsid w:val="2D4937D6"/>
    <w:rsid w:val="2E4E2028"/>
    <w:rsid w:val="2F1C6758"/>
    <w:rsid w:val="2F8C7A10"/>
    <w:rsid w:val="2FFA610A"/>
    <w:rsid w:val="2FFB328E"/>
    <w:rsid w:val="310004C0"/>
    <w:rsid w:val="31D0675F"/>
    <w:rsid w:val="32FC6D5F"/>
    <w:rsid w:val="337557DE"/>
    <w:rsid w:val="339E2D9F"/>
    <w:rsid w:val="33A344EF"/>
    <w:rsid w:val="33A81461"/>
    <w:rsid w:val="35DA5F30"/>
    <w:rsid w:val="367D546B"/>
    <w:rsid w:val="36E352B0"/>
    <w:rsid w:val="36EE73D8"/>
    <w:rsid w:val="37525036"/>
    <w:rsid w:val="3772086D"/>
    <w:rsid w:val="3786271A"/>
    <w:rsid w:val="37B13334"/>
    <w:rsid w:val="3835447E"/>
    <w:rsid w:val="389C02B4"/>
    <w:rsid w:val="38CA3875"/>
    <w:rsid w:val="391266E7"/>
    <w:rsid w:val="39177510"/>
    <w:rsid w:val="392120A4"/>
    <w:rsid w:val="395A1654"/>
    <w:rsid w:val="397B2571"/>
    <w:rsid w:val="399D12A0"/>
    <w:rsid w:val="39EA2653"/>
    <w:rsid w:val="3A2A018C"/>
    <w:rsid w:val="3A4B7E55"/>
    <w:rsid w:val="3AD07F69"/>
    <w:rsid w:val="3B0A1353"/>
    <w:rsid w:val="3B915B50"/>
    <w:rsid w:val="3CF63932"/>
    <w:rsid w:val="3CF6402B"/>
    <w:rsid w:val="3D0C6067"/>
    <w:rsid w:val="3D411FEB"/>
    <w:rsid w:val="3D934A9A"/>
    <w:rsid w:val="3DCB0925"/>
    <w:rsid w:val="3DD65396"/>
    <w:rsid w:val="3E0A1269"/>
    <w:rsid w:val="3E982E81"/>
    <w:rsid w:val="3F444A0F"/>
    <w:rsid w:val="3F48193E"/>
    <w:rsid w:val="3F5411A1"/>
    <w:rsid w:val="3F7426C1"/>
    <w:rsid w:val="3F93554F"/>
    <w:rsid w:val="3FBB0F63"/>
    <w:rsid w:val="3FC53AE1"/>
    <w:rsid w:val="3FED20B1"/>
    <w:rsid w:val="409B2844"/>
    <w:rsid w:val="40F02806"/>
    <w:rsid w:val="41334721"/>
    <w:rsid w:val="41B26D00"/>
    <w:rsid w:val="42125518"/>
    <w:rsid w:val="426B0665"/>
    <w:rsid w:val="434B79B2"/>
    <w:rsid w:val="4378496B"/>
    <w:rsid w:val="43AA1240"/>
    <w:rsid w:val="43B34A8A"/>
    <w:rsid w:val="44243F35"/>
    <w:rsid w:val="44756B55"/>
    <w:rsid w:val="457C4156"/>
    <w:rsid w:val="46021518"/>
    <w:rsid w:val="46166BE0"/>
    <w:rsid w:val="467F0B9D"/>
    <w:rsid w:val="46886C3E"/>
    <w:rsid w:val="47137298"/>
    <w:rsid w:val="489C5DE5"/>
    <w:rsid w:val="490062DE"/>
    <w:rsid w:val="49880335"/>
    <w:rsid w:val="499157FB"/>
    <w:rsid w:val="49CD45E8"/>
    <w:rsid w:val="4A591271"/>
    <w:rsid w:val="4A79234E"/>
    <w:rsid w:val="4AB8620C"/>
    <w:rsid w:val="4AD36A52"/>
    <w:rsid w:val="4BB27D6D"/>
    <w:rsid w:val="4BF001D5"/>
    <w:rsid w:val="4C950830"/>
    <w:rsid w:val="4C9A15A3"/>
    <w:rsid w:val="4CFE7507"/>
    <w:rsid w:val="4D4249D8"/>
    <w:rsid w:val="4D9A1DD9"/>
    <w:rsid w:val="4E106C78"/>
    <w:rsid w:val="4E13355A"/>
    <w:rsid w:val="4E4611E0"/>
    <w:rsid w:val="4EE72193"/>
    <w:rsid w:val="4EF936AC"/>
    <w:rsid w:val="4F16090F"/>
    <w:rsid w:val="4F7A3BEA"/>
    <w:rsid w:val="4FE23840"/>
    <w:rsid w:val="501F7E55"/>
    <w:rsid w:val="50644DD4"/>
    <w:rsid w:val="508412A5"/>
    <w:rsid w:val="50856DCE"/>
    <w:rsid w:val="50892F1F"/>
    <w:rsid w:val="50B40E9D"/>
    <w:rsid w:val="514F2656"/>
    <w:rsid w:val="516E3C66"/>
    <w:rsid w:val="51720C92"/>
    <w:rsid w:val="51E3616A"/>
    <w:rsid w:val="52824127"/>
    <w:rsid w:val="535E1222"/>
    <w:rsid w:val="53642CEB"/>
    <w:rsid w:val="53C87AA1"/>
    <w:rsid w:val="546D3C3B"/>
    <w:rsid w:val="549F608F"/>
    <w:rsid w:val="54D333A7"/>
    <w:rsid w:val="55437619"/>
    <w:rsid w:val="55990CF0"/>
    <w:rsid w:val="56075D89"/>
    <w:rsid w:val="561D6975"/>
    <w:rsid w:val="56CF28BC"/>
    <w:rsid w:val="57001D40"/>
    <w:rsid w:val="576E5C89"/>
    <w:rsid w:val="57C91C56"/>
    <w:rsid w:val="57D87E54"/>
    <w:rsid w:val="58345E65"/>
    <w:rsid w:val="586F4064"/>
    <w:rsid w:val="587510B1"/>
    <w:rsid w:val="5952008C"/>
    <w:rsid w:val="59592CD8"/>
    <w:rsid w:val="59AE279D"/>
    <w:rsid w:val="59CE4A84"/>
    <w:rsid w:val="59E65A3A"/>
    <w:rsid w:val="5A4E4851"/>
    <w:rsid w:val="5B561B6F"/>
    <w:rsid w:val="5B7C76B6"/>
    <w:rsid w:val="5B9B6FC9"/>
    <w:rsid w:val="5BA55570"/>
    <w:rsid w:val="5BF81A61"/>
    <w:rsid w:val="5C4908BB"/>
    <w:rsid w:val="5C584A0B"/>
    <w:rsid w:val="5C640B74"/>
    <w:rsid w:val="5CE72535"/>
    <w:rsid w:val="5D195A35"/>
    <w:rsid w:val="5D3D04D5"/>
    <w:rsid w:val="5D8D1505"/>
    <w:rsid w:val="5DA4439F"/>
    <w:rsid w:val="5E387704"/>
    <w:rsid w:val="5E6E5E57"/>
    <w:rsid w:val="5E7F5779"/>
    <w:rsid w:val="5EAD3401"/>
    <w:rsid w:val="5F8B14D1"/>
    <w:rsid w:val="5FBE5693"/>
    <w:rsid w:val="60903F7F"/>
    <w:rsid w:val="60A216E8"/>
    <w:rsid w:val="60E33AE0"/>
    <w:rsid w:val="6140522D"/>
    <w:rsid w:val="614150B6"/>
    <w:rsid w:val="61C27AFD"/>
    <w:rsid w:val="622A23CA"/>
    <w:rsid w:val="6330572D"/>
    <w:rsid w:val="637432A6"/>
    <w:rsid w:val="656F4780"/>
    <w:rsid w:val="658749E3"/>
    <w:rsid w:val="65BD4B4E"/>
    <w:rsid w:val="65E524AF"/>
    <w:rsid w:val="66086231"/>
    <w:rsid w:val="661E647E"/>
    <w:rsid w:val="669A2BA5"/>
    <w:rsid w:val="67392238"/>
    <w:rsid w:val="674109FB"/>
    <w:rsid w:val="67705847"/>
    <w:rsid w:val="6778756C"/>
    <w:rsid w:val="67B41CB7"/>
    <w:rsid w:val="67B9685E"/>
    <w:rsid w:val="68035401"/>
    <w:rsid w:val="68090096"/>
    <w:rsid w:val="685132EA"/>
    <w:rsid w:val="68E10247"/>
    <w:rsid w:val="69044D2A"/>
    <w:rsid w:val="697326B0"/>
    <w:rsid w:val="69824F7D"/>
    <w:rsid w:val="6A1D6680"/>
    <w:rsid w:val="6A3531EB"/>
    <w:rsid w:val="6A9116CF"/>
    <w:rsid w:val="6B5064CE"/>
    <w:rsid w:val="6B83594D"/>
    <w:rsid w:val="6BE53BB9"/>
    <w:rsid w:val="6C036827"/>
    <w:rsid w:val="6D6879ED"/>
    <w:rsid w:val="6DA7489B"/>
    <w:rsid w:val="6E751862"/>
    <w:rsid w:val="6EBE0AB5"/>
    <w:rsid w:val="6F1A7963"/>
    <w:rsid w:val="6F577629"/>
    <w:rsid w:val="6F5C3EC1"/>
    <w:rsid w:val="70A271B6"/>
    <w:rsid w:val="71746C33"/>
    <w:rsid w:val="71CF6523"/>
    <w:rsid w:val="72197D9B"/>
    <w:rsid w:val="726D6AAB"/>
    <w:rsid w:val="72EC12C3"/>
    <w:rsid w:val="73A62E93"/>
    <w:rsid w:val="742A2F5E"/>
    <w:rsid w:val="742E04FF"/>
    <w:rsid w:val="7466381C"/>
    <w:rsid w:val="74DA0721"/>
    <w:rsid w:val="75A55E1C"/>
    <w:rsid w:val="75AF11A1"/>
    <w:rsid w:val="76071390"/>
    <w:rsid w:val="786A6573"/>
    <w:rsid w:val="79A47DCA"/>
    <w:rsid w:val="79A50604"/>
    <w:rsid w:val="7A45167E"/>
    <w:rsid w:val="7A7C1BD9"/>
    <w:rsid w:val="7AF50B6C"/>
    <w:rsid w:val="7B797BD0"/>
    <w:rsid w:val="7BAB675E"/>
    <w:rsid w:val="7BCA1E19"/>
    <w:rsid w:val="7C532AB2"/>
    <w:rsid w:val="7C7A12E1"/>
    <w:rsid w:val="7CA22538"/>
    <w:rsid w:val="7CEF06FA"/>
    <w:rsid w:val="7DF067C9"/>
    <w:rsid w:val="7EAA1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5950</Words>
  <Characters>6453</Characters>
  <Lines>9</Lines>
  <Paragraphs>15</Paragraphs>
  <TotalTime>4</TotalTime>
  <ScaleCrop>false</ScaleCrop>
  <LinksUpToDate>false</LinksUpToDate>
  <CharactersWithSpaces>6647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2025-03-03T11:23:48Z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