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589128FA">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项目名称:</w:t>
      </w:r>
      <w:r>
        <w:rPr>
          <w:rFonts w:hint="eastAsia" w:ascii="仿宋" w:hAnsi="仿宋" w:eastAsia="仿宋" w:cs="仿宋"/>
          <w:bCs/>
          <w:color w:val="000000" w:themeColor="text1"/>
          <w:kern w:val="0"/>
          <w:lang w:val="en-US" w:eastAsia="zh-CN"/>
          <w14:textFill>
            <w14:solidFill>
              <w14:schemeClr w14:val="tx1"/>
            </w14:solidFill>
          </w14:textFill>
        </w:rPr>
        <w:t>阿热勒乡示范村也台克孜勒村人居环境整治项目</w:t>
      </w: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43DF4702">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于田县民族宗教事务局</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史鑫</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于田县民族宗教事务局和于田县财政局联合</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阿热勒乡示范村也台克孜勒村人居环境整治项目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于民宗</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1</w:t>
      </w:r>
      <w:r>
        <w:rPr>
          <w:rFonts w:hint="eastAsia" w:ascii="仿宋_GB2312"/>
          <w:szCs w:val="32"/>
        </w:rPr>
        <w:t>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批复立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阿热勒乡示范村也台克孜勒村人居环境整治项目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350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350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3B6483FB">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 xml:space="preserve">实施乡村振兴战略主要目的在于改善农村人居环境，建设美丽宜居乡村，事关全面建成小康社会、广大农民根本福祉和农村社会文明和谐。《中华人民共和国国民经济和社会发展第十四个五年规划和 2035 年远景目标纲要》中指出：坚持农业农村优先发展，全面推进乡村振兴。规划指出：“把乡村建设摆在社会主义现代化建设的重要位置，优化生产生活生态空间，持续改善村容村貌和人居环境，建设美丽宜居乡村。”第一、统筹县域城镇和村庄规划建设，通盘考虑土地利用、产业发展、居民点建设、人居环境整治、生态保护、防灾减灾和历史文化传承。科学编制县域村庄布局规划，因地制宜、分类推进村庄建设，规范开展全域土地综合整治，保护 传统村落、民族村寨和乡村风貌，严禁随意撤并村庄搞大社区、违背农民意愿大拆大建。优化布局乡村生活空间，严格保护农业生产空间和乡村生态空间，科学划定养殖业适养、限养、禁养区域。鼓励有条件地区编制实用性村庄规划。第二、以县域为基本单元推进城乡融合发展，强化县城综合服务能力和乡镇服务农民功能。健全城乡基础设施统一规划、统一建设、统一管护机制，推动市政公用设施向郊区乡村和规模较大中心镇延伸，完善乡村水、电、路、气、邮政通信、广播电视、物流等基础设施，提升农房建设质量。推进城乡基本公共服务标准统一、制度并轨，增加农村教育、医疗、养老、文化等服务供给，推进县域内教师医生交流轮岗，鼓励 社会力量兴办农村公益事业。提高农民科技文化素质，推动乡村人才振兴。第三、 开展农村人居环境整治提升行动，稳步回复决“垃圾围村”和乡村黑臭水体等突出环境问题。推进农村生活垃圾就地分类和资源化利用，以乡镇政府驻地和中心村为重点梯次推进农村生活污水治理。支持因地制宜推进农村厕所革命。推进农村水系综合整治。深入开展村庄清洁和绿化行动，实现村庄公共空间及庭院房屋、村庄周边干净整洁。 </w:t>
      </w:r>
    </w:p>
    <w:p w14:paraId="5633F323">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科学合理的规划是建设美丽乡村的前提。建设美丽乡村是一项系统工程，必须 要高度重视规划的引领作用，加强统筹推进。结合地理地貌、自然资源、文化积淀、民俗习惯、产业结构、自身特色等，因村制宜开展研究策划，做好美丽乡村建设规划，既要注重与周边环境的协调配套，又要塑造村庄自身的特点、特色，还要传承历史民俗文化，确保规划的科学性、合理性，充分彰显农耕文化、秀美特色，让“农村更像农村”，避免“千村一面”。优化提升农村生态环境是建设美丽乡村的重点。农村生态环境好与否直接关系到美丽乡村的建设程度，因此要把优化提升农村生态环境作为建设美丽乡村的重点，抓紧抓实抓好。</w:t>
      </w:r>
    </w:p>
    <w:p w14:paraId="301D7A7D">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阿热勒乡示范村也台克孜勒村人居环境整治项目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w:t>
      </w:r>
      <w:r>
        <w:rPr>
          <w:rFonts w:hint="default" w:ascii="仿宋_GB2312" w:hAnsi="Times New Roman" w:eastAsia="仿宋_GB2312" w:cs="Times New Roman"/>
          <w:color w:val="000000" w:themeColor="text1"/>
          <w:sz w:val="28"/>
          <w:szCs w:val="32"/>
          <w:lang w:eastAsia="zh-CN"/>
          <w14:textFill>
            <w14:solidFill>
              <w14:schemeClr w14:val="tx1"/>
            </w14:solidFill>
          </w14:textFill>
        </w:rPr>
        <w:t>民族宗教事务局</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w:t>
      </w:r>
      <w:r>
        <w:rPr>
          <w:rFonts w:hint="default" w:ascii="仿宋_GB2312" w:hAnsi="Times New Roman" w:eastAsia="仿宋_GB2312" w:cs="Times New Roman"/>
          <w:color w:val="000000"/>
          <w:sz w:val="28"/>
          <w:szCs w:val="32"/>
          <w:lang w:eastAsia="zh-CN"/>
        </w:rPr>
        <w:t>3</w:t>
      </w:r>
      <w:r>
        <w:rPr>
          <w:rFonts w:hint="eastAsia" w:ascii="仿宋_GB2312" w:hAnsi="Times New Roman" w:eastAsia="仿宋_GB2312" w:cs="Times New Roman"/>
          <w:color w:val="000000"/>
          <w:sz w:val="28"/>
          <w:szCs w:val="32"/>
          <w:lang w:val="en-US" w:eastAsia="zh-CN"/>
        </w:rPr>
        <w:t>月-2024年</w:t>
      </w:r>
      <w:r>
        <w:rPr>
          <w:rFonts w:hint="default" w:ascii="仿宋_GB2312" w:hAnsi="Times New Roman" w:eastAsia="仿宋_GB2312" w:cs="Times New Roman"/>
          <w:color w:val="000000"/>
          <w:sz w:val="28"/>
          <w:szCs w:val="32"/>
          <w:lang w:eastAsia="zh-CN"/>
        </w:rPr>
        <w:t>10</w:t>
      </w:r>
      <w:r>
        <w:rPr>
          <w:rFonts w:hint="eastAsia" w:ascii="仿宋_GB2312" w:hAnsi="Times New Roman" w:eastAsia="仿宋_GB2312" w:cs="Times New Roman"/>
          <w:color w:val="000000"/>
          <w:sz w:val="28"/>
          <w:szCs w:val="32"/>
          <w:lang w:val="en-US" w:eastAsia="zh-CN"/>
        </w:rPr>
        <w:t>月</w:t>
      </w:r>
      <w:r>
        <w:rPr>
          <w:rFonts w:hint="eastAsia" w:ascii="仿宋_GB2312" w:hAnsi="Times New Roman" w:eastAsia="仿宋_GB2312" w:cs="Times New Roman"/>
          <w:color w:val="000000"/>
          <w:sz w:val="28"/>
          <w:szCs w:val="32"/>
        </w:rPr>
        <w:t>。</w:t>
      </w:r>
    </w:p>
    <w:p w14:paraId="69CD2DB2">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工程实施后，也台克孜勒村319 户居民居住环境得到良好的改善，优化提升农村生态环境是建设美丽乡村建设，受益人口达到 1909 人，为当地村民提供优美的居住环境。</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4BA9C83F">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阿热勒乡示范村也台克孜勒村人居环境整治项目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w:t>
      </w:r>
      <w:r>
        <w:rPr>
          <w:rFonts w:hint="eastAsia" w:ascii="仿宋_GB2312" w:hAnsi="Times New Roman" w:eastAsia="仿宋_GB2312" w:cs="Times New Roman"/>
          <w:color w:val="000000"/>
          <w:sz w:val="28"/>
          <w:szCs w:val="32"/>
          <w:lang w:val="en-US" w:eastAsia="zh-CN"/>
        </w:rPr>
        <w:t>于田县民族宗教事务局和于田县财政局联合</w:t>
      </w:r>
      <w:r>
        <w:rPr>
          <w:rFonts w:hint="eastAsia" w:ascii="仿宋_GB2312" w:hAnsi="Times New Roman" w:eastAsia="仿宋_GB2312" w:cs="Times New Roman"/>
          <w:color w:val="000000"/>
          <w:sz w:val="28"/>
          <w:szCs w:val="32"/>
          <w:lang w:eastAsia="zh-CN"/>
        </w:rPr>
        <w:t>下发的《</w:t>
      </w:r>
      <w:r>
        <w:rPr>
          <w:rFonts w:hint="eastAsia" w:ascii="仿宋_GB2312" w:hAnsi="Times New Roman" w:eastAsia="仿宋_GB2312" w:cs="Times New Roman"/>
          <w:color w:val="000000"/>
          <w:sz w:val="28"/>
          <w:szCs w:val="32"/>
          <w:lang w:val="en-US" w:eastAsia="zh-CN"/>
        </w:rPr>
        <w:t>关于对阿热勒乡示范村也台克孜勒村人居环境整治项目</w:t>
      </w:r>
      <w:r>
        <w:rPr>
          <w:rFonts w:hint="eastAsia" w:ascii="仿宋_GB2312" w:hAnsi="Times New Roman" w:eastAsia="仿宋_GB2312" w:cs="Times New Roman"/>
          <w:color w:val="000000"/>
          <w:sz w:val="28"/>
          <w:szCs w:val="32"/>
          <w:lang w:eastAsia="zh-CN"/>
        </w:rPr>
        <w:t>实施方案的批复》（</w:t>
      </w:r>
      <w:r>
        <w:rPr>
          <w:rFonts w:hint="eastAsia" w:ascii="仿宋_GB2312" w:hAnsi="Times New Roman" w:eastAsia="仿宋_GB2312" w:cs="Times New Roman"/>
          <w:color w:val="000000"/>
          <w:sz w:val="28"/>
          <w:szCs w:val="32"/>
          <w:lang w:val="en-US" w:eastAsia="zh-CN"/>
        </w:rPr>
        <w:t>于民宗</w:t>
      </w:r>
      <w:r>
        <w:rPr>
          <w:rFonts w:hint="eastAsia" w:ascii="仿宋_GB2312" w:hAnsi="Times New Roman" w:eastAsia="仿宋_GB2312" w:cs="Times New Roman"/>
          <w:color w:val="000000"/>
          <w:sz w:val="28"/>
          <w:szCs w:val="32"/>
          <w:lang w:eastAsia="zh-CN"/>
        </w:rPr>
        <w:t>(202</w:t>
      </w:r>
      <w:r>
        <w:rPr>
          <w:rFonts w:hint="eastAsia" w:ascii="仿宋_GB2312" w:hAnsi="Times New Roman" w:eastAsia="仿宋_GB2312" w:cs="Times New Roman"/>
          <w:color w:val="000000"/>
          <w:sz w:val="28"/>
          <w:szCs w:val="32"/>
          <w:lang w:val="en-US" w:eastAsia="zh-CN"/>
        </w:rPr>
        <w:t>4</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lang w:val="en-US" w:eastAsia="zh-CN"/>
        </w:rPr>
        <w:t>1</w:t>
      </w:r>
      <w:r>
        <w:rPr>
          <w:rFonts w:hint="eastAsia" w:ascii="仿宋_GB2312" w:hAnsi="Times New Roman" w:eastAsia="仿宋_GB2312" w:cs="Times New Roman"/>
          <w:color w:val="000000"/>
          <w:sz w:val="28"/>
          <w:szCs w:val="32"/>
          <w:lang w:eastAsia="zh-CN"/>
        </w:rPr>
        <w:t>号）</w:t>
      </w:r>
      <w:r>
        <w:rPr>
          <w:rFonts w:hint="eastAsia" w:ascii="仿宋_GB2312" w:hAnsi="Times New Roman" w:eastAsia="仿宋_GB2312" w:cs="Times New Roman"/>
          <w:color w:val="000000"/>
          <w:sz w:val="28"/>
          <w:szCs w:val="32"/>
          <w:lang w:val="en-US" w:eastAsia="zh-CN"/>
        </w:rPr>
        <w:t>文</w:t>
      </w:r>
      <w:r>
        <w:rPr>
          <w:rFonts w:hint="eastAsia" w:ascii="仿宋_GB2312" w:hAnsi="Times New Roman" w:eastAsia="仿宋_GB2312" w:cs="Times New Roman"/>
          <w:color w:val="000000"/>
          <w:sz w:val="28"/>
          <w:szCs w:val="32"/>
          <w:lang w:eastAsia="zh-CN"/>
        </w:rPr>
        <w:t>批复立项实施，实施范围涉及于田县阿热</w:t>
      </w:r>
      <w:r>
        <w:rPr>
          <w:rFonts w:hint="eastAsia" w:ascii="仿宋_GB2312" w:hAnsi="Times New Roman" w:eastAsia="仿宋_GB2312" w:cs="Times New Roman"/>
          <w:color w:val="000000"/>
          <w:sz w:val="28"/>
          <w:szCs w:val="32"/>
          <w:lang w:val="en-US" w:eastAsia="zh-CN"/>
        </w:rPr>
        <w:t>勒乡全域范围</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default" w:ascii="仿宋_GB2312" w:hAnsi="Times New Roman" w:eastAsia="仿宋_GB2312" w:cs="Times New Roman"/>
          <w:color w:val="000000"/>
          <w:sz w:val="28"/>
          <w:szCs w:val="32"/>
        </w:rPr>
        <w:t>对阿热勒乡也台克孜勒村 319 户进行室内改造:主要改造内容为:(1)厨房、卫生间:地面贴地砖，墙面贴墙砖，顶棚做PVC 吊顶;(2)客厅:地面贴地砖</w:t>
      </w:r>
      <w:r>
        <w:rPr>
          <w:rFonts w:hint="eastAsia" w:ascii="仿宋_GB2312" w:hAnsi="Times New Roman" w:eastAsia="仿宋_GB2312" w:cs="Times New Roman"/>
          <w:color w:val="000000"/>
          <w:sz w:val="28"/>
          <w:szCs w:val="32"/>
          <w:lang w:eastAsia="zh-CN"/>
        </w:rPr>
        <w:t>。</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阿热勒乡示范村也台克孜勒村人居环境整治项目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农村环境整治</w:t>
      </w:r>
      <w:r>
        <w:rPr>
          <w:rFonts w:hint="eastAsia" w:ascii="仿宋_GB2312" w:hAnsi="Times New Roman" w:eastAsia="仿宋_GB2312" w:cs="Times New Roman"/>
          <w:color w:val="000000"/>
          <w:sz w:val="28"/>
          <w:szCs w:val="32"/>
        </w:rPr>
        <w:t>项目，属于乡村振兴衔接资金项目。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72A9BC29">
      <w:pPr>
        <w:spacing w:line="560" w:lineRule="exact"/>
        <w:ind w:firstLine="560" w:firstLineChars="200"/>
        <w:rPr>
          <w:rFonts w:ascii="仿宋_GB2312"/>
          <w:szCs w:val="32"/>
        </w:rPr>
      </w:pPr>
      <w:r>
        <w:rPr>
          <w:rFonts w:hint="eastAsia" w:ascii="仿宋_GB2312" w:hAnsi="Times New Roman" w:eastAsia="仿宋_GB2312" w:cs="Times New Roman"/>
          <w:color w:val="000000"/>
          <w:sz w:val="28"/>
          <w:szCs w:val="32"/>
          <w:lang w:eastAsia="zh-CN"/>
        </w:rPr>
        <w:t>阿热勒乡示范村也台克孜勒村人居环境整治项目</w:t>
      </w:r>
      <w:r>
        <w:rPr>
          <w:rFonts w:hint="eastAsia" w:ascii="仿宋_GB2312" w:hAnsi="Times New Roman" w:eastAsia="仿宋_GB2312" w:cs="Times New Roman"/>
          <w:color w:val="000000"/>
          <w:sz w:val="28"/>
          <w:szCs w:val="32"/>
          <w:lang w:val="en-US" w:eastAsia="zh-CN"/>
        </w:rPr>
        <w:t>总投资350万元，全部申请以乡村振兴衔接资金。主要内容为：</w:t>
      </w:r>
      <w:r>
        <w:rPr>
          <w:rFonts w:hint="default" w:ascii="仿宋_GB2312" w:hAnsi="Times New Roman" w:eastAsia="仿宋_GB2312" w:cs="Times New Roman"/>
          <w:color w:val="000000"/>
          <w:sz w:val="28"/>
          <w:szCs w:val="32"/>
        </w:rPr>
        <w:t>对阿热勒乡也台克孜勒村 319 户进行室内改造:主要改造内容为:(1)厨房、卫生间:地面贴地砖，墙面贴墙砖，顶棚做PVC 吊顶;(2)客厅:地面贴地砖。</w:t>
      </w:r>
      <w:r>
        <w:rPr>
          <w:rFonts w:hint="eastAsia" w:ascii="仿宋_GB2312" w:hAnsi="Times New Roman" w:eastAsia="仿宋_GB2312" w:cs="Times New Roman"/>
          <w:color w:val="000000"/>
          <w:sz w:val="28"/>
          <w:szCs w:val="32"/>
        </w:rPr>
        <w:t>通过</w:t>
      </w:r>
      <w:r>
        <w:rPr>
          <w:rFonts w:hint="eastAsia" w:ascii="仿宋_GB2312" w:hAnsi="Times New Roman" w:eastAsia="仿宋_GB2312" w:cs="Times New Roman"/>
          <w:color w:val="000000"/>
          <w:sz w:val="28"/>
          <w:szCs w:val="32"/>
          <w:lang w:eastAsia="zh-CN"/>
        </w:rPr>
        <w:t>阿热勒乡示范村也台克孜勒村人居环境整治项目</w:t>
      </w:r>
      <w:r>
        <w:rPr>
          <w:rFonts w:hint="eastAsia" w:ascii="仿宋_GB2312" w:hAnsi="Times New Roman" w:eastAsia="仿宋_GB2312" w:cs="Times New Roman"/>
          <w:color w:val="000000"/>
          <w:sz w:val="28"/>
          <w:szCs w:val="32"/>
        </w:rPr>
        <w:t>实施，</w:t>
      </w:r>
      <w:r>
        <w:rPr>
          <w:rFonts w:hint="eastAsia" w:ascii="仿宋_GB2312" w:hAnsi="Times New Roman" w:eastAsia="仿宋_GB2312" w:cs="Times New Roman"/>
          <w:color w:val="000000"/>
          <w:sz w:val="28"/>
          <w:szCs w:val="32"/>
          <w:lang w:val="en-US" w:eastAsia="zh-CN"/>
        </w:rPr>
        <w:t>也台克孜勒村319 户居民居住环境得到良好的改善，优化提升农村生态环境是建设美丽乡村建设，受益人口达到 1909人，为当地村民提供优美的居住环境。</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13</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阿热勒乡示范村也台克孜勒村人居环境整治项目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12</w:t>
      </w:r>
      <w:r>
        <w:t>分、质量指标</w:t>
      </w:r>
      <w:r>
        <w:rPr>
          <w:rFonts w:hint="eastAsia"/>
          <w:lang w:val="en-US" w:eastAsia="zh-CN"/>
        </w:rPr>
        <w:t>11</w:t>
      </w:r>
      <w:r>
        <w:t>分，时效指标</w:t>
      </w:r>
      <w:r>
        <w:rPr>
          <w:rFonts w:hint="eastAsia"/>
          <w:lang w:val="en-US" w:eastAsia="zh-CN"/>
        </w:rPr>
        <w:t>15</w:t>
      </w:r>
      <w:r>
        <w:t>分、成本指标</w:t>
      </w:r>
      <w:r>
        <w:rPr>
          <w:rFonts w:hint="eastAsia"/>
          <w:lang w:val="en-US" w:eastAsia="zh-CN"/>
        </w:rPr>
        <w:t>12</w:t>
      </w:r>
      <w:r>
        <w:t>分、社会效益指标</w:t>
      </w:r>
      <w:r>
        <w:rPr>
          <w:rFonts w:hint="eastAsia"/>
          <w:lang w:val="en-US" w:eastAsia="zh-CN"/>
        </w:rPr>
        <w:t>30</w:t>
      </w:r>
      <w:r>
        <w:t>分、</w:t>
      </w:r>
      <w:r>
        <w:rPr>
          <w:rFonts w:hint="eastAsia"/>
        </w:rPr>
        <w:t>服务对象满意度指标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阿热勒乡示范村也台克孜勒村人居环境整治项目</w:t>
      </w:r>
      <w:r>
        <w:rPr>
          <w:rFonts w:hint="eastAsia"/>
        </w:rPr>
        <w:t>预算安排总额为</w:t>
      </w:r>
      <w:r>
        <w:rPr>
          <w:rFonts w:hint="eastAsia"/>
          <w:lang w:val="en-US" w:eastAsia="zh-CN"/>
        </w:rPr>
        <w:t>350万元，其中：乡村振兴衔接资金350万元。预算资金到位率为100.00%。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阿热勒乡示范村也台克孜勒村人居环境整治项目，</w:t>
      </w:r>
      <w:r>
        <w:rPr>
          <w:rFonts w:hint="eastAsia"/>
        </w:rPr>
        <w:t>预算投入资金</w:t>
      </w:r>
      <w:r>
        <w:rPr>
          <w:rFonts w:hint="eastAsia"/>
          <w:lang w:val="en-US" w:eastAsia="zh-CN"/>
        </w:rPr>
        <w:t>350万元，经财务决算，项目实际完成投资共348.12万元，其中：工程费用322.02万元，工程建设其他费用 26.1万元；实际工程节概资金1.88万元。截至2024年12月31日，项目实际支出348.12万元，预算资金执行率99.46%。</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完成于田县阿热勒乡进行土地平整278亩，换填土方72002㎡</w:t>
      </w:r>
      <w:r>
        <w:rPr>
          <w:rFonts w:hint="eastAsia" w:ascii="仿宋_GB2312"/>
          <w:szCs w:val="32"/>
          <w:lang w:eastAsia="zh-CN"/>
        </w:rPr>
        <w:t>。</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13</w:t>
      </w:r>
      <w:r>
        <w:rPr>
          <w:rFonts w:hint="eastAsia" w:ascii="仿宋_GB2312"/>
          <w:szCs w:val="32"/>
        </w:rPr>
        <w:t>个，其中已完成三级指标</w:t>
      </w:r>
      <w:r>
        <w:rPr>
          <w:rFonts w:hint="eastAsia" w:ascii="仿宋_GB2312"/>
          <w:szCs w:val="32"/>
          <w:lang w:val="en-US" w:eastAsia="zh-CN"/>
        </w:rPr>
        <w:t>9</w:t>
      </w:r>
      <w:r>
        <w:rPr>
          <w:rFonts w:hint="eastAsia" w:ascii="仿宋_GB2312"/>
          <w:szCs w:val="32"/>
        </w:rPr>
        <w:t>个，指标完成率为</w:t>
      </w:r>
      <w:r>
        <w:rPr>
          <w:rFonts w:hint="eastAsia" w:ascii="仿宋_GB2312"/>
          <w:szCs w:val="32"/>
          <w:lang w:val="en-US" w:eastAsia="zh-CN"/>
        </w:rPr>
        <w:t>99.67</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涉及行政村数量</w:t>
      </w:r>
      <w:r>
        <w:rPr>
          <w:rFonts w:hint="eastAsia"/>
        </w:rPr>
        <w:t>”指标，预期指标值为</w:t>
      </w:r>
      <w:r>
        <w:rPr>
          <w:rFonts w:hint="eastAsia"/>
          <w:lang w:eastAsia="zh-CN"/>
        </w:rPr>
        <w:t>大于等于</w:t>
      </w:r>
      <w:r>
        <w:rPr>
          <w:rFonts w:hint="eastAsia"/>
          <w:lang w:val="en-US" w:eastAsia="zh-CN"/>
        </w:rPr>
        <w:t>1个</w:t>
      </w:r>
      <w:r>
        <w:rPr>
          <w:rFonts w:hint="eastAsia"/>
        </w:rPr>
        <w:t>,全年实际值为</w:t>
      </w:r>
      <w:r>
        <w:rPr>
          <w:rFonts w:hint="eastAsia"/>
          <w:lang w:val="en-US" w:eastAsia="zh-CN"/>
        </w:rPr>
        <w:t>1个</w:t>
      </w:r>
      <w:r>
        <w:rPr>
          <w:rFonts w:hint="eastAsia"/>
        </w:rPr>
        <w:t>，指标完成率为100.00%。所设分值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44B3F4D9">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改造户数</w:t>
      </w:r>
      <w:r>
        <w:rPr>
          <w:rFonts w:hint="eastAsia"/>
        </w:rPr>
        <w:t>”指标，预期指标值为</w:t>
      </w:r>
      <w:r>
        <w:rPr>
          <w:rFonts w:hint="eastAsia"/>
          <w:lang w:eastAsia="zh-CN"/>
        </w:rPr>
        <w:t>大于等于</w:t>
      </w:r>
      <w:r>
        <w:rPr>
          <w:rFonts w:hint="eastAsia"/>
          <w:lang w:val="en-US" w:eastAsia="zh-CN"/>
        </w:rPr>
        <w:t>319户，</w:t>
      </w:r>
      <w:r>
        <w:rPr>
          <w:rFonts w:hint="eastAsia"/>
        </w:rPr>
        <w:t>全年实际值为</w:t>
      </w:r>
      <w:r>
        <w:rPr>
          <w:rFonts w:hint="eastAsia"/>
          <w:lang w:val="en-US" w:eastAsia="zh-CN"/>
        </w:rPr>
        <w:t>319户</w:t>
      </w:r>
      <w:r>
        <w:rPr>
          <w:rFonts w:hint="eastAsia"/>
        </w:rPr>
        <w:t>，指标完成率为100.00%。所设分值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2024年3月</w:t>
      </w:r>
      <w:r>
        <w:rPr>
          <w:rFonts w:hint="eastAsia"/>
        </w:rPr>
        <w:t>,全年实际值为</w:t>
      </w:r>
      <w:r>
        <w:rPr>
          <w:rFonts w:hint="eastAsia"/>
          <w:lang w:val="en-US" w:eastAsia="zh-CN"/>
        </w:rPr>
        <w:t>2024年4月</w:t>
      </w:r>
      <w:r>
        <w:rPr>
          <w:rFonts w:hint="eastAsia"/>
        </w:rPr>
        <w:t>，指标完成率为100.00%。所设分值5分，实际得分</w:t>
      </w:r>
      <w:r>
        <w:rPr>
          <w:rFonts w:hint="eastAsia"/>
          <w:lang w:val="en-US" w:eastAsia="zh-CN"/>
        </w:rPr>
        <w:t>4.95</w:t>
      </w:r>
      <w:r>
        <w:rPr>
          <w:rFonts w:hint="eastAsia"/>
        </w:rPr>
        <w:t>分。</w:t>
      </w:r>
    </w:p>
    <w:p w14:paraId="6F572540">
      <w:pPr>
        <w:pStyle w:val="53"/>
        <w:spacing w:line="560" w:lineRule="exact"/>
        <w:ind w:left="0" w:leftChars="0" w:right="0" w:rightChars="0" w:firstLine="560"/>
        <w:rPr>
          <w:rFonts w:hint="eastAsia"/>
        </w:rPr>
      </w:pPr>
      <w:r>
        <w:rPr>
          <w:rFonts w:hint="eastAsia"/>
        </w:rPr>
        <w:t>偏差原因：项目4月招投标开工。</w:t>
      </w:r>
    </w:p>
    <w:p w14:paraId="75A2DE65">
      <w:pPr>
        <w:pStyle w:val="53"/>
        <w:spacing w:line="560" w:lineRule="exact"/>
        <w:ind w:left="0" w:leftChars="0" w:right="0" w:rightChars="0" w:firstLine="560"/>
        <w:rPr>
          <w:rFonts w:hint="eastAsia"/>
        </w:rPr>
      </w:pPr>
      <w:r>
        <w:rPr>
          <w:rFonts w:hint="eastAsia"/>
        </w:rPr>
        <w:t>改进措施：加强项目前期管理。</w:t>
      </w:r>
    </w:p>
    <w:p w14:paraId="7D32DD06">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2024年10</w:t>
      </w:r>
      <w:r>
        <w:rPr>
          <w:rFonts w:hint="eastAsia"/>
        </w:rPr>
        <w:t>月,全年实际值为</w:t>
      </w:r>
      <w:r>
        <w:rPr>
          <w:rFonts w:hint="eastAsia"/>
          <w:lang w:val="en-US" w:eastAsia="zh-CN"/>
        </w:rPr>
        <w:t>2024年7</w:t>
      </w:r>
      <w:r>
        <w:rPr>
          <w:rFonts w:hint="eastAsia"/>
        </w:rPr>
        <w:t>月，指标完成率为100.00%。所设分值5分，实际得分</w:t>
      </w:r>
      <w:r>
        <w:rPr>
          <w:rFonts w:hint="eastAsia"/>
          <w:lang w:val="en-US" w:eastAsia="zh-CN"/>
        </w:rPr>
        <w:t>4.99</w:t>
      </w:r>
      <w:r>
        <w:rPr>
          <w:rFonts w:hint="eastAsia"/>
        </w:rPr>
        <w:t>分。</w:t>
      </w:r>
    </w:p>
    <w:p w14:paraId="30845A63">
      <w:pPr>
        <w:pStyle w:val="53"/>
        <w:spacing w:line="560" w:lineRule="exact"/>
        <w:ind w:left="0" w:leftChars="0" w:right="0" w:rightChars="0" w:firstLine="560"/>
        <w:rPr>
          <w:rFonts w:hint="eastAsia"/>
        </w:rPr>
      </w:pPr>
      <w:r>
        <w:rPr>
          <w:rFonts w:hint="eastAsia"/>
        </w:rPr>
        <w:t>偏差原因：项目4月招投标开工。</w:t>
      </w:r>
    </w:p>
    <w:p w14:paraId="51C0BD40">
      <w:pPr>
        <w:pStyle w:val="53"/>
        <w:spacing w:line="560" w:lineRule="exact"/>
        <w:ind w:left="0" w:leftChars="0" w:right="0" w:rightChars="0" w:firstLine="560"/>
        <w:rPr>
          <w:rFonts w:hint="eastAsia"/>
        </w:rPr>
      </w:pPr>
      <w:r>
        <w:rPr>
          <w:rFonts w:hint="eastAsia"/>
        </w:rPr>
        <w:t xml:space="preserve">改进措施：加强项目前期管理。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1EDB95D2">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325.54万</w:t>
      </w:r>
      <w:r>
        <w:rPr>
          <w:rFonts w:hint="eastAsia"/>
        </w:rPr>
        <w:t>元, 全年实际值为</w:t>
      </w:r>
      <w:r>
        <w:rPr>
          <w:rFonts w:hint="eastAsia"/>
          <w:lang w:val="en-US" w:eastAsia="zh-CN"/>
        </w:rPr>
        <w:t>322.02</w:t>
      </w:r>
      <w:r>
        <w:rPr>
          <w:rFonts w:hint="eastAsia"/>
        </w:rPr>
        <w:t>万元，指标完成率为</w:t>
      </w:r>
      <w:r>
        <w:rPr>
          <w:rFonts w:hint="eastAsia"/>
          <w:lang w:val="en-US" w:eastAsia="zh-CN"/>
        </w:rPr>
        <w:t>98.92</w:t>
      </w:r>
      <w:r>
        <w:rPr>
          <w:rFonts w:hint="eastAsia"/>
        </w:rPr>
        <w:t>%。所设分值</w:t>
      </w:r>
      <w:r>
        <w:rPr>
          <w:rFonts w:hint="eastAsia"/>
          <w:lang w:val="en-US" w:eastAsia="zh-CN"/>
        </w:rPr>
        <w:t>6</w:t>
      </w:r>
      <w:r>
        <w:rPr>
          <w:rFonts w:hint="eastAsia"/>
        </w:rPr>
        <w:t>分，实际得分</w:t>
      </w:r>
      <w:r>
        <w:rPr>
          <w:rFonts w:hint="eastAsia"/>
          <w:lang w:val="en-US" w:eastAsia="zh-CN"/>
        </w:rPr>
        <w:t>5.93</w:t>
      </w:r>
      <w:r>
        <w:rPr>
          <w:rFonts w:hint="eastAsia"/>
        </w:rPr>
        <w:t>分。</w:t>
      </w:r>
    </w:p>
    <w:p w14:paraId="4B044D51">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偏差原因：项目已完工，经财务决算审定项目总投资348.12万元，剩余资金结余财政收回。</w:t>
      </w:r>
    </w:p>
    <w:p w14:paraId="0CF7C609">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改进措施：加强项目前期管理，合理编制工程相关费用。</w:t>
      </w:r>
    </w:p>
    <w:p w14:paraId="028010AB">
      <w:pPr>
        <w:pStyle w:val="34"/>
        <w:rPr>
          <w:rFonts w:hint="eastAsia"/>
        </w:rPr>
      </w:pPr>
      <w:r>
        <w:rPr>
          <w:rFonts w:hint="eastAsia"/>
        </w:rPr>
        <w:t>“</w:t>
      </w:r>
      <w:r>
        <w:rPr>
          <w:rFonts w:hint="eastAsia"/>
          <w:lang w:val="en-US" w:eastAsia="zh-CN"/>
        </w:rPr>
        <w:t>工程建设其他费用</w:t>
      </w:r>
      <w:r>
        <w:rPr>
          <w:rFonts w:hint="eastAsia"/>
        </w:rPr>
        <w:t>”指标，预期指标值为</w:t>
      </w:r>
      <w:r>
        <w:rPr>
          <w:rFonts w:hint="eastAsia"/>
          <w:lang w:eastAsia="zh-CN"/>
        </w:rPr>
        <w:t>小于等于</w:t>
      </w:r>
      <w:r>
        <w:rPr>
          <w:rFonts w:hint="eastAsia"/>
          <w:lang w:val="en-US" w:eastAsia="zh-CN"/>
        </w:rPr>
        <w:t>24.46</w:t>
      </w:r>
      <w:r>
        <w:rPr>
          <w:rFonts w:hint="eastAsia"/>
        </w:rPr>
        <w:t>万元, 全年实际值为</w:t>
      </w:r>
      <w:r>
        <w:rPr>
          <w:rFonts w:hint="eastAsia"/>
          <w:lang w:val="en-US" w:eastAsia="zh-CN"/>
        </w:rPr>
        <w:t>26.1</w:t>
      </w:r>
      <w:r>
        <w:rPr>
          <w:rFonts w:hint="eastAsia"/>
        </w:rPr>
        <w:t>万元，指标完成率为</w:t>
      </w:r>
      <w:r>
        <w:rPr>
          <w:rFonts w:hint="eastAsia"/>
          <w:lang w:val="en-US" w:eastAsia="zh-CN"/>
        </w:rPr>
        <w:t>98</w:t>
      </w:r>
      <w:r>
        <w:rPr>
          <w:rFonts w:hint="eastAsia"/>
        </w:rPr>
        <w:t>%；所设分值</w:t>
      </w:r>
      <w:r>
        <w:rPr>
          <w:rFonts w:hint="eastAsia"/>
          <w:lang w:val="en-US" w:eastAsia="zh-CN"/>
        </w:rPr>
        <w:t>6</w:t>
      </w:r>
      <w:r>
        <w:rPr>
          <w:rFonts w:hint="eastAsia"/>
        </w:rPr>
        <w:t>分，实际得分</w:t>
      </w:r>
      <w:r>
        <w:rPr>
          <w:rFonts w:hint="eastAsia"/>
          <w:lang w:val="en-US" w:eastAsia="zh-CN"/>
        </w:rPr>
        <w:t>5.88</w:t>
      </w:r>
      <w:r>
        <w:rPr>
          <w:rFonts w:hint="eastAsia"/>
        </w:rPr>
        <w:t>分。</w:t>
      </w:r>
    </w:p>
    <w:p w14:paraId="0382FE80">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偏差原因：项目已完工，经财务决算审定项目总投资348.12万元，剩余资金结余财政收回。</w:t>
      </w:r>
    </w:p>
    <w:p w14:paraId="5DB68057">
      <w:pPr>
        <w:pStyle w:val="34"/>
        <w:rPr>
          <w:rFonts w:hint="default" w:eastAsia="仿宋_GB2312"/>
          <w:lang w:val="en-US" w:eastAsia="zh-CN"/>
        </w:rPr>
      </w:pPr>
      <w:r>
        <w:rPr>
          <w:rFonts w:hint="eastAsia"/>
        </w:rPr>
        <w:t>改进措施：加强项目前期管理，合理编制工程相关费用</w:t>
      </w:r>
      <w:r>
        <w:rPr>
          <w:rFonts w:hint="eastAsia"/>
          <w:lang w:val="en-US" w:eastAsia="zh-CN"/>
        </w:rPr>
        <w:t>。</w:t>
      </w:r>
    </w:p>
    <w:p w14:paraId="73637491">
      <w:pPr>
        <w:pStyle w:val="34"/>
        <w:rPr>
          <w:b/>
          <w:bCs w:val="0"/>
        </w:rPr>
      </w:pPr>
      <w:r>
        <w:rPr>
          <w:rFonts w:hint="eastAsia"/>
          <w:b/>
          <w:bCs w:val="0"/>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5F7296B5">
      <w:pPr>
        <w:pStyle w:val="53"/>
        <w:spacing w:line="560" w:lineRule="exact"/>
        <w:ind w:left="0" w:leftChars="0" w:right="0" w:rightChars="0" w:firstLine="560"/>
        <w:rPr>
          <w:rFonts w:hint="eastAsia"/>
        </w:rPr>
      </w:pPr>
      <w:r>
        <w:rPr>
          <w:rFonts w:hint="eastAsia"/>
        </w:rPr>
        <w:t>“</w:t>
      </w:r>
      <w:r>
        <w:rPr>
          <w:rFonts w:hint="eastAsia"/>
          <w:lang w:val="en-US" w:eastAsia="zh-CN"/>
        </w:rPr>
        <w:t>提升群众</w:t>
      </w:r>
      <w:bookmarkStart w:id="0" w:name="_GoBack"/>
      <w:bookmarkEnd w:id="0"/>
      <w:r>
        <w:rPr>
          <w:rFonts w:hint="eastAsia"/>
          <w:lang w:val="en-US" w:eastAsia="zh-CN"/>
        </w:rPr>
        <w:t>居住水平</w:t>
      </w:r>
      <w:r>
        <w:rPr>
          <w:rFonts w:hint="eastAsia"/>
        </w:rPr>
        <w:t>”指标，指标预期值为</w:t>
      </w:r>
      <w:r>
        <w:rPr>
          <w:rFonts w:hint="eastAsia"/>
          <w:lang w:val="en-US" w:eastAsia="zh-CN"/>
        </w:rPr>
        <w:t>有效提升</w:t>
      </w:r>
      <w:r>
        <w:rPr>
          <w:rFonts w:hint="eastAsia"/>
        </w:rPr>
        <w:t>，实际完成值为</w:t>
      </w:r>
      <w:r>
        <w:rPr>
          <w:rFonts w:hint="eastAsia"/>
          <w:lang w:val="en-US" w:eastAsia="zh-CN"/>
        </w:rPr>
        <w:t>达成预期指标</w:t>
      </w:r>
      <w:r>
        <w:rPr>
          <w:rFonts w:hint="eastAsia"/>
        </w:rPr>
        <w:t>，指标完成率为100.00%。所设分值</w:t>
      </w:r>
      <w:r>
        <w:rPr>
          <w:rFonts w:hint="eastAsia"/>
          <w:lang w:val="en-US" w:eastAsia="zh-CN"/>
        </w:rPr>
        <w:t>10</w:t>
      </w:r>
      <w:r>
        <w:rPr>
          <w:rFonts w:hint="eastAsia"/>
        </w:rPr>
        <w:t>分，实际得分</w:t>
      </w:r>
      <w:r>
        <w:rPr>
          <w:rFonts w:hint="eastAsia"/>
          <w:lang w:val="en-US" w:eastAsia="zh-CN"/>
        </w:rPr>
        <w:t>10</w:t>
      </w:r>
      <w:r>
        <w:rPr>
          <w:rFonts w:hint="eastAsia"/>
        </w:rPr>
        <w:t>分。</w:t>
      </w:r>
    </w:p>
    <w:p w14:paraId="28D88DCF">
      <w:pPr>
        <w:pStyle w:val="53"/>
        <w:spacing w:line="560" w:lineRule="exact"/>
        <w:ind w:left="0" w:leftChars="0" w:right="0" w:rightChars="0" w:firstLine="560"/>
        <w:rPr>
          <w:rFonts w:hint="eastAsia"/>
        </w:rPr>
      </w:pPr>
      <w:r>
        <w:rPr>
          <w:rFonts w:hint="eastAsia"/>
        </w:rPr>
        <w:t>“</w:t>
      </w:r>
      <w:r>
        <w:rPr>
          <w:rFonts w:hint="eastAsia"/>
          <w:lang w:val="en-US" w:eastAsia="zh-CN"/>
        </w:rPr>
        <w:t>受益建档立卡人数</w:t>
      </w:r>
      <w:r>
        <w:rPr>
          <w:rFonts w:hint="eastAsia"/>
        </w:rPr>
        <w:t>”指标，指标预期值为</w:t>
      </w:r>
      <w:r>
        <w:rPr>
          <w:rFonts w:hint="eastAsia"/>
          <w:lang w:val="en-US" w:eastAsia="zh-CN"/>
        </w:rPr>
        <w:t>大于等于1909人</w:t>
      </w:r>
      <w:r>
        <w:rPr>
          <w:rFonts w:hint="eastAsia"/>
        </w:rPr>
        <w:t>，实际完成值为</w:t>
      </w:r>
      <w:r>
        <w:rPr>
          <w:rFonts w:hint="eastAsia"/>
          <w:lang w:val="en-US" w:eastAsia="zh-CN"/>
        </w:rPr>
        <w:t>1909人</w:t>
      </w:r>
      <w:r>
        <w:rPr>
          <w:rFonts w:hint="eastAsia"/>
        </w:rPr>
        <w:t>，指标完成率为100.00%。所设分值</w:t>
      </w:r>
      <w:r>
        <w:rPr>
          <w:rFonts w:hint="eastAsia"/>
          <w:lang w:val="en-US" w:eastAsia="zh-CN"/>
        </w:rPr>
        <w:t>10</w:t>
      </w:r>
      <w:r>
        <w:rPr>
          <w:rFonts w:hint="eastAsia"/>
        </w:rPr>
        <w:t>分，实际得分</w:t>
      </w:r>
      <w:r>
        <w:rPr>
          <w:rFonts w:hint="eastAsia"/>
          <w:lang w:val="en-US" w:eastAsia="zh-CN"/>
        </w:rPr>
        <w:t>10</w:t>
      </w:r>
      <w:r>
        <w:rPr>
          <w:rFonts w:hint="eastAsia"/>
        </w:rPr>
        <w:t>分。</w:t>
      </w:r>
    </w:p>
    <w:p w14:paraId="7D4E6803">
      <w:pPr>
        <w:pStyle w:val="53"/>
        <w:spacing w:line="560" w:lineRule="exact"/>
        <w:ind w:left="0" w:leftChars="0" w:right="0" w:rightChars="0" w:firstLine="560"/>
        <w:rPr>
          <w:rFonts w:hint="eastAsia"/>
        </w:rPr>
      </w:pPr>
      <w:r>
        <w:rPr>
          <w:rFonts w:hint="eastAsia"/>
        </w:rPr>
        <w:t>“</w:t>
      </w:r>
      <w:r>
        <w:rPr>
          <w:rFonts w:hint="eastAsia"/>
          <w:lang w:val="en-US" w:eastAsia="zh-CN"/>
        </w:rPr>
        <w:t>改善当地居民的生活环境</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有效提高</w:t>
      </w:r>
      <w:r>
        <w:rPr>
          <w:rFonts w:hint="eastAsia"/>
        </w:rPr>
        <w:t>，指标完成率为100.00%。所设分值</w:t>
      </w:r>
      <w:r>
        <w:rPr>
          <w:rFonts w:hint="eastAsia"/>
          <w:lang w:val="en-US" w:eastAsia="zh-CN"/>
        </w:rPr>
        <w:t>10</w:t>
      </w:r>
      <w:r>
        <w:rPr>
          <w:rFonts w:hint="eastAsia"/>
        </w:rPr>
        <w:t>分，实际得分</w:t>
      </w:r>
      <w:r>
        <w:rPr>
          <w:rFonts w:hint="eastAsia"/>
          <w:lang w:val="en-US" w:eastAsia="zh-CN"/>
        </w:rPr>
        <w:t>10</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5F084926">
      <w:pPr>
        <w:pStyle w:val="34"/>
        <w:rPr>
          <w:rFonts w:hint="eastAsia"/>
          <w:lang w:val="en-US" w:eastAsia="zh-CN"/>
        </w:rPr>
      </w:pPr>
      <w:r>
        <w:rPr>
          <w:rFonts w:hint="eastAsia"/>
          <w:lang w:val="en-US" w:eastAsia="zh-CN"/>
        </w:rPr>
        <w:t>1.时效指标-</w:t>
      </w:r>
      <w:r>
        <w:rPr>
          <w:rFonts w:hint="eastAsia"/>
        </w:rPr>
        <w:t>“</w:t>
      </w:r>
      <w:r>
        <w:rPr>
          <w:rFonts w:hint="eastAsia"/>
          <w:lang w:val="en-US" w:eastAsia="zh-CN"/>
        </w:rPr>
        <w:t>项目开工时间</w:t>
      </w:r>
      <w:r>
        <w:rPr>
          <w:rFonts w:hint="eastAsia"/>
        </w:rPr>
        <w:t>”指标，预期指标值为</w:t>
      </w:r>
      <w:r>
        <w:rPr>
          <w:rFonts w:hint="eastAsia"/>
          <w:lang w:val="en-US" w:eastAsia="zh-CN"/>
        </w:rPr>
        <w:t>2024年3月</w:t>
      </w:r>
      <w:r>
        <w:rPr>
          <w:rFonts w:hint="eastAsia"/>
        </w:rPr>
        <w:t>, 全年实际值为</w:t>
      </w:r>
      <w:r>
        <w:rPr>
          <w:rFonts w:hint="eastAsia"/>
          <w:lang w:val="en-US" w:eastAsia="zh-CN"/>
        </w:rPr>
        <w:t>2024年4月。</w:t>
      </w:r>
    </w:p>
    <w:p w14:paraId="50CB6B4C">
      <w:pPr>
        <w:pStyle w:val="34"/>
        <w:rPr>
          <w:rFonts w:hint="eastAsia"/>
          <w:lang w:val="en-US" w:eastAsia="zh-CN"/>
        </w:rPr>
      </w:pPr>
      <w:r>
        <w:rPr>
          <w:rFonts w:hint="eastAsia"/>
          <w:lang w:val="en-US" w:eastAsia="zh-CN"/>
        </w:rPr>
        <w:t>偏差原因：项目4月招投标开工。</w:t>
      </w:r>
    </w:p>
    <w:p w14:paraId="70C5CC40">
      <w:pPr>
        <w:pStyle w:val="34"/>
        <w:rPr>
          <w:rFonts w:hint="eastAsia"/>
          <w:lang w:val="en-US" w:eastAsia="zh-CN"/>
        </w:rPr>
      </w:pPr>
      <w:r>
        <w:rPr>
          <w:rFonts w:hint="eastAsia"/>
          <w:lang w:val="en-US" w:eastAsia="zh-CN"/>
        </w:rPr>
        <w:t>改进措施：加强项目前期管理。</w:t>
      </w:r>
    </w:p>
    <w:p w14:paraId="359E8843">
      <w:pPr>
        <w:pStyle w:val="34"/>
        <w:rPr>
          <w:rFonts w:hint="eastAsia"/>
          <w:lang w:val="en-US" w:eastAsia="zh-CN"/>
        </w:rPr>
      </w:pPr>
      <w:r>
        <w:rPr>
          <w:rFonts w:hint="eastAsia"/>
          <w:lang w:val="en-US" w:eastAsia="zh-CN"/>
        </w:rPr>
        <w:t>2.时效指标-</w:t>
      </w:r>
      <w:r>
        <w:rPr>
          <w:rFonts w:hint="eastAsia"/>
        </w:rPr>
        <w:t>“</w:t>
      </w:r>
      <w:r>
        <w:rPr>
          <w:rFonts w:hint="eastAsia"/>
          <w:lang w:val="en-US" w:eastAsia="zh-CN"/>
        </w:rPr>
        <w:t>项目完工时间</w:t>
      </w:r>
      <w:r>
        <w:rPr>
          <w:rFonts w:hint="eastAsia"/>
        </w:rPr>
        <w:t>”指标，预期指标值为</w:t>
      </w:r>
      <w:r>
        <w:rPr>
          <w:rFonts w:hint="eastAsia"/>
          <w:lang w:val="en-US" w:eastAsia="zh-CN"/>
        </w:rPr>
        <w:t>2024年10月</w:t>
      </w:r>
      <w:r>
        <w:rPr>
          <w:rFonts w:hint="eastAsia"/>
        </w:rPr>
        <w:t>, 全年实际值为</w:t>
      </w:r>
      <w:r>
        <w:rPr>
          <w:rFonts w:hint="eastAsia"/>
          <w:lang w:val="en-US" w:eastAsia="zh-CN"/>
        </w:rPr>
        <w:t>2024年7月。</w:t>
      </w:r>
    </w:p>
    <w:p w14:paraId="03548557">
      <w:pPr>
        <w:pStyle w:val="34"/>
        <w:rPr>
          <w:rFonts w:hint="eastAsia"/>
          <w:lang w:val="en-US" w:eastAsia="zh-CN"/>
        </w:rPr>
      </w:pPr>
      <w:r>
        <w:rPr>
          <w:rFonts w:hint="eastAsia"/>
          <w:lang w:val="en-US" w:eastAsia="zh-CN"/>
        </w:rPr>
        <w:t>偏差原因：项目7月提前完工。</w:t>
      </w:r>
    </w:p>
    <w:p w14:paraId="5C49BC72">
      <w:pPr>
        <w:pStyle w:val="34"/>
        <w:rPr>
          <w:rFonts w:hint="eastAsia"/>
        </w:rPr>
      </w:pPr>
      <w:r>
        <w:rPr>
          <w:rFonts w:hint="eastAsia"/>
          <w:lang w:val="en-US" w:eastAsia="zh-CN"/>
        </w:rPr>
        <w:t>改进措施：加强项目管理</w:t>
      </w:r>
    </w:p>
    <w:p w14:paraId="1ACA02B9">
      <w:pPr>
        <w:pStyle w:val="34"/>
        <w:rPr>
          <w:rFonts w:hint="eastAsia" w:eastAsia="仿宋_GB2312"/>
          <w:lang w:val="en-US" w:eastAsia="zh-CN"/>
        </w:rPr>
      </w:pPr>
      <w:r>
        <w:rPr>
          <w:rFonts w:hint="eastAsia"/>
          <w:lang w:val="en-US" w:eastAsia="zh-CN"/>
        </w:rPr>
        <w:t>3.成本指标-</w:t>
      </w:r>
      <w:r>
        <w:rPr>
          <w:rFonts w:hint="eastAsia"/>
        </w:rPr>
        <w:t>“</w:t>
      </w:r>
      <w:r>
        <w:rPr>
          <w:rFonts w:hint="eastAsia"/>
          <w:lang w:val="en-US" w:eastAsia="zh-CN"/>
        </w:rPr>
        <w:t>工程费用</w:t>
      </w:r>
      <w:r>
        <w:rPr>
          <w:rFonts w:hint="eastAsia"/>
        </w:rPr>
        <w:t>”指标，预期指标值为</w:t>
      </w:r>
      <w:r>
        <w:rPr>
          <w:rFonts w:hint="eastAsia"/>
          <w:lang w:eastAsia="zh-CN"/>
        </w:rPr>
        <w:t>小于等于</w:t>
      </w:r>
      <w:r>
        <w:rPr>
          <w:rFonts w:hint="eastAsia"/>
          <w:lang w:val="en-US" w:eastAsia="zh-CN"/>
        </w:rPr>
        <w:t>325.54</w:t>
      </w:r>
      <w:r>
        <w:rPr>
          <w:rFonts w:hint="eastAsia"/>
        </w:rPr>
        <w:t>万元, 全年实际值为</w:t>
      </w:r>
      <w:r>
        <w:rPr>
          <w:rFonts w:hint="eastAsia"/>
          <w:lang w:val="en-US" w:eastAsia="zh-CN"/>
        </w:rPr>
        <w:t>322.02</w:t>
      </w:r>
      <w:r>
        <w:rPr>
          <w:rFonts w:hint="eastAsia"/>
        </w:rPr>
        <w:t>万元</w:t>
      </w:r>
      <w:r>
        <w:rPr>
          <w:rFonts w:hint="eastAsia"/>
          <w:lang w:val="en-US" w:eastAsia="zh-CN"/>
        </w:rPr>
        <w:t>.</w:t>
      </w:r>
    </w:p>
    <w:p w14:paraId="231C22E7">
      <w:pPr>
        <w:pStyle w:val="34"/>
        <w:rPr>
          <w:rFonts w:hint="eastAsia"/>
        </w:rPr>
      </w:pPr>
      <w:r>
        <w:rPr>
          <w:rFonts w:hint="eastAsia"/>
        </w:rPr>
        <w:t>偏差原因：项目已完工，经财务决算审定项目总投资348.12万元，剩余资金结余财政收回。</w:t>
      </w:r>
    </w:p>
    <w:p w14:paraId="1E58BE52">
      <w:pPr>
        <w:pStyle w:val="34"/>
        <w:rPr>
          <w:rFonts w:hint="eastAsia"/>
        </w:rPr>
      </w:pPr>
      <w:r>
        <w:rPr>
          <w:rFonts w:hint="eastAsia"/>
        </w:rPr>
        <w:t>改进措施：加强项目前期管理，合理编制工程相关费用。</w:t>
      </w:r>
    </w:p>
    <w:p w14:paraId="03CFDF62">
      <w:pPr>
        <w:pStyle w:val="34"/>
        <w:rPr>
          <w:rFonts w:hint="eastAsia"/>
        </w:rPr>
      </w:pPr>
      <w:r>
        <w:rPr>
          <w:rFonts w:hint="eastAsia"/>
          <w:lang w:val="en-US" w:eastAsia="zh-CN"/>
        </w:rPr>
        <w:t>4.成本指标-</w:t>
      </w:r>
      <w:r>
        <w:rPr>
          <w:rFonts w:hint="eastAsia"/>
        </w:rPr>
        <w:t>“</w:t>
      </w:r>
      <w:r>
        <w:rPr>
          <w:rFonts w:hint="eastAsia"/>
          <w:lang w:val="en-US" w:eastAsia="zh-CN"/>
        </w:rPr>
        <w:t>工程建设其他费用</w:t>
      </w:r>
      <w:r>
        <w:rPr>
          <w:rFonts w:hint="eastAsia"/>
        </w:rPr>
        <w:t>”指标，预期指标值为</w:t>
      </w:r>
      <w:r>
        <w:rPr>
          <w:rFonts w:hint="eastAsia"/>
          <w:lang w:eastAsia="zh-CN"/>
        </w:rPr>
        <w:t>小于等于</w:t>
      </w:r>
      <w:r>
        <w:rPr>
          <w:rFonts w:hint="eastAsia"/>
          <w:lang w:val="en-US" w:eastAsia="zh-CN"/>
        </w:rPr>
        <w:t>24.46</w:t>
      </w:r>
      <w:r>
        <w:rPr>
          <w:rFonts w:hint="eastAsia"/>
        </w:rPr>
        <w:t>万元, 全年实际值为</w:t>
      </w:r>
      <w:r>
        <w:rPr>
          <w:rFonts w:hint="eastAsia"/>
          <w:lang w:val="en-US" w:eastAsia="zh-CN"/>
        </w:rPr>
        <w:t>26.1</w:t>
      </w:r>
      <w:r>
        <w:rPr>
          <w:rFonts w:hint="eastAsia"/>
        </w:rPr>
        <w:t>万元。</w:t>
      </w:r>
    </w:p>
    <w:p w14:paraId="4E6E0E87">
      <w:pPr>
        <w:pStyle w:val="34"/>
        <w:rPr>
          <w:rFonts w:hint="eastAsia"/>
        </w:rPr>
      </w:pPr>
      <w:r>
        <w:rPr>
          <w:rFonts w:hint="eastAsia"/>
        </w:rPr>
        <w:t>偏差原因：项目已完工，经财务决算审定项目总投资348.12万元，剩余资金结余财政收回。</w:t>
      </w:r>
    </w:p>
    <w:p w14:paraId="43D6C029">
      <w:pPr>
        <w:pStyle w:val="30"/>
        <w:spacing w:before="120"/>
        <w:ind w:left="0" w:leftChars="0" w:right="3" w:firstLine="560" w:firstLineChars="20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改进措施：加强项目前期管理，合理编制工程相关费用</w:t>
      </w:r>
      <w:r>
        <w:rPr>
          <w:rFonts w:hint="eastAsia" w:ascii="仿宋_GB2312" w:eastAsia="仿宋_GB2312" w:cstheme="minorBidi"/>
          <w:b w:val="0"/>
          <w:bCs/>
          <w:color w:val="000000"/>
          <w:kern w:val="2"/>
          <w:sz w:val="28"/>
          <w:szCs w:val="32"/>
          <w:lang w:val="en-US" w:eastAsia="zh-CN" w:bidi="ar-SA"/>
        </w:rPr>
        <w:t>。</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阿热勒乡示范村也台克孜勒村人居环境整治项目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6</w:t>
      </w:r>
      <w:r>
        <w:rPr>
          <w:rFonts w:hint="eastAsia" w:ascii="仿宋_GB2312"/>
        </w:rPr>
        <w:t>个，三级指标</w:t>
      </w:r>
      <w:r>
        <w:rPr>
          <w:rFonts w:hint="eastAsia" w:ascii="仿宋_GB2312"/>
          <w:lang w:val="en-US" w:eastAsia="zh-CN"/>
        </w:rPr>
        <w:t>13</w:t>
      </w:r>
      <w:r>
        <w:rPr>
          <w:rFonts w:hint="eastAsia" w:ascii="仿宋_GB2312"/>
        </w:rPr>
        <w:t>个，其中已完成三级指标</w:t>
      </w:r>
      <w:r>
        <w:rPr>
          <w:rFonts w:hint="eastAsia" w:ascii="仿宋_GB2312"/>
          <w:lang w:val="en-US" w:eastAsia="zh-CN"/>
        </w:rPr>
        <w:t>9</w:t>
      </w:r>
      <w:r>
        <w:rPr>
          <w:rFonts w:hint="eastAsia" w:ascii="仿宋_GB2312"/>
        </w:rPr>
        <w:t>个，指标完成率为</w:t>
      </w:r>
      <w:r>
        <w:rPr>
          <w:rFonts w:hint="eastAsia" w:ascii="仿宋_GB2312"/>
          <w:lang w:val="en-US" w:eastAsia="zh-CN"/>
        </w:rPr>
        <w:t>99.69</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阿热勒乡示范村也台克孜勒村人居环境整治项目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99.7</w:t>
      </w:r>
      <w:r>
        <w:rPr>
          <w:rFonts w:hint="eastAsia" w:ascii="仿宋_GB2312"/>
        </w:rPr>
        <w:t>分，评价等级为</w:t>
      </w:r>
      <w:r>
        <w:rPr>
          <w:rFonts w:hint="eastAsia" w:ascii="仿宋_GB2312"/>
          <w:lang w:val="en-US" w:eastAsia="zh-CN"/>
        </w:rPr>
        <w:t>优</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于田县民族宗教事务局和于田县财政局联合</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阿热勒乡示范村也台克孜勒村人居环境整治项目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于民宗</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1</w:t>
      </w:r>
      <w:r>
        <w:rPr>
          <w:rFonts w:hint="eastAsia" w:ascii="仿宋_GB2312"/>
          <w:szCs w:val="32"/>
        </w:rPr>
        <w:t>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批复立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于田县民族宗教事务局和于田县财政局联合</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阿热勒乡示范村也台克孜勒村人居环境整治项目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于民宗</w:t>
      </w:r>
      <w:r>
        <w:rPr>
          <w:rFonts w:hint="eastAsia" w:ascii="仿宋_GB2312"/>
          <w:szCs w:val="32"/>
        </w:rPr>
        <w:t>(202</w:t>
      </w:r>
      <w:r>
        <w:rPr>
          <w:rFonts w:hint="eastAsia" w:ascii="仿宋_GB2312"/>
          <w:szCs w:val="32"/>
          <w:lang w:val="en-US" w:eastAsia="zh-CN"/>
        </w:rPr>
        <w:t>4</w:t>
      </w:r>
      <w:r>
        <w:rPr>
          <w:rFonts w:hint="eastAsia" w:ascii="仿宋_GB2312"/>
          <w:szCs w:val="32"/>
        </w:rPr>
        <w:t>)</w:t>
      </w:r>
      <w:r>
        <w:rPr>
          <w:rFonts w:hint="eastAsia" w:ascii="仿宋_GB2312"/>
          <w:szCs w:val="32"/>
          <w:lang w:val="en-US" w:eastAsia="zh-CN"/>
        </w:rPr>
        <w:t>1</w:t>
      </w:r>
      <w:r>
        <w:rPr>
          <w:rFonts w:hint="eastAsia" w:ascii="仿宋_GB2312"/>
          <w:szCs w:val="32"/>
        </w:rPr>
        <w:t>号</w:t>
      </w:r>
      <w:r>
        <w:rPr>
          <w:rFonts w:hint="eastAsia" w:ascii="仿宋_GB2312"/>
          <w:szCs w:val="32"/>
          <w:lang w:eastAsia="zh-CN"/>
        </w:rPr>
        <w:t>）</w:t>
      </w:r>
      <w:r>
        <w:rPr>
          <w:rFonts w:hint="eastAsia" w:ascii="仿宋_GB2312"/>
          <w:szCs w:val="32"/>
          <w:lang w:val="en-US" w:eastAsia="zh-CN"/>
        </w:rPr>
        <w:t>文。</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3</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4月开工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7月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于田县发展和改革委员会</w:t>
      </w:r>
      <w:r>
        <w:rPr>
          <w:rFonts w:hint="eastAsia" w:ascii="仿宋_GB2312"/>
          <w:szCs w:val="32"/>
          <w:lang w:val="en-US" w:eastAsia="zh-CN"/>
        </w:rPr>
        <w:t>，于田县农业农村局、于田县</w:t>
      </w:r>
      <w:r>
        <w:rPr>
          <w:rFonts w:hint="eastAsia" w:ascii="仿宋_GB2312"/>
          <w:szCs w:val="32"/>
        </w:rPr>
        <w:t>财政局，</w:t>
      </w:r>
      <w:r>
        <w:rPr>
          <w:rFonts w:hint="eastAsia" w:ascii="仿宋_GB2312"/>
          <w:szCs w:val="32"/>
          <w:lang w:val="en-US" w:eastAsia="zh-CN"/>
        </w:rPr>
        <w:t>于田县民族宗教事务局，于田县</w:t>
      </w:r>
      <w:r>
        <w:rPr>
          <w:rFonts w:hint="eastAsia" w:ascii="仿宋_GB2312"/>
          <w:szCs w:val="32"/>
        </w:rPr>
        <w:t>档案局和</w:t>
      </w:r>
      <w:r>
        <w:rPr>
          <w:rFonts w:hint="eastAsia" w:ascii="仿宋_GB2312"/>
          <w:szCs w:val="32"/>
          <w:lang w:val="en-US" w:eastAsia="zh-CN"/>
        </w:rPr>
        <w:t>项目所在村村委会</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阿热勒乡示范村也台克孜勒村人居环境整治项目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阿热勒乡示范村也台克孜勒村人居环境整治项目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16052F1B"/>
    <w:rsid w:val="1C330BE1"/>
    <w:rsid w:val="1C5F19D6"/>
    <w:rsid w:val="1E545693"/>
    <w:rsid w:val="3050190A"/>
    <w:rsid w:val="38326354"/>
    <w:rsid w:val="390B7921"/>
    <w:rsid w:val="3C3C6945"/>
    <w:rsid w:val="3E982E81"/>
    <w:rsid w:val="41505AA9"/>
    <w:rsid w:val="4DC114B9"/>
    <w:rsid w:val="567A0BDF"/>
    <w:rsid w:val="5A392EED"/>
    <w:rsid w:val="5D5B4D73"/>
    <w:rsid w:val="6AA90BE8"/>
    <w:rsid w:val="6F4A25DE"/>
    <w:rsid w:val="756B5E6B"/>
    <w:rsid w:val="79507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6480</Words>
  <Characters>6965</Characters>
  <Lines>9</Lines>
  <Paragraphs>15</Paragraphs>
  <TotalTime>5</TotalTime>
  <ScaleCrop>false</ScaleCrop>
  <LinksUpToDate>false</LinksUpToDate>
  <CharactersWithSpaces>7415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2025-03-03T11:19:12Z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46EB9DC6101E451E84633A0CD6AC2A1F_13</vt:lpwstr>
  </property>
  <property fmtid="{D5CDD505-2E9C-101B-9397-08002B2CF9AE}" pid="4" name="KSOTemplateDocerSaveRecord">
    <vt:lpwstr>eyJoZGlkIjoiY2RlOGExMTJjOWFmYjNiZTJjMWUwNDM2NWFmZTM5NmEiLCJ1c2VySWQiOiIxMTAwNDE5NzU4In0=</vt:lpwstr>
  </property>
</Properties>
</file>