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EB6E02D">
      <w:pPr>
        <w:spacing w:before="120" w:after="120" w:line="480" w:lineRule="auto"/>
        <w:ind w:firstLine="883" w:firstLineChars="200"/>
        <w:jc w:val="center"/>
        <w:outlineLvl w:val="0"/>
        <w:rPr>
          <w:rFonts w:ascii="仿宋_GB2312" w:hAnsi="Arial"/>
          <w:b/>
          <w:sz w:val="44"/>
          <w:szCs w:val="44"/>
        </w:rPr>
      </w:pPr>
    </w:p>
    <w:p w14:paraId="310FD454">
      <w:pPr>
        <w:jc w:val="center"/>
        <w:rPr>
          <w:rFonts w:ascii="方正大标宋简体" w:hAnsi="华文中宋" w:eastAsia="方正大标宋简体" w:cs="宋体"/>
          <w:kern w:val="0"/>
          <w:sz w:val="52"/>
          <w:szCs w:val="52"/>
        </w:rPr>
      </w:pPr>
      <w:r>
        <w:rPr>
          <w:rFonts w:hint="eastAsia" w:ascii="方正大标宋简体" w:hAnsi="华文中宋" w:eastAsia="方正大标宋简体" w:cs="宋体"/>
          <w:kern w:val="0"/>
          <w:sz w:val="52"/>
          <w:szCs w:val="52"/>
        </w:rPr>
        <w:t>和田地区于田县乡村振兴衔接资金项目支出绩效自评报告</w:t>
      </w:r>
    </w:p>
    <w:p w14:paraId="485338C1">
      <w:pPr>
        <w:spacing w:line="700" w:lineRule="exact"/>
        <w:ind w:firstLine="1040" w:firstLineChars="200"/>
        <w:jc w:val="center"/>
        <w:rPr>
          <w:rFonts w:ascii="方正大标宋简体" w:hAnsi="华文中宋" w:eastAsia="方正大标宋简体" w:cs="宋体"/>
          <w:kern w:val="0"/>
          <w:sz w:val="52"/>
          <w:szCs w:val="52"/>
        </w:rPr>
      </w:pPr>
    </w:p>
    <w:p w14:paraId="5587075F">
      <w:pPr>
        <w:spacing w:line="540" w:lineRule="exact"/>
        <w:ind w:firstLine="720" w:firstLineChars="200"/>
        <w:jc w:val="center"/>
        <w:rPr>
          <w:rFonts w:hAnsi="宋体" w:cs="宋体"/>
          <w:kern w:val="0"/>
          <w:sz w:val="36"/>
          <w:szCs w:val="36"/>
        </w:rPr>
      </w:pPr>
      <w:r>
        <w:rPr>
          <w:rFonts w:hint="eastAsia" w:hAnsi="宋体" w:cs="宋体"/>
          <w:kern w:val="0"/>
          <w:sz w:val="36"/>
          <w:szCs w:val="36"/>
        </w:rPr>
        <w:t>（202</w:t>
      </w:r>
      <w:r>
        <w:rPr>
          <w:rFonts w:hint="eastAsia" w:hAnsi="宋体" w:cs="宋体"/>
          <w:kern w:val="0"/>
          <w:sz w:val="36"/>
          <w:szCs w:val="36"/>
          <w:lang w:val="en-US" w:eastAsia="zh-CN"/>
        </w:rPr>
        <w:t>4</w:t>
      </w:r>
      <w:r>
        <w:rPr>
          <w:rFonts w:hint="eastAsia" w:hAnsi="宋体" w:cs="宋体"/>
          <w:kern w:val="0"/>
          <w:sz w:val="36"/>
          <w:szCs w:val="36"/>
        </w:rPr>
        <w:t>年度）</w:t>
      </w:r>
    </w:p>
    <w:p w14:paraId="5D2B429E">
      <w:pPr>
        <w:spacing w:line="540" w:lineRule="exact"/>
        <w:ind w:firstLine="600" w:firstLineChars="200"/>
        <w:jc w:val="center"/>
        <w:rPr>
          <w:rFonts w:hAnsi="宋体" w:cs="宋体"/>
          <w:kern w:val="0"/>
          <w:sz w:val="30"/>
          <w:szCs w:val="30"/>
        </w:rPr>
      </w:pPr>
    </w:p>
    <w:p w14:paraId="2928C4E5">
      <w:pPr>
        <w:spacing w:line="540" w:lineRule="exact"/>
        <w:ind w:firstLine="600" w:firstLineChars="200"/>
        <w:jc w:val="center"/>
        <w:rPr>
          <w:rFonts w:hAnsi="宋体" w:cs="宋体"/>
          <w:kern w:val="0"/>
          <w:sz w:val="30"/>
          <w:szCs w:val="30"/>
        </w:rPr>
      </w:pPr>
    </w:p>
    <w:p w14:paraId="59D51DE0">
      <w:pPr>
        <w:spacing w:line="540" w:lineRule="exact"/>
        <w:ind w:firstLine="600" w:firstLineChars="200"/>
        <w:jc w:val="center"/>
        <w:rPr>
          <w:rFonts w:hAnsi="宋体" w:cs="宋体"/>
          <w:kern w:val="0"/>
          <w:sz w:val="30"/>
          <w:szCs w:val="30"/>
        </w:rPr>
      </w:pPr>
    </w:p>
    <w:p w14:paraId="31417650">
      <w:pPr>
        <w:spacing w:line="540" w:lineRule="exact"/>
        <w:ind w:firstLine="600" w:firstLineChars="200"/>
        <w:jc w:val="center"/>
        <w:rPr>
          <w:rFonts w:hAnsi="宋体" w:cs="宋体"/>
          <w:kern w:val="0"/>
          <w:sz w:val="30"/>
          <w:szCs w:val="30"/>
        </w:rPr>
      </w:pPr>
    </w:p>
    <w:p w14:paraId="5770C276">
      <w:pPr>
        <w:spacing w:line="540" w:lineRule="exact"/>
        <w:ind w:firstLine="600" w:firstLineChars="200"/>
        <w:rPr>
          <w:rFonts w:hAnsi="宋体" w:cs="宋体"/>
          <w:kern w:val="0"/>
          <w:sz w:val="30"/>
          <w:szCs w:val="30"/>
        </w:rPr>
      </w:pPr>
    </w:p>
    <w:p w14:paraId="59E58258">
      <w:pPr>
        <w:spacing w:line="540" w:lineRule="exact"/>
        <w:ind w:firstLine="600" w:firstLineChars="200"/>
        <w:rPr>
          <w:rFonts w:hAnsi="宋体" w:cs="宋体"/>
          <w:kern w:val="0"/>
          <w:sz w:val="30"/>
          <w:szCs w:val="30"/>
        </w:rPr>
      </w:pPr>
    </w:p>
    <w:p w14:paraId="5BD0F95F">
      <w:pPr>
        <w:spacing w:line="360" w:lineRule="auto"/>
        <w:ind w:left="640" w:leftChars="200" w:firstLine="640" w:firstLineChars="200"/>
        <w:rPr>
          <w:rFonts w:ascii="仿宋" w:hAnsi="仿宋" w:eastAsia="仿宋" w:cs="仿宋"/>
          <w:szCs w:val="32"/>
        </w:rPr>
      </w:pPr>
    </w:p>
    <w:p w14:paraId="4C90948F">
      <w:pPr>
        <w:spacing w:line="360" w:lineRule="auto"/>
        <w:ind w:left="640" w:leftChars="200" w:firstLine="640" w:firstLineChars="200"/>
        <w:rPr>
          <w:rFonts w:ascii="仿宋" w:hAnsi="仿宋" w:eastAsia="仿宋" w:cs="仿宋"/>
          <w:szCs w:val="32"/>
        </w:rPr>
      </w:pPr>
    </w:p>
    <w:p w14:paraId="0D34EB88">
      <w:pPr>
        <w:spacing w:line="560" w:lineRule="exact"/>
        <w:ind w:left="640" w:leftChars="200" w:firstLine="640" w:firstLineChars="200"/>
        <w:rPr>
          <w:rFonts w:ascii="仿宋" w:hAnsi="仿宋" w:eastAsia="仿宋" w:cs="仿宋"/>
          <w:szCs w:val="32"/>
        </w:rPr>
      </w:pPr>
    </w:p>
    <w:p w14:paraId="602F79DB">
      <w:pPr>
        <w:spacing w:line="560" w:lineRule="exact"/>
        <w:ind w:left="640" w:leftChars="200" w:firstLine="0" w:firstLineChars="0"/>
        <w:rPr>
          <w:rFonts w:hint="eastAsia" w:ascii="仿宋" w:hAnsi="仿宋" w:eastAsia="仿宋" w:cs="仿宋"/>
          <w:bCs/>
          <w:color w:val="000000" w:themeColor="text1"/>
          <w:kern w:val="0"/>
          <w:lang w:val="en-US" w:eastAsia="zh-CN"/>
          <w14:textFill>
            <w14:solidFill>
              <w14:schemeClr w14:val="tx1"/>
            </w14:solidFill>
          </w14:textFill>
        </w:rPr>
      </w:pPr>
      <w:r>
        <w:rPr>
          <w:rFonts w:hint="eastAsia" w:ascii="仿宋" w:hAnsi="仿宋" w:eastAsia="仿宋" w:cs="仿宋"/>
          <w:szCs w:val="32"/>
        </w:rPr>
        <w:t>项目名称:</w:t>
      </w:r>
      <w:r>
        <w:rPr>
          <w:rFonts w:hint="eastAsia" w:ascii="仿宋" w:hAnsi="仿宋" w:eastAsia="仿宋" w:cs="仿宋"/>
          <w:bCs/>
          <w:color w:val="000000" w:themeColor="text1"/>
          <w:kern w:val="0"/>
          <w:lang w:val="en-US" w:eastAsia="zh-CN"/>
          <w14:textFill>
            <w14:solidFill>
              <w14:schemeClr w14:val="tx1"/>
            </w14:solidFill>
          </w14:textFill>
        </w:rPr>
        <w:t>于田县阿热勒乡1000亩地红柳肉苁蓉种植项目</w:t>
      </w:r>
    </w:p>
    <w:p w14:paraId="0209A7B0">
      <w:pPr>
        <w:spacing w:line="560" w:lineRule="exact"/>
        <w:ind w:left="640" w:leftChars="200" w:firstLine="0" w:firstLineChars="0"/>
        <w:rPr>
          <w:rFonts w:hint="eastAsia" w:ascii="仿宋" w:hAnsi="仿宋" w:eastAsia="仿宋" w:cs="仿宋"/>
          <w:bCs/>
          <w:color w:val="000000" w:themeColor="text1"/>
          <w:kern w:val="0"/>
          <w:lang w:val="en-US" w:eastAsia="zh-CN"/>
          <w14:textFill>
            <w14:solidFill>
              <w14:schemeClr w14:val="tx1"/>
            </w14:solidFill>
          </w14:textFill>
        </w:rPr>
      </w:pPr>
      <w:r>
        <w:rPr>
          <w:rFonts w:hint="eastAsia" w:ascii="仿宋" w:hAnsi="仿宋" w:eastAsia="仿宋" w:cs="仿宋"/>
          <w:szCs w:val="32"/>
        </w:rPr>
        <w:t>实施单位(公章):</w:t>
      </w:r>
      <w:r>
        <w:rPr>
          <w:rFonts w:hint="eastAsia" w:ascii="仿宋" w:hAnsi="仿宋" w:eastAsia="仿宋" w:cs="仿宋"/>
          <w:bCs/>
          <w:color w:val="000000" w:themeColor="text1"/>
          <w:kern w:val="0"/>
          <w:lang w:val="en-US" w:eastAsia="zh-CN"/>
          <w14:textFill>
            <w14:solidFill>
              <w14:schemeClr w14:val="tx1"/>
            </w14:solidFill>
          </w14:textFill>
        </w:rPr>
        <w:t>于田县阿热勒乡人民政府</w:t>
      </w:r>
    </w:p>
    <w:p w14:paraId="43DF4702">
      <w:pPr>
        <w:spacing w:line="560" w:lineRule="exact"/>
        <w:ind w:firstLine="640" w:firstLineChars="200"/>
        <w:rPr>
          <w:rFonts w:hint="default" w:ascii="仿宋" w:hAnsi="仿宋" w:eastAsia="仿宋" w:cs="仿宋"/>
          <w:bCs/>
          <w:color w:val="000000" w:themeColor="text1"/>
          <w:kern w:val="0"/>
          <w:lang w:val="en-US" w:eastAsia="zh-CN"/>
          <w14:textFill>
            <w14:solidFill>
              <w14:schemeClr w14:val="tx1"/>
            </w14:solidFill>
          </w14:textFill>
        </w:rPr>
      </w:pPr>
      <w:r>
        <w:rPr>
          <w:rFonts w:hint="eastAsia" w:ascii="仿宋" w:hAnsi="仿宋" w:eastAsia="仿宋" w:cs="仿宋"/>
          <w:szCs w:val="32"/>
        </w:rPr>
        <w:t>主管部门(公章):</w:t>
      </w:r>
      <w:r>
        <w:rPr>
          <w:rFonts w:hint="eastAsia" w:ascii="仿宋" w:hAnsi="仿宋" w:eastAsia="仿宋" w:cs="仿宋"/>
          <w:bCs/>
          <w:color w:val="000000" w:themeColor="text1"/>
          <w:kern w:val="0"/>
          <w:lang w:val="en-US" w:eastAsia="zh-CN"/>
          <w14:textFill>
            <w14:solidFill>
              <w14:schemeClr w14:val="tx1"/>
            </w14:solidFill>
          </w14:textFill>
        </w:rPr>
        <w:t>于田县林业和草原局</w:t>
      </w:r>
    </w:p>
    <w:p w14:paraId="6DA941FF">
      <w:pPr>
        <w:spacing w:line="560" w:lineRule="exact"/>
        <w:ind w:firstLine="640" w:firstLineChars="200"/>
        <w:rPr>
          <w:rFonts w:hint="default" w:ascii="仿宋" w:hAnsi="仿宋" w:eastAsia="仿宋" w:cs="仿宋"/>
          <w:bCs/>
          <w:color w:val="000000" w:themeColor="text1"/>
          <w:kern w:val="0"/>
          <w:lang w:val="en-US" w:eastAsia="zh-CN"/>
          <w14:textFill>
            <w14:solidFill>
              <w14:schemeClr w14:val="tx1"/>
            </w14:solidFill>
          </w14:textFill>
        </w:rPr>
      </w:pPr>
      <w:r>
        <w:rPr>
          <w:rFonts w:hint="eastAsia" w:ascii="仿宋" w:hAnsi="仿宋" w:eastAsia="仿宋" w:cs="仿宋"/>
          <w:szCs w:val="32"/>
        </w:rPr>
        <w:t>项目负责人(签章):</w:t>
      </w:r>
      <w:r>
        <w:rPr>
          <w:rFonts w:hint="eastAsia" w:ascii="仿宋" w:hAnsi="仿宋" w:eastAsia="仿宋" w:cs="仿宋"/>
          <w:bCs/>
          <w:color w:val="000000" w:themeColor="text1"/>
          <w:kern w:val="0"/>
          <w:lang w:val="en-US" w:eastAsia="zh-CN"/>
          <w14:textFill>
            <w14:solidFill>
              <w14:schemeClr w14:val="tx1"/>
            </w14:solidFill>
          </w14:textFill>
        </w:rPr>
        <w:t>史鑫</w:t>
      </w:r>
    </w:p>
    <w:p w14:paraId="161AD716">
      <w:pPr>
        <w:spacing w:line="560" w:lineRule="exact"/>
        <w:ind w:firstLine="640" w:firstLineChars="200"/>
      </w:pPr>
      <w:r>
        <w:rPr>
          <w:rFonts w:hint="eastAsia" w:ascii="仿宋" w:hAnsi="仿宋" w:eastAsia="仿宋" w:cs="仿宋"/>
          <w:szCs w:val="32"/>
        </w:rPr>
        <w:t>填  报  时  间:</w:t>
      </w:r>
      <w:r>
        <w:rPr>
          <w:rFonts w:ascii="仿宋" w:hAnsi="仿宋" w:eastAsia="仿宋" w:cs="仿宋"/>
          <w:szCs w:val="32"/>
        </w:rPr>
        <w:t>20</w:t>
      </w:r>
      <w:r>
        <w:rPr>
          <w:rFonts w:hint="eastAsia" w:ascii="仿宋" w:hAnsi="仿宋" w:eastAsia="仿宋" w:cs="仿宋"/>
          <w:szCs w:val="32"/>
        </w:rPr>
        <w:t>2</w:t>
      </w:r>
      <w:r>
        <w:rPr>
          <w:rFonts w:hint="eastAsia" w:ascii="仿宋" w:hAnsi="仿宋" w:eastAsia="仿宋" w:cs="仿宋"/>
          <w:szCs w:val="32"/>
          <w:lang w:val="en-US" w:eastAsia="zh-CN"/>
        </w:rPr>
        <w:t>5</w:t>
      </w:r>
      <w:r>
        <w:rPr>
          <w:rFonts w:ascii="仿宋" w:hAnsi="仿宋" w:eastAsia="仿宋" w:cs="仿宋"/>
          <w:szCs w:val="32"/>
        </w:rPr>
        <w:t>年</w:t>
      </w:r>
      <w:r>
        <w:rPr>
          <w:rFonts w:hint="eastAsia" w:ascii="仿宋" w:hAnsi="仿宋" w:eastAsia="仿宋" w:cs="仿宋"/>
          <w:szCs w:val="32"/>
          <w:lang w:val="en-US" w:eastAsia="zh-CN"/>
        </w:rPr>
        <w:t>2</w:t>
      </w:r>
      <w:r>
        <w:rPr>
          <w:rFonts w:ascii="仿宋" w:hAnsi="仿宋" w:eastAsia="仿宋" w:cs="仿宋"/>
          <w:szCs w:val="32"/>
        </w:rPr>
        <w:t>月</w:t>
      </w:r>
      <w:r>
        <w:rPr>
          <w:rFonts w:hint="eastAsia" w:ascii="仿宋" w:hAnsi="仿宋" w:eastAsia="仿宋" w:cs="仿宋"/>
          <w:szCs w:val="32"/>
          <w:lang w:val="en-US" w:eastAsia="zh-CN"/>
        </w:rPr>
        <w:t>20</w:t>
      </w:r>
      <w:r>
        <w:rPr>
          <w:rFonts w:ascii="仿宋" w:hAnsi="仿宋" w:eastAsia="仿宋" w:cs="仿宋"/>
          <w:szCs w:val="32"/>
        </w:rPr>
        <w:t>日</w:t>
      </w:r>
    </w:p>
    <w:p w14:paraId="7A42346D">
      <w:pPr>
        <w:spacing w:line="560" w:lineRule="exact"/>
        <w:ind w:firstLine="640" w:firstLineChars="200"/>
        <w:rPr>
          <w:rFonts w:ascii="仿宋_GB2312" w:hAnsi="仿宋_GB2312" w:cs="仿宋_GB2312"/>
          <w:kern w:val="0"/>
          <w:szCs w:val="32"/>
          <w:lang w:bidi="en-US"/>
        </w:rPr>
      </w:pPr>
    </w:p>
    <w:p w14:paraId="7FAC3CF2">
      <w:pPr>
        <w:spacing w:line="560" w:lineRule="exact"/>
        <w:ind w:firstLine="640" w:firstLineChars="200"/>
        <w:rPr>
          <w:rFonts w:ascii="仿宋_GB2312" w:hAnsi="仿宋_GB2312" w:cs="仿宋_GB2312"/>
          <w:kern w:val="0"/>
          <w:szCs w:val="32"/>
          <w:lang w:bidi="en-US"/>
        </w:rPr>
      </w:pPr>
    </w:p>
    <w:p w14:paraId="596902FE">
      <w:pPr>
        <w:spacing w:line="360" w:lineRule="auto"/>
        <w:ind w:firstLine="627" w:firstLineChars="200"/>
        <w:rPr>
          <w:rStyle w:val="20"/>
          <w:rFonts w:ascii="黑体" w:hAnsi="黑体" w:eastAsia="黑体" w:cs="Times New Roman"/>
          <w:spacing w:val="-4"/>
          <w:szCs w:val="32"/>
        </w:rPr>
      </w:pPr>
    </w:p>
    <w:p w14:paraId="0C99468E">
      <w:pPr>
        <w:spacing w:line="360" w:lineRule="auto"/>
        <w:ind w:firstLine="627" w:firstLineChars="200"/>
        <w:rPr>
          <w:rStyle w:val="20"/>
          <w:rFonts w:ascii="黑体" w:hAnsi="黑体" w:eastAsia="黑体" w:cs="Times New Roman"/>
          <w:spacing w:val="-4"/>
          <w:szCs w:val="32"/>
        </w:rPr>
      </w:pPr>
      <w:r>
        <w:rPr>
          <w:rStyle w:val="20"/>
          <w:rFonts w:hint="eastAsia" w:ascii="黑体" w:hAnsi="黑体" w:eastAsia="黑体" w:cs="Times New Roman"/>
          <w:spacing w:val="-4"/>
          <w:szCs w:val="32"/>
        </w:rPr>
        <w:t>一、绩效目标分解下达情况</w:t>
      </w:r>
    </w:p>
    <w:p w14:paraId="3BDCE834">
      <w:pPr>
        <w:spacing w:line="360" w:lineRule="auto"/>
        <w:ind w:firstLine="546" w:firstLineChars="200"/>
      </w:pPr>
      <w:r>
        <w:rPr>
          <w:rFonts w:hint="eastAsia" w:ascii="楷体_GB2312" w:hAnsi="楷体" w:cs="Times New Roman"/>
          <w:b/>
          <w:spacing w:val="-4"/>
          <w:sz w:val="28"/>
          <w:szCs w:val="32"/>
        </w:rPr>
        <w:t>（一）财政专项乡村振兴衔接资金下达预算及项目情况</w:t>
      </w:r>
    </w:p>
    <w:p w14:paraId="56AA32F8">
      <w:pPr>
        <w:pStyle w:val="53"/>
        <w:ind w:left="3" w:right="3" w:firstLine="562"/>
        <w:rPr>
          <w:rFonts w:ascii="仿宋_GB2312"/>
          <w:b/>
          <w:szCs w:val="32"/>
        </w:rPr>
      </w:pPr>
      <w:r>
        <w:rPr>
          <w:rFonts w:hint="eastAsia" w:ascii="仿宋_GB2312"/>
          <w:b/>
          <w:szCs w:val="32"/>
        </w:rPr>
        <w:t>1.下达预算情况</w:t>
      </w:r>
    </w:p>
    <w:p w14:paraId="6D53942B">
      <w:pPr>
        <w:pStyle w:val="53"/>
        <w:ind w:left="3" w:right="3" w:firstLine="560"/>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pPr>
      <w:r>
        <w:rPr>
          <w:rFonts w:hint="eastAsia" w:ascii="仿宋_GB2312"/>
          <w:szCs w:val="32"/>
        </w:rPr>
        <w:t>本项目根据</w:t>
      </w:r>
      <w:r>
        <w:rPr>
          <w:rFonts w:hint="eastAsia" w:ascii="仿宋_GB2312"/>
          <w:szCs w:val="32"/>
          <w:lang w:val="en-US" w:eastAsia="zh-CN"/>
        </w:rPr>
        <w:t>于田县林业和草原局</w:t>
      </w:r>
      <w:r>
        <w:rPr>
          <w:rFonts w:hint="eastAsia" w:ascii="仿宋_GB2312"/>
          <w:szCs w:val="32"/>
        </w:rPr>
        <w:t>下发的《</w:t>
      </w:r>
      <w:r>
        <w:rPr>
          <w:rFonts w:hint="eastAsia" w:ascii="仿宋_GB2312"/>
          <w:szCs w:val="32"/>
          <w:lang w:val="en-US" w:eastAsia="zh-CN"/>
        </w:rPr>
        <w:t>关于对</w:t>
      </w:r>
      <w:r>
        <w:rPr>
          <w:rFonts w:hint="eastAsia" w:ascii="仿宋" w:hAnsi="仿宋" w:eastAsia="仿宋" w:cs="仿宋"/>
          <w:bCs/>
          <w:color w:val="000000" w:themeColor="text1"/>
          <w:kern w:val="0"/>
          <w:lang w:val="en-US" w:eastAsia="zh-CN"/>
          <w14:textFill>
            <w14:solidFill>
              <w14:schemeClr w14:val="tx1"/>
            </w14:solidFill>
          </w14:textFill>
        </w:rPr>
        <w:t>于田县阿热勒乡1000亩地红柳肉苁蓉种植项目</w:t>
      </w:r>
      <w:r>
        <w:rPr>
          <w:rFonts w:hint="eastAsia" w:ascii="仿宋_GB2312"/>
          <w:szCs w:val="32"/>
        </w:rPr>
        <w:t>实施方案的批复》立</w:t>
      </w:r>
      <w:r>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t>项实施，</w:t>
      </w:r>
      <w:r>
        <w:rPr>
          <w:rFonts w:hint="eastAsia" w:ascii="仿宋_GB2312" w:cs="Times New Roman"/>
          <w:color w:val="000000" w:themeColor="text1"/>
          <w:kern w:val="2"/>
          <w:sz w:val="28"/>
          <w:szCs w:val="32"/>
          <w:highlight w:val="none"/>
          <w:lang w:val="en-US" w:eastAsia="zh-CN" w:bidi="ar-SA"/>
          <w14:textFill>
            <w14:solidFill>
              <w14:schemeClr w14:val="tx1"/>
            </w14:solidFill>
          </w14:textFill>
        </w:rPr>
        <w:t>于田县阿热勒乡1000亩地红柳肉苁蓉种植项目</w:t>
      </w:r>
      <w:r>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t>预算安排总额为</w:t>
      </w:r>
      <w:r>
        <w:rPr>
          <w:rFonts w:hint="eastAsia" w:ascii="仿宋_GB2312" w:cs="Times New Roman"/>
          <w:color w:val="000000" w:themeColor="text1"/>
          <w:kern w:val="2"/>
          <w:sz w:val="28"/>
          <w:szCs w:val="32"/>
          <w:highlight w:val="none"/>
          <w:lang w:val="en-US" w:eastAsia="zh-CN" w:bidi="ar-SA"/>
          <w14:textFill>
            <w14:solidFill>
              <w14:schemeClr w14:val="tx1"/>
            </w14:solidFill>
          </w14:textFill>
        </w:rPr>
        <w:t>300</w:t>
      </w:r>
      <w:r>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t>万元，其中：乡村振兴衔接资金</w:t>
      </w:r>
      <w:r>
        <w:rPr>
          <w:rFonts w:hint="eastAsia" w:ascii="仿宋_GB2312" w:cs="Times New Roman"/>
          <w:color w:val="000000" w:themeColor="text1"/>
          <w:kern w:val="2"/>
          <w:sz w:val="28"/>
          <w:szCs w:val="32"/>
          <w:highlight w:val="none"/>
          <w:lang w:val="en-US" w:eastAsia="zh-CN" w:bidi="ar-SA"/>
          <w14:textFill>
            <w14:solidFill>
              <w14:schemeClr w14:val="tx1"/>
            </w14:solidFill>
          </w14:textFill>
        </w:rPr>
        <w:t>300</w:t>
      </w:r>
      <w:r>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t>万元。预算资金到位率为100.00%。</w:t>
      </w:r>
    </w:p>
    <w:p w14:paraId="02BEAF9F">
      <w:pPr>
        <w:pStyle w:val="53"/>
        <w:ind w:left="3" w:right="3" w:firstLine="562"/>
        <w:rPr>
          <w:rFonts w:hint="eastAsia" w:ascii="仿宋_GB2312"/>
          <w:b/>
          <w:szCs w:val="32"/>
        </w:rPr>
      </w:pPr>
      <w:r>
        <w:rPr>
          <w:rFonts w:hint="eastAsia" w:ascii="仿宋_GB2312"/>
          <w:b/>
          <w:szCs w:val="32"/>
        </w:rPr>
        <w:t>2.项目实施背景</w:t>
      </w:r>
    </w:p>
    <w:p w14:paraId="5B4DADC6">
      <w:pPr>
        <w:spacing w:line="560" w:lineRule="exact"/>
        <w:ind w:firstLine="560" w:firstLineChars="200"/>
        <w:rPr>
          <w:rFonts w:hint="eastAsia"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rPr>
        <w:t>随着国家对乡村振兴战略的重视，于田县阿热勒乡积极响应号召，寻求农业产业的创新发展。红柳肉苁蓉作为一种具有较高经济价值的特色植物，市场需求不断增长，为项目的实施提供了良好的市场前景。同时，当地具备适宜红柳肉苁蓉生长的自然条件，为项目的实施提供了得天独厚的优势。随着社会的不断进步和经济的持续发展，人们对健康生活的追求越来越强烈，对高品质、绿色生态的食品需求也越来越高。红柳肉苁蓉，作为一种珍贵的药用植物，其肉质根富含多种营养成分，具有良好的保健价值和药用效果，逐渐受到市场的青睐。为了充分发挥当地自然条件的优势，提高于田县阿热勒乡村民的收入，改善农村的生态环境，我们计划在该地区实施红柳肉苁蓉种植项目。本项目旨在通过科学合理的种植技术和管理模式，打造一个高效、环保、可持续发展的红柳肉苁蓉产业，为当地经济发展注入新的活力，成为促进当地农村产业转型升级的重要力量。</w:t>
      </w:r>
    </w:p>
    <w:p w14:paraId="301D7A7D">
      <w:pPr>
        <w:spacing w:line="560" w:lineRule="exact"/>
        <w:ind w:firstLine="560" w:firstLineChars="200"/>
        <w:rPr>
          <w:rFonts w:hint="eastAsia"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rPr>
        <w:t>由于上述原因开展</w:t>
      </w:r>
      <w:r>
        <w:rPr>
          <w:rFonts w:hint="eastAsia" w:ascii="仿宋_GB2312" w:hAnsi="Times New Roman" w:eastAsia="仿宋_GB2312" w:cs="Times New Roman"/>
          <w:color w:val="000000"/>
          <w:sz w:val="28"/>
          <w:szCs w:val="32"/>
          <w:lang w:eastAsia="zh-CN"/>
        </w:rPr>
        <w:t>于田县阿热勒乡1000亩地红柳肉苁蓉种植项目</w:t>
      </w:r>
      <w:r>
        <w:rPr>
          <w:rFonts w:hint="eastAsia" w:ascii="仿宋_GB2312" w:hAnsi="Times New Roman" w:eastAsia="仿宋_GB2312" w:cs="Times New Roman"/>
          <w:color w:val="000000"/>
          <w:sz w:val="28"/>
          <w:szCs w:val="32"/>
        </w:rPr>
        <w:t>，本项目由</w:t>
      </w:r>
      <w:r>
        <w:rPr>
          <w:rFonts w:hint="eastAsia" w:ascii="仿宋_GB2312" w:hAnsi="Times New Roman" w:eastAsia="仿宋_GB2312" w:cs="Times New Roman"/>
          <w:color w:val="000000" w:themeColor="text1"/>
          <w:sz w:val="28"/>
          <w:szCs w:val="32"/>
          <w:lang w:val="en-US" w:eastAsia="zh-CN"/>
          <w14:textFill>
            <w14:solidFill>
              <w14:schemeClr w14:val="tx1"/>
            </w14:solidFill>
          </w14:textFill>
        </w:rPr>
        <w:t>于田县林业和草原局</w:t>
      </w:r>
      <w:r>
        <w:rPr>
          <w:rFonts w:hint="eastAsia" w:ascii="仿宋_GB2312" w:hAnsi="Times New Roman" w:eastAsia="仿宋_GB2312" w:cs="Times New Roman"/>
          <w:color w:val="000000"/>
          <w:sz w:val="28"/>
          <w:szCs w:val="32"/>
        </w:rPr>
        <w:t>主管，</w:t>
      </w:r>
      <w:r>
        <w:rPr>
          <w:rFonts w:hint="eastAsia" w:ascii="仿宋_GB2312" w:hAnsi="Times New Roman" w:eastAsia="仿宋_GB2312" w:cs="Times New Roman"/>
          <w:color w:val="000000"/>
          <w:sz w:val="28"/>
          <w:szCs w:val="32"/>
          <w:lang w:val="en-US" w:eastAsia="zh-CN"/>
        </w:rPr>
        <w:t>于田县阿热勒乡人民政府</w:t>
      </w:r>
      <w:r>
        <w:rPr>
          <w:rFonts w:hint="eastAsia" w:ascii="仿宋_GB2312" w:hAnsi="Times New Roman" w:eastAsia="仿宋_GB2312" w:cs="Times New Roman"/>
          <w:color w:val="000000"/>
          <w:sz w:val="28"/>
          <w:szCs w:val="32"/>
        </w:rPr>
        <w:t>负责实施，项目施工期</w:t>
      </w:r>
      <w:r>
        <w:rPr>
          <w:rFonts w:hint="eastAsia" w:ascii="仿宋_GB2312" w:hAnsi="Times New Roman" w:eastAsia="仿宋_GB2312" w:cs="Times New Roman"/>
          <w:color w:val="000000"/>
          <w:sz w:val="28"/>
          <w:szCs w:val="32"/>
          <w:lang w:val="en-US" w:eastAsia="zh-CN"/>
        </w:rPr>
        <w:t>为2024年1月-2024年6月</w:t>
      </w:r>
      <w:r>
        <w:rPr>
          <w:rFonts w:hint="eastAsia" w:ascii="仿宋_GB2312" w:hAnsi="Times New Roman" w:eastAsia="仿宋_GB2312" w:cs="Times New Roman"/>
          <w:color w:val="000000"/>
          <w:sz w:val="28"/>
          <w:szCs w:val="32"/>
        </w:rPr>
        <w:t>。</w:t>
      </w:r>
    </w:p>
    <w:p w14:paraId="69CD2DB2">
      <w:pPr>
        <w:spacing w:line="560" w:lineRule="exact"/>
        <w:ind w:firstLine="560" w:firstLineChars="200"/>
        <w:rPr>
          <w:rFonts w:hint="eastAsia" w:ascii="仿宋_GB2312" w:hAnsi="Times New Roman" w:eastAsia="仿宋_GB2312" w:cs="Times New Roman"/>
          <w:color w:val="000000"/>
          <w:sz w:val="28"/>
          <w:szCs w:val="32"/>
          <w:lang w:val="en-US" w:eastAsia="zh-CN"/>
        </w:rPr>
      </w:pPr>
      <w:r>
        <w:rPr>
          <w:rFonts w:hint="eastAsia" w:ascii="仿宋_GB2312" w:hAnsi="Times New Roman" w:eastAsia="仿宋_GB2312" w:cs="Times New Roman"/>
          <w:color w:val="000000"/>
          <w:sz w:val="28"/>
          <w:szCs w:val="32"/>
          <w:lang w:val="en-US" w:eastAsia="zh-CN"/>
        </w:rPr>
        <w:t>工程实施后，此项目是对于田县阿热勒乡经济的强力推动器。肉苁蓉作为一种珍贵药材，其经济价值不言而喻。随着种植规模的扩大，农民的收入有望得到显著提升，从而激活整个乡村的经济活力。通过这一项目，不仅传统农业产值将得到提升，更会带动一系列相关产业的发展，形成产业链的良性互动。</w:t>
      </w:r>
    </w:p>
    <w:p w14:paraId="3C60EB8A">
      <w:pPr>
        <w:spacing w:line="560" w:lineRule="exact"/>
        <w:ind w:firstLine="562" w:firstLineChars="200"/>
        <w:rPr>
          <w:rFonts w:ascii="仿宋_GB2312" w:hAnsi="Times New Roman" w:eastAsia="仿宋_GB2312" w:cs="Times New Roman"/>
          <w:b/>
          <w:bCs/>
          <w:color w:val="000000"/>
          <w:sz w:val="28"/>
          <w:szCs w:val="32"/>
        </w:rPr>
      </w:pPr>
      <w:r>
        <w:rPr>
          <w:rFonts w:ascii="仿宋_GB2312" w:hAnsi="Times New Roman" w:eastAsia="仿宋_GB2312" w:cs="Times New Roman"/>
          <w:b/>
          <w:bCs/>
          <w:color w:val="000000"/>
          <w:sz w:val="28"/>
          <w:szCs w:val="32"/>
        </w:rPr>
        <w:t>3</w:t>
      </w:r>
      <w:r>
        <w:rPr>
          <w:rFonts w:hint="eastAsia" w:ascii="仿宋_GB2312" w:hAnsi="Times New Roman" w:eastAsia="仿宋_GB2312" w:cs="Times New Roman"/>
          <w:b/>
          <w:bCs/>
          <w:color w:val="000000"/>
          <w:sz w:val="28"/>
          <w:szCs w:val="32"/>
        </w:rPr>
        <w:t>、项目实施依据及范围</w:t>
      </w:r>
    </w:p>
    <w:p w14:paraId="4BA9C83F">
      <w:pPr>
        <w:spacing w:line="560" w:lineRule="exact"/>
        <w:ind w:firstLine="560" w:firstLineChars="200"/>
        <w:rPr>
          <w:rFonts w:hint="eastAsia" w:ascii="仿宋_GB2312" w:hAnsi="Times New Roman" w:eastAsia="仿宋_GB2312" w:cs="Times New Roman"/>
          <w:color w:val="000000"/>
          <w:sz w:val="28"/>
          <w:szCs w:val="32"/>
          <w:lang w:eastAsia="zh-CN"/>
        </w:rPr>
      </w:pPr>
      <w:r>
        <w:rPr>
          <w:rFonts w:hint="eastAsia" w:ascii="仿宋_GB2312" w:hAnsi="Times New Roman" w:eastAsia="仿宋_GB2312" w:cs="Times New Roman"/>
          <w:color w:val="000000"/>
          <w:sz w:val="28"/>
          <w:szCs w:val="32"/>
          <w:lang w:eastAsia="zh-CN"/>
        </w:rPr>
        <w:t>于田县阿热勒乡1000亩地红柳肉苁蓉种植项目</w:t>
      </w:r>
      <w:r>
        <w:rPr>
          <w:rFonts w:hint="eastAsia" w:ascii="仿宋_GB2312" w:hAnsi="Times New Roman" w:eastAsia="仿宋_GB2312" w:cs="Times New Roman"/>
          <w:color w:val="000000"/>
          <w:sz w:val="28"/>
          <w:szCs w:val="32"/>
        </w:rPr>
        <w:t>，根</w:t>
      </w:r>
      <w:r>
        <w:rPr>
          <w:rFonts w:hint="eastAsia" w:ascii="仿宋_GB2312" w:hAnsi="Times New Roman" w:eastAsia="仿宋_GB2312" w:cs="Times New Roman"/>
          <w:color w:val="000000"/>
          <w:sz w:val="28"/>
          <w:szCs w:val="32"/>
          <w:lang w:eastAsia="zh-CN"/>
        </w:rPr>
        <w:t>据于田县林业和草原局下发的《关于对于田县阿热勒乡1000亩地红柳肉苁蓉种植项目实施方案的批复》立项实施，实施范围涉及于田县阿热</w:t>
      </w:r>
      <w:r>
        <w:rPr>
          <w:rFonts w:hint="eastAsia" w:ascii="仿宋_GB2312" w:hAnsi="Times New Roman" w:eastAsia="仿宋_GB2312" w:cs="Times New Roman"/>
          <w:color w:val="000000"/>
          <w:sz w:val="28"/>
          <w:szCs w:val="32"/>
          <w:lang w:val="en-US" w:eastAsia="zh-CN"/>
        </w:rPr>
        <w:t>勒乡直属</w:t>
      </w:r>
      <w:r>
        <w:rPr>
          <w:rFonts w:hint="eastAsia" w:ascii="仿宋_GB2312" w:hAnsi="Times New Roman" w:eastAsia="仿宋_GB2312" w:cs="Times New Roman"/>
          <w:color w:val="000000"/>
          <w:sz w:val="28"/>
          <w:szCs w:val="32"/>
          <w:lang w:eastAsia="zh-CN"/>
        </w:rPr>
        <w:t>。</w:t>
      </w:r>
      <w:r>
        <w:rPr>
          <w:rFonts w:hint="eastAsia" w:ascii="仿宋_GB2312" w:hAnsi="Times New Roman" w:eastAsia="仿宋_GB2312" w:cs="Times New Roman"/>
          <w:color w:val="000000"/>
          <w:sz w:val="28"/>
          <w:szCs w:val="32"/>
        </w:rPr>
        <w:t>建设内容：</w:t>
      </w:r>
      <w:r>
        <w:rPr>
          <w:rFonts w:hint="eastAsia" w:ascii="仿宋_GB2312" w:hAnsi="Times New Roman" w:eastAsia="仿宋_GB2312" w:cs="Times New Roman"/>
          <w:color w:val="000000"/>
          <w:sz w:val="28"/>
          <w:szCs w:val="32"/>
          <w:lang w:eastAsia="zh-CN"/>
        </w:rPr>
        <w:t>土地平整1000亩，种植沟修整，红柳定植1000亩，红柳肉种植，种植株距为1米，行距为3.0米，种植红柳30万株;新建引水渠道30.00米，渠道的设计流量0.5米/s，渠道配套渠系建筑物1座(分水闸);新建20*60*2.50沉砂池1座，池容量为3000.00m;吊装房泵房一栋;新建1个灌溉系统建设内容为:新建PVC-M250，0.4MPa地埋干管2895.27米，新建PVC-M160，0.40MPa地埋支管4489.284米，控制阀井4座，排水阀井5座，镇墩62座:新建PE-90，0.25MPa地面管9825.29米;穿越工程中400钢管40米;新建4.00米宽砂砾石道2547.48米;架设10kv输电线路0.72千米，架设380v电力线0.25千米;安装10KV电力变压器，容量150KVA，S13型及附属电力设备1套。</w:t>
      </w:r>
    </w:p>
    <w:p w14:paraId="554A4FFE">
      <w:pPr>
        <w:spacing w:line="560" w:lineRule="exact"/>
        <w:ind w:firstLine="562" w:firstLineChars="200"/>
        <w:rPr>
          <w:rFonts w:ascii="仿宋_GB2312" w:hAnsi="Times New Roman" w:eastAsia="仿宋_GB2312" w:cs="Times New Roman"/>
          <w:b/>
          <w:bCs/>
          <w:color w:val="000000"/>
          <w:sz w:val="28"/>
          <w:szCs w:val="32"/>
        </w:rPr>
      </w:pPr>
      <w:r>
        <w:rPr>
          <w:rFonts w:ascii="仿宋_GB2312" w:hAnsi="Times New Roman" w:eastAsia="仿宋_GB2312" w:cs="Times New Roman"/>
          <w:b/>
          <w:bCs/>
          <w:color w:val="000000"/>
          <w:sz w:val="28"/>
          <w:szCs w:val="32"/>
        </w:rPr>
        <w:t>4</w:t>
      </w:r>
      <w:r>
        <w:rPr>
          <w:rFonts w:hint="eastAsia" w:ascii="仿宋_GB2312" w:hAnsi="Times New Roman" w:eastAsia="仿宋_GB2312" w:cs="Times New Roman"/>
          <w:b/>
          <w:bCs/>
          <w:color w:val="000000"/>
          <w:sz w:val="28"/>
          <w:szCs w:val="32"/>
        </w:rPr>
        <w:t>、项目基本性质及类别</w:t>
      </w:r>
    </w:p>
    <w:p w14:paraId="1FD9E883">
      <w:pPr>
        <w:spacing w:line="560" w:lineRule="exact"/>
        <w:ind w:firstLine="560" w:firstLineChars="200"/>
        <w:rPr>
          <w:rFonts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lang w:eastAsia="zh-CN"/>
        </w:rPr>
        <w:t>于田县阿热勒乡1000亩地红柳肉苁蓉种植项目</w:t>
      </w:r>
      <w:r>
        <w:rPr>
          <w:rFonts w:hint="eastAsia" w:ascii="仿宋_GB2312" w:hAnsi="Times New Roman" w:eastAsia="仿宋_GB2312" w:cs="Times New Roman"/>
          <w:color w:val="000000"/>
          <w:sz w:val="28"/>
          <w:szCs w:val="32"/>
        </w:rPr>
        <w:t>性质为</w:t>
      </w:r>
      <w:r>
        <w:rPr>
          <w:rFonts w:hint="eastAsia" w:ascii="仿宋_GB2312" w:hAnsi="Times New Roman" w:eastAsia="仿宋_GB2312" w:cs="Times New Roman"/>
          <w:color w:val="000000"/>
          <w:sz w:val="28"/>
          <w:szCs w:val="32"/>
          <w:lang w:val="en-US" w:eastAsia="zh-CN"/>
        </w:rPr>
        <w:t>其他</w:t>
      </w:r>
      <w:r>
        <w:rPr>
          <w:rFonts w:hint="eastAsia" w:ascii="仿宋_GB2312" w:hAnsi="Times New Roman" w:eastAsia="仿宋_GB2312" w:cs="Times New Roman"/>
          <w:color w:val="000000"/>
          <w:sz w:val="28"/>
          <w:szCs w:val="32"/>
        </w:rPr>
        <w:t>项目，属于乡村振兴衔接资金项目。</w:t>
      </w:r>
    </w:p>
    <w:p w14:paraId="22666A8D">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（二）财政专项乡村振兴衔接资金项目绩效目标设定情况</w:t>
      </w:r>
    </w:p>
    <w:p w14:paraId="6047D90A">
      <w:pPr>
        <w:spacing w:line="560" w:lineRule="exact"/>
        <w:ind w:firstLine="562" w:firstLineChars="200"/>
        <w:rPr>
          <w:rFonts w:ascii="仿宋_GB2312" w:hAnsi="Times New Roman" w:eastAsia="仿宋_GB2312" w:cs="Times New Roman"/>
          <w:b/>
          <w:bCs/>
          <w:sz w:val="28"/>
          <w:szCs w:val="32"/>
        </w:rPr>
      </w:pPr>
      <w:r>
        <w:rPr>
          <w:rFonts w:hint="eastAsia" w:ascii="仿宋_GB2312" w:hAnsi="Times New Roman" w:eastAsia="仿宋_GB2312" w:cs="Times New Roman"/>
          <w:b/>
          <w:bCs/>
          <w:sz w:val="28"/>
          <w:szCs w:val="32"/>
        </w:rPr>
        <w:t>1.项目绩效总体目标</w:t>
      </w:r>
    </w:p>
    <w:p w14:paraId="72A9BC29">
      <w:pPr>
        <w:spacing w:line="560" w:lineRule="exact"/>
        <w:ind w:firstLine="560" w:firstLineChars="200"/>
        <w:rPr>
          <w:rFonts w:hint="eastAsia" w:ascii="仿宋_GB2312" w:hAnsi="Times New Roman" w:eastAsia="仿宋_GB2312" w:cs="Times New Roman"/>
          <w:color w:val="000000"/>
          <w:sz w:val="28"/>
          <w:szCs w:val="32"/>
          <w:lang w:val="en-US" w:eastAsia="zh-CN"/>
        </w:rPr>
      </w:pPr>
      <w:r>
        <w:rPr>
          <w:rFonts w:hint="eastAsia" w:ascii="仿宋_GB2312" w:hAnsi="Times New Roman" w:eastAsia="仿宋_GB2312" w:cs="Times New Roman"/>
          <w:color w:val="000000"/>
          <w:sz w:val="28"/>
          <w:szCs w:val="32"/>
          <w:lang w:eastAsia="zh-CN"/>
        </w:rPr>
        <w:t>于田县阿热勒乡1000亩地红柳肉苁蓉种植项目</w:t>
      </w:r>
      <w:r>
        <w:rPr>
          <w:rFonts w:hint="eastAsia" w:ascii="仿宋_GB2312" w:hAnsi="Times New Roman" w:eastAsia="仿宋_GB2312" w:cs="Times New Roman"/>
          <w:color w:val="000000"/>
          <w:sz w:val="28"/>
          <w:szCs w:val="32"/>
          <w:lang w:val="en-US" w:eastAsia="zh-CN"/>
        </w:rPr>
        <w:t>总投资300万元，全部申请以乡村振兴衔接资金。主要内容为：</w:t>
      </w:r>
      <w:r>
        <w:rPr>
          <w:rFonts w:hint="default" w:ascii="仿宋_GB2312" w:hAnsi="Times New Roman" w:eastAsia="仿宋_GB2312" w:cs="Times New Roman"/>
          <w:color w:val="000000"/>
          <w:sz w:val="28"/>
          <w:szCs w:val="32"/>
        </w:rPr>
        <w:t>主要改造内容为:</w:t>
      </w:r>
      <w:r>
        <w:rPr>
          <w:rFonts w:hint="eastAsia" w:ascii="仿宋_GB2312" w:hAnsi="Times New Roman" w:eastAsia="仿宋_GB2312" w:cs="Times New Roman"/>
          <w:color w:val="000000"/>
          <w:sz w:val="28"/>
          <w:szCs w:val="32"/>
          <w:lang w:eastAsia="zh-CN"/>
        </w:rPr>
        <w:t>土地平整1000亩，种植沟修整，红柳定植1000亩，红柳肉种植，种植株距为1米，行距为3.0米，种植红柳30万株;新建引水渠道30.00米，渠道的设计流量0.5米/s，渠道配套渠系建筑物1座(分水闸);新建20*60*2.50沉砂池1座，池容量为3000.00m;吊装房泵房一栋;新建1个灌溉系统建设内容为:新建PVC-M250，0.4MPa地埋干管2895.27米，新建PVC-M160，0.40MPa地埋支管4489.284米，控制阀井4座，排水阀井5座，镇墩62座:新建PE-90，0.25MPa地面管9825.29米;穿越工程中400钢管40米;新建4.00米宽砂砾石道2547.48米;架设10kv输电线路0.72千米，架设380v电力线0.25千米;安装10KV电力变压器，容量150KVA，S13型及附属电力设备1套</w:t>
      </w:r>
      <w:r>
        <w:rPr>
          <w:rFonts w:hint="default" w:ascii="仿宋_GB2312" w:hAnsi="Times New Roman" w:eastAsia="仿宋_GB2312" w:cs="Times New Roman"/>
          <w:color w:val="000000"/>
          <w:sz w:val="28"/>
          <w:szCs w:val="32"/>
        </w:rPr>
        <w:t>。</w:t>
      </w:r>
      <w:r>
        <w:rPr>
          <w:rFonts w:hint="eastAsia" w:ascii="仿宋_GB2312" w:hAnsi="Times New Roman" w:eastAsia="仿宋_GB2312" w:cs="Times New Roman"/>
          <w:color w:val="000000"/>
          <w:sz w:val="28"/>
          <w:szCs w:val="32"/>
        </w:rPr>
        <w:t>通过</w:t>
      </w:r>
      <w:r>
        <w:rPr>
          <w:rFonts w:hint="eastAsia" w:ascii="仿宋_GB2312" w:hAnsi="Times New Roman" w:eastAsia="仿宋_GB2312" w:cs="Times New Roman"/>
          <w:color w:val="000000"/>
          <w:sz w:val="28"/>
          <w:szCs w:val="32"/>
          <w:lang w:eastAsia="zh-CN"/>
        </w:rPr>
        <w:t>于田县阿热勒乡1000亩地红柳肉苁蓉种植项目</w:t>
      </w:r>
      <w:r>
        <w:rPr>
          <w:rFonts w:hint="eastAsia" w:ascii="仿宋_GB2312" w:hAnsi="Times New Roman" w:eastAsia="仿宋_GB2312" w:cs="Times New Roman"/>
          <w:color w:val="000000"/>
          <w:sz w:val="28"/>
          <w:szCs w:val="32"/>
        </w:rPr>
        <w:t>实施，</w:t>
      </w:r>
      <w:r>
        <w:rPr>
          <w:rFonts w:hint="eastAsia" w:ascii="仿宋_GB2312" w:hAnsi="Times New Roman" w:eastAsia="仿宋_GB2312" w:cs="Times New Roman"/>
          <w:color w:val="000000"/>
          <w:sz w:val="28"/>
          <w:szCs w:val="32"/>
          <w:lang w:val="en-US" w:eastAsia="zh-CN"/>
        </w:rPr>
        <w:t>通过发展特色种植产业，推动乡村振兴，提高农民收入。该项目将以高品质、高效益的红柳肉苁蓉种植为核心，打造具有地方特色的农业产业。项目将充分利用当地资源优势，结合市场需求，实现农业产业结构的优化升级。</w:t>
      </w:r>
    </w:p>
    <w:p w14:paraId="6B82DD83">
      <w:pPr>
        <w:pStyle w:val="53"/>
        <w:spacing w:line="560" w:lineRule="exact"/>
        <w:ind w:left="3" w:right="3" w:firstLine="562"/>
        <w:rPr>
          <w:rFonts w:ascii="仿宋_GB2312"/>
          <w:b/>
          <w:bCs/>
          <w:szCs w:val="32"/>
        </w:rPr>
      </w:pPr>
      <w:r>
        <w:rPr>
          <w:rFonts w:hint="eastAsia" w:ascii="仿宋_GB2312"/>
          <w:b/>
          <w:bCs/>
          <w:szCs w:val="32"/>
        </w:rPr>
        <w:t>2.具体绩效指标</w:t>
      </w:r>
    </w:p>
    <w:p w14:paraId="77FF048E">
      <w:pPr>
        <w:pStyle w:val="53"/>
        <w:spacing w:line="560" w:lineRule="exact"/>
        <w:ind w:left="3" w:right="3" w:firstLine="560"/>
        <w:rPr>
          <w:rFonts w:ascii="仿宋_GB2312"/>
          <w:szCs w:val="32"/>
        </w:rPr>
      </w:pPr>
      <w:r>
        <w:rPr>
          <w:rFonts w:ascii="仿宋_GB2312"/>
          <w:szCs w:val="32"/>
        </w:rPr>
        <w:t>根据《自治区财政专项扶贫资金绩效管理操作指南》（新财预〔2019〕170号）的规定，结合项目具体情况，</w:t>
      </w:r>
      <w:r>
        <w:rPr>
          <w:rFonts w:hint="eastAsia" w:ascii="仿宋_GB2312"/>
          <w:szCs w:val="32"/>
        </w:rPr>
        <w:t>本项目共设置一级指标3个，二级指标</w:t>
      </w:r>
      <w:r>
        <w:rPr>
          <w:rFonts w:hint="eastAsia" w:ascii="仿宋_GB2312"/>
          <w:szCs w:val="32"/>
          <w:lang w:val="en-US" w:eastAsia="zh-CN"/>
        </w:rPr>
        <w:t>6</w:t>
      </w:r>
      <w:r>
        <w:rPr>
          <w:rFonts w:hint="eastAsia" w:ascii="仿宋_GB2312"/>
          <w:szCs w:val="32"/>
        </w:rPr>
        <w:t>个，三级指标</w:t>
      </w:r>
      <w:r>
        <w:rPr>
          <w:rFonts w:hint="eastAsia" w:ascii="仿宋_GB2312"/>
          <w:szCs w:val="32"/>
          <w:lang w:val="en-US" w:eastAsia="zh-CN"/>
        </w:rPr>
        <w:t>21</w:t>
      </w:r>
      <w:r>
        <w:rPr>
          <w:rFonts w:hint="eastAsia" w:ascii="仿宋_GB2312"/>
          <w:szCs w:val="32"/>
        </w:rPr>
        <w:t>个。</w:t>
      </w:r>
    </w:p>
    <w:p w14:paraId="484DE238">
      <w:pPr>
        <w:pStyle w:val="30"/>
        <w:spacing w:before="120"/>
        <w:ind w:left="0" w:leftChars="0" w:right="3" w:firstLine="562" w:firstLineChars="200"/>
        <w:rPr>
          <w:rFonts w:eastAsia="宋体"/>
          <w:sz w:val="21"/>
        </w:rPr>
      </w:pPr>
      <w:r>
        <w:rPr>
          <w:rFonts w:hint="eastAsia"/>
        </w:rPr>
        <w:t>二、绩效自评工作开展情况</w:t>
      </w:r>
    </w:p>
    <w:p w14:paraId="1E3C53B8">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（一）绩效自评工作开展范围</w:t>
      </w:r>
    </w:p>
    <w:p w14:paraId="73AC4208">
      <w:pPr>
        <w:pStyle w:val="53"/>
        <w:spacing w:line="560" w:lineRule="exact"/>
        <w:ind w:left="3" w:right="3" w:firstLine="560"/>
      </w:pPr>
      <w:r>
        <w:t>本次自评范围涵盖项目总体绩效目标、各项绩效指标完成情况以及预算执行情况。</w:t>
      </w:r>
    </w:p>
    <w:p w14:paraId="4FF17995">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（二）绩效自评工作对象</w:t>
      </w:r>
    </w:p>
    <w:p w14:paraId="4AEDAFFF">
      <w:pPr>
        <w:pStyle w:val="53"/>
        <w:spacing w:line="560" w:lineRule="exact"/>
        <w:ind w:left="3" w:right="3" w:firstLine="560"/>
      </w:pPr>
      <w: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ascii="仿宋_GB2312" w:cs="Times New Roman"/>
          <w:color w:val="000000"/>
          <w:sz w:val="28"/>
          <w:szCs w:val="32"/>
          <w:lang w:val="en-US" w:eastAsia="zh-CN"/>
        </w:rPr>
        <w:t>于田县阿热勒乡1000亩地红柳肉苁蓉种植项目</w:t>
      </w:r>
      <w:r>
        <w:t>资金的使用管理、项目产出、综合效益等进行评价。</w:t>
      </w:r>
    </w:p>
    <w:p w14:paraId="0AF0C0AD">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（三）绩效自评工作方式</w:t>
      </w:r>
    </w:p>
    <w:p w14:paraId="11F349B1">
      <w:pPr>
        <w:pStyle w:val="34"/>
      </w:pPr>
      <w:r>
        <w:rPr>
          <w:rFonts w:hint="eastAsia"/>
        </w:rPr>
        <w:t>1.前期准备</w:t>
      </w:r>
    </w:p>
    <w:p w14:paraId="1D20E09D">
      <w:pPr>
        <w:pStyle w:val="53"/>
        <w:spacing w:line="560" w:lineRule="exact"/>
        <w:ind w:left="3" w:right="0" w:rightChars="0" w:firstLine="560"/>
      </w:pPr>
      <w:r>
        <w:t>202</w:t>
      </w:r>
      <w:r>
        <w:rPr>
          <w:rFonts w:hint="eastAsia"/>
          <w:lang w:val="en-US" w:eastAsia="zh-CN"/>
        </w:rPr>
        <w:t>4</w:t>
      </w:r>
      <w:r>
        <w:t>年，认真学习相关要求与规定，成立绩效自评工作组，作为绩效自评工作具体实施机构。成员构成如下：</w:t>
      </w:r>
    </w:p>
    <w:p w14:paraId="5FE1A5C1">
      <w:pPr>
        <w:pStyle w:val="53"/>
        <w:keepNext w:val="0"/>
        <w:keepLines w:val="0"/>
        <w:pageBreakBefore w:val="0"/>
        <w:kinsoku/>
        <w:wordWrap/>
        <w:overflowPunct/>
        <w:topLinePunct w:val="0"/>
        <w:autoSpaceDE/>
        <w:autoSpaceDN/>
        <w:bidi w:val="0"/>
        <w:adjustRightInd/>
        <w:spacing w:line="560" w:lineRule="exact"/>
        <w:ind w:left="3" w:right="3" w:firstLine="560"/>
        <w:textAlignment w:val="auto"/>
        <w:rPr>
          <w:rFonts w:hint="default"/>
          <w:highlight w:val="none"/>
          <w:lang w:val="en-US" w:eastAsia="zh-CN"/>
        </w:rPr>
      </w:pPr>
      <w:r>
        <w:rPr>
          <w:rFonts w:hint="eastAsia"/>
          <w:highlight w:val="none"/>
        </w:rPr>
        <w:t>组  长</w:t>
      </w:r>
      <w:r>
        <w:rPr>
          <w:rFonts w:hint="eastAsia"/>
          <w:highlight w:val="none"/>
          <w:lang w:eastAsia="zh-CN"/>
        </w:rPr>
        <w:t>：</w:t>
      </w:r>
      <w:r>
        <w:rPr>
          <w:rFonts w:hint="eastAsia"/>
          <w:highlight w:val="none"/>
          <w:lang w:val="en-US" w:eastAsia="zh-CN"/>
        </w:rPr>
        <w:t xml:space="preserve">吾麦尔江·赛提瓦                   </w:t>
      </w:r>
      <w:r>
        <w:rPr>
          <w:rFonts w:hint="eastAsia"/>
          <w:highlight w:val="none"/>
        </w:rPr>
        <w:t xml:space="preserve"> </w:t>
      </w:r>
      <w:r>
        <w:rPr>
          <w:highlight w:val="none"/>
        </w:rPr>
        <w:t xml:space="preserve"> </w:t>
      </w:r>
      <w:r>
        <w:rPr>
          <w:rFonts w:hint="eastAsia"/>
          <w:highlight w:val="none"/>
          <w:lang w:val="en-US" w:eastAsia="zh-CN"/>
        </w:rPr>
        <w:t xml:space="preserve">        </w:t>
      </w:r>
      <w:r>
        <w:rPr>
          <w:rFonts w:hint="eastAsia"/>
          <w:highlight w:val="none"/>
          <w:lang w:eastAsia="zh-CN"/>
        </w:rPr>
        <w:t>党委</w:t>
      </w:r>
      <w:r>
        <w:rPr>
          <w:rFonts w:hint="eastAsia"/>
          <w:highlight w:val="none"/>
          <w:lang w:val="en-US" w:eastAsia="zh-CN"/>
        </w:rPr>
        <w:t>副</w:t>
      </w:r>
      <w:r>
        <w:rPr>
          <w:rFonts w:hint="eastAsia"/>
          <w:highlight w:val="none"/>
          <w:lang w:eastAsia="zh-CN"/>
        </w:rPr>
        <w:t>书记、</w:t>
      </w:r>
      <w:r>
        <w:rPr>
          <w:rFonts w:hint="eastAsia"/>
          <w:highlight w:val="none"/>
          <w:lang w:val="en-US" w:eastAsia="zh-CN"/>
        </w:rPr>
        <w:t>乡长</w:t>
      </w:r>
    </w:p>
    <w:p w14:paraId="3D2D0493">
      <w:pPr>
        <w:pStyle w:val="53"/>
        <w:keepNext w:val="0"/>
        <w:keepLines w:val="0"/>
        <w:pageBreakBefore w:val="0"/>
        <w:kinsoku/>
        <w:wordWrap/>
        <w:overflowPunct/>
        <w:topLinePunct w:val="0"/>
        <w:autoSpaceDE/>
        <w:autoSpaceDN/>
        <w:bidi w:val="0"/>
        <w:adjustRightInd/>
        <w:spacing w:line="560" w:lineRule="exact"/>
        <w:ind w:left="3" w:right="3" w:firstLine="560"/>
        <w:textAlignment w:val="auto"/>
        <w:rPr>
          <w:rFonts w:hint="default"/>
          <w:highlight w:val="none"/>
          <w:lang w:val="en-US" w:eastAsia="zh-CN"/>
        </w:rPr>
      </w:pPr>
      <w:r>
        <w:rPr>
          <w:rFonts w:hint="eastAsia"/>
          <w:highlight w:val="none"/>
        </w:rPr>
        <w:t>副组长：</w:t>
      </w:r>
      <w:r>
        <w:rPr>
          <w:rFonts w:hint="eastAsia"/>
          <w:highlight w:val="none"/>
          <w:lang w:val="en-US" w:eastAsia="zh-CN"/>
        </w:rPr>
        <w:t>刘栋                          党委委员、武装部长</w:t>
      </w:r>
    </w:p>
    <w:p w14:paraId="6B9FE95C">
      <w:pPr>
        <w:pStyle w:val="53"/>
        <w:keepNext w:val="0"/>
        <w:keepLines w:val="0"/>
        <w:pageBreakBefore w:val="0"/>
        <w:kinsoku/>
        <w:wordWrap/>
        <w:overflowPunct/>
        <w:topLinePunct w:val="0"/>
        <w:autoSpaceDE/>
        <w:autoSpaceDN/>
        <w:bidi w:val="0"/>
        <w:adjustRightInd/>
        <w:spacing w:line="560" w:lineRule="exact"/>
        <w:ind w:left="0" w:leftChars="0" w:right="3" w:firstLine="560" w:firstLineChars="200"/>
        <w:textAlignment w:val="auto"/>
        <w:rPr>
          <w:rFonts w:hint="eastAsia"/>
          <w:highlight w:val="none"/>
          <w:lang w:eastAsia="zh-CN"/>
        </w:rPr>
      </w:pPr>
      <w:r>
        <w:rPr>
          <w:rFonts w:hint="eastAsia"/>
          <w:highlight w:val="none"/>
          <w:lang w:eastAsia="zh-CN"/>
        </w:rPr>
        <w:t>罗震</w:t>
      </w:r>
      <w:r>
        <w:rPr>
          <w:rFonts w:hint="eastAsia"/>
          <w:highlight w:val="none"/>
        </w:rPr>
        <w:t xml:space="preserve">         </w:t>
      </w:r>
      <w:r>
        <w:rPr>
          <w:highlight w:val="none"/>
        </w:rPr>
        <w:t xml:space="preserve">                     </w:t>
      </w:r>
      <w:r>
        <w:rPr>
          <w:rFonts w:hint="eastAsia"/>
          <w:highlight w:val="none"/>
          <w:lang w:val="en-US" w:eastAsia="zh-CN"/>
        </w:rPr>
        <w:t xml:space="preserve">              </w:t>
      </w:r>
      <w:r>
        <w:rPr>
          <w:rFonts w:hint="eastAsia"/>
          <w:highlight w:val="none"/>
          <w:lang w:eastAsia="zh-CN"/>
        </w:rPr>
        <w:t>党委委员、纪委书记、监察办主任</w:t>
      </w:r>
    </w:p>
    <w:p w14:paraId="7DC35531">
      <w:pPr>
        <w:pStyle w:val="53"/>
        <w:keepNext w:val="0"/>
        <w:keepLines w:val="0"/>
        <w:pageBreakBefore w:val="0"/>
        <w:kinsoku/>
        <w:wordWrap/>
        <w:overflowPunct/>
        <w:topLinePunct w:val="0"/>
        <w:autoSpaceDE/>
        <w:autoSpaceDN/>
        <w:bidi w:val="0"/>
        <w:adjustRightInd/>
        <w:spacing w:line="560" w:lineRule="exact"/>
        <w:ind w:left="3" w:right="3" w:firstLine="560"/>
        <w:textAlignment w:val="auto"/>
        <w:rPr>
          <w:rFonts w:hint="eastAsia"/>
          <w:highlight w:val="none"/>
        </w:rPr>
      </w:pPr>
      <w:r>
        <w:rPr>
          <w:rFonts w:hint="eastAsia"/>
          <w:highlight w:val="none"/>
        </w:rPr>
        <w:t>成  员：</w:t>
      </w:r>
    </w:p>
    <w:p w14:paraId="700131ED">
      <w:pPr>
        <w:pStyle w:val="53"/>
        <w:keepNext w:val="0"/>
        <w:keepLines w:val="0"/>
        <w:pageBreakBefore w:val="0"/>
        <w:kinsoku/>
        <w:wordWrap/>
        <w:overflowPunct/>
        <w:topLinePunct w:val="0"/>
        <w:autoSpaceDE/>
        <w:autoSpaceDN/>
        <w:bidi w:val="0"/>
        <w:adjustRightInd/>
        <w:spacing w:line="560" w:lineRule="exact"/>
        <w:ind w:left="0" w:leftChars="0" w:right="3" w:firstLine="560" w:firstLineChars="200"/>
        <w:textAlignment w:val="auto"/>
        <w:rPr>
          <w:rFonts w:hint="default"/>
          <w:highlight w:val="none"/>
          <w:lang w:val="en-US" w:eastAsia="zh-CN"/>
        </w:rPr>
      </w:pPr>
      <w:r>
        <w:rPr>
          <w:rFonts w:hint="eastAsia"/>
          <w:highlight w:val="none"/>
          <w:lang w:eastAsia="zh-CN"/>
        </w:rPr>
        <w:t>艾力</w:t>
      </w:r>
      <w:r>
        <w:rPr>
          <w:rFonts w:hint="eastAsia"/>
          <w:highlight w:val="none"/>
          <w:lang w:val="en-US" w:eastAsia="zh-CN"/>
        </w:rPr>
        <w:t>·喀哈尔                                                                             财政所所长</w:t>
      </w:r>
    </w:p>
    <w:p w14:paraId="541004A5">
      <w:pPr>
        <w:pStyle w:val="53"/>
        <w:keepNext w:val="0"/>
        <w:keepLines w:val="0"/>
        <w:pageBreakBefore w:val="0"/>
        <w:kinsoku/>
        <w:wordWrap/>
        <w:overflowPunct/>
        <w:topLinePunct w:val="0"/>
        <w:autoSpaceDE/>
        <w:autoSpaceDN/>
        <w:bidi w:val="0"/>
        <w:adjustRightInd/>
        <w:spacing w:line="560" w:lineRule="exact"/>
        <w:ind w:left="0" w:leftChars="0" w:right="3" w:firstLine="560" w:firstLineChars="200"/>
        <w:textAlignment w:val="auto"/>
        <w:rPr>
          <w:highlight w:val="none"/>
        </w:rPr>
      </w:pPr>
      <w:r>
        <w:rPr>
          <w:rFonts w:hint="eastAsia"/>
          <w:highlight w:val="none"/>
          <w:lang w:eastAsia="zh-CN"/>
        </w:rPr>
        <w:t>阿米娜</w:t>
      </w:r>
      <w:r>
        <w:rPr>
          <w:rFonts w:hint="eastAsia"/>
          <w:highlight w:val="none"/>
          <w:lang w:val="en-US" w:eastAsia="zh-CN"/>
        </w:rPr>
        <w:t>·买合木提</w:t>
      </w:r>
      <w:r>
        <w:rPr>
          <w:rFonts w:hint="eastAsia"/>
          <w:highlight w:val="none"/>
        </w:rPr>
        <w:t xml:space="preserve"> </w:t>
      </w:r>
      <w:r>
        <w:rPr>
          <w:rFonts w:hint="eastAsia"/>
          <w:highlight w:val="none"/>
          <w:lang w:val="en-US" w:eastAsia="zh-CN"/>
        </w:rPr>
        <w:t xml:space="preserve">                                                    </w:t>
      </w:r>
      <w:r>
        <w:rPr>
          <w:highlight w:val="none"/>
        </w:rPr>
        <w:t xml:space="preserve">                </w:t>
      </w:r>
      <w:r>
        <w:rPr>
          <w:rFonts w:hint="eastAsia"/>
          <w:highlight w:val="none"/>
          <w:lang w:eastAsia="zh-CN"/>
        </w:rPr>
        <w:t>财政所</w:t>
      </w:r>
      <w:r>
        <w:rPr>
          <w:rFonts w:hint="eastAsia"/>
          <w:highlight w:val="none"/>
        </w:rPr>
        <w:t>科员</w:t>
      </w:r>
    </w:p>
    <w:p w14:paraId="1F3D7B02">
      <w:pPr>
        <w:pStyle w:val="53"/>
        <w:spacing w:line="560" w:lineRule="exact"/>
        <w:ind w:left="3" w:right="3" w:firstLine="560"/>
        <w:rPr>
          <w:rFonts w:hint="eastAsia"/>
          <w:highlight w:val="none"/>
          <w:lang w:val="en-US" w:eastAsia="zh-CN"/>
        </w:rPr>
      </w:pPr>
      <w:r>
        <w:rPr>
          <w:rFonts w:hint="eastAsia"/>
          <w:highlight w:val="none"/>
          <w:lang w:val="en-US" w:eastAsia="zh-CN"/>
        </w:rPr>
        <w:t>耿新娟</w:t>
      </w:r>
      <w:r>
        <w:rPr>
          <w:rFonts w:hint="eastAsia"/>
          <w:highlight w:val="none"/>
        </w:rPr>
        <w:t xml:space="preserve">            </w:t>
      </w:r>
      <w:r>
        <w:rPr>
          <w:highlight w:val="none"/>
        </w:rPr>
        <w:t xml:space="preserve">                       </w:t>
      </w:r>
      <w:r>
        <w:rPr>
          <w:rFonts w:hint="eastAsia"/>
          <w:highlight w:val="none"/>
          <w:lang w:val="en-US" w:eastAsia="zh-CN"/>
        </w:rPr>
        <w:t xml:space="preserve">                                           </w:t>
      </w:r>
      <w:r>
        <w:rPr>
          <w:highlight w:val="none"/>
        </w:rPr>
        <w:t xml:space="preserve">   </w:t>
      </w:r>
      <w:r>
        <w:rPr>
          <w:rFonts w:hint="eastAsia"/>
          <w:highlight w:val="none"/>
          <w:lang w:val="en-US" w:eastAsia="zh-CN"/>
        </w:rPr>
        <w:t>四级主任科员</w:t>
      </w:r>
    </w:p>
    <w:p w14:paraId="10F73A35">
      <w:pPr>
        <w:pStyle w:val="53"/>
        <w:spacing w:line="560" w:lineRule="exact"/>
        <w:ind w:left="3" w:right="3" w:firstLine="560"/>
        <w:rPr>
          <w:rFonts w:hint="eastAsia"/>
          <w:highlight w:val="none"/>
          <w:lang w:val="en-US" w:eastAsia="zh-CN"/>
        </w:rPr>
      </w:pPr>
      <w:r>
        <w:rPr>
          <w:rFonts w:hint="eastAsia"/>
          <w:highlight w:val="none"/>
        </w:rPr>
        <w:t xml:space="preserve"> </w:t>
      </w:r>
      <w:r>
        <w:rPr>
          <w:rFonts w:hint="eastAsia"/>
          <w:highlight w:val="none"/>
          <w:lang w:val="en-US" w:eastAsia="zh-CN"/>
        </w:rPr>
        <w:t>刘建涛</w:t>
      </w:r>
      <w:r>
        <w:rPr>
          <w:rFonts w:hint="eastAsia"/>
          <w:highlight w:val="none"/>
        </w:rPr>
        <w:t xml:space="preserve">            </w:t>
      </w:r>
      <w:r>
        <w:rPr>
          <w:highlight w:val="none"/>
        </w:rPr>
        <w:t xml:space="preserve">                              </w:t>
      </w:r>
      <w:r>
        <w:rPr>
          <w:rFonts w:hint="eastAsia"/>
          <w:highlight w:val="none"/>
        </w:rPr>
        <w:t xml:space="preserve">  </w:t>
      </w:r>
      <w:r>
        <w:rPr>
          <w:rFonts w:hint="eastAsia"/>
          <w:highlight w:val="none"/>
          <w:lang w:val="en-US" w:eastAsia="zh-CN"/>
        </w:rPr>
        <w:t xml:space="preserve">                                    四级主任科员</w:t>
      </w:r>
    </w:p>
    <w:p w14:paraId="5511F1D6">
      <w:pPr>
        <w:pStyle w:val="53"/>
        <w:spacing w:line="560" w:lineRule="exact"/>
        <w:ind w:left="282" w:leftChars="88" w:right="3" w:firstLine="280" w:firstLineChars="100"/>
      </w:pPr>
      <w:r>
        <w:rPr>
          <w:rFonts w:hint="eastAsia"/>
        </w:rPr>
        <w:t>办公室负责项目的计划制定、实施，督查、指导相关单位共同做好项目管理工作。切实把该项目作为生态健康建设的重要举措来抓，加强领导，明确分工，落实责任，密切配合，形成合力，推动该项目顺利实施。由</w:t>
      </w:r>
      <w:r>
        <w:rPr>
          <w:rFonts w:hint="eastAsia"/>
          <w:lang w:val="en-US" w:eastAsia="zh-CN"/>
        </w:rPr>
        <w:t>于田县阿热勒乡人民政府</w:t>
      </w:r>
      <w:r>
        <w:rPr>
          <w:rFonts w:hint="eastAsia"/>
        </w:rPr>
        <w:t>单位牵头，负责整个项目的统筹安排和经费使用管理工作，实现分级管理制度。</w:t>
      </w:r>
    </w:p>
    <w:p w14:paraId="0F1F935A">
      <w:pPr>
        <w:pStyle w:val="34"/>
      </w:pPr>
      <w:r>
        <w:rPr>
          <w:rFonts w:hint="eastAsia"/>
        </w:rPr>
        <w:t>2.组织实施</w:t>
      </w:r>
    </w:p>
    <w:p w14:paraId="17F4A421">
      <w:pPr>
        <w:pStyle w:val="53"/>
        <w:spacing w:line="560" w:lineRule="exact"/>
        <w:ind w:left="3" w:right="3" w:firstLine="560"/>
      </w:pPr>
      <w:r>
        <w:t>成立绩效自评工作组后，经评价组通过实地调研等方式，采用综合分析法对项目的决策、管理、绩效进行的综合评价分析。</w:t>
      </w:r>
    </w:p>
    <w:p w14:paraId="68C93C48">
      <w:pPr>
        <w:pStyle w:val="34"/>
      </w:pPr>
      <w:r>
        <w:rPr>
          <w:rFonts w:hint="eastAsia"/>
        </w:rPr>
        <w:t>3.分析评价。</w:t>
      </w:r>
    </w:p>
    <w:p w14:paraId="54495EA5">
      <w:pPr>
        <w:pStyle w:val="53"/>
        <w:spacing w:line="560" w:lineRule="exact"/>
        <w:ind w:left="3" w:right="3" w:firstLine="560"/>
      </w:pPr>
      <w:r>
        <w:t>首先按照指标体系进行定量、定性分析。其次开展量化打分、综合评价工作，形成初步评价结论。最后归纳整体项目情况与存在问题，撰写绩效自评报告。</w:t>
      </w:r>
    </w:p>
    <w:p w14:paraId="2C3F49EE">
      <w:pPr>
        <w:pStyle w:val="53"/>
        <w:spacing w:line="560" w:lineRule="exact"/>
        <w:ind w:left="3" w:right="3" w:firstLine="560"/>
      </w:pPr>
      <w:r>
        <w:t>（1）绩效自评指标体系</w:t>
      </w:r>
    </w:p>
    <w:p w14:paraId="505E9F8F">
      <w:pPr>
        <w:pStyle w:val="53"/>
        <w:spacing w:line="560" w:lineRule="exact"/>
        <w:ind w:left="3" w:right="3" w:firstLine="560"/>
      </w:pPr>
      <w:r>
        <w:t>按照《自治区财政专项扶贫资金绩效管理操作指南》（新财预〔2019〕170号）文件要求，并根据项目各项指标重要程度确定二级指标的分值，并对核心指标赋予更高的权重。其中：数量指标</w:t>
      </w:r>
      <w:r>
        <w:rPr>
          <w:rFonts w:hint="eastAsia"/>
          <w:lang w:val="en-US" w:eastAsia="zh-CN"/>
        </w:rPr>
        <w:t>30</w:t>
      </w:r>
      <w:r>
        <w:t>分、质量指标</w:t>
      </w:r>
      <w:r>
        <w:rPr>
          <w:rFonts w:hint="eastAsia"/>
          <w:lang w:val="en-US" w:eastAsia="zh-CN"/>
        </w:rPr>
        <w:t>5</w:t>
      </w:r>
      <w:r>
        <w:t>分，时效指标</w:t>
      </w:r>
      <w:r>
        <w:rPr>
          <w:rFonts w:hint="eastAsia"/>
          <w:lang w:val="en-US" w:eastAsia="zh-CN"/>
        </w:rPr>
        <w:t>6</w:t>
      </w:r>
      <w:r>
        <w:t>分、成本指标</w:t>
      </w:r>
      <w:r>
        <w:rPr>
          <w:rFonts w:hint="eastAsia"/>
          <w:lang w:val="en-US" w:eastAsia="zh-CN"/>
        </w:rPr>
        <w:t>9</w:t>
      </w:r>
      <w:r>
        <w:t>分、社会效益指标</w:t>
      </w:r>
      <w:r>
        <w:rPr>
          <w:rFonts w:hint="eastAsia"/>
          <w:lang w:val="en-US" w:eastAsia="zh-CN"/>
        </w:rPr>
        <w:t>30</w:t>
      </w:r>
      <w:r>
        <w:t>分、</w:t>
      </w:r>
      <w:r>
        <w:rPr>
          <w:rFonts w:hint="eastAsia"/>
        </w:rPr>
        <w:t>服务对象满意度指标</w:t>
      </w:r>
      <w:r>
        <w:t>10分、预算资金执行率10分，满分100分。</w:t>
      </w:r>
    </w:p>
    <w:p w14:paraId="57841B21">
      <w:pPr>
        <w:pStyle w:val="53"/>
        <w:spacing w:line="560" w:lineRule="exact"/>
        <w:ind w:left="3" w:right="3" w:firstLine="560"/>
      </w:pPr>
      <w:r>
        <w:t>（2）绩效自评方法</w:t>
      </w:r>
    </w:p>
    <w:p w14:paraId="2D1261B5">
      <w:pPr>
        <w:pStyle w:val="53"/>
        <w:spacing w:line="560" w:lineRule="exact"/>
        <w:ind w:left="3" w:right="3" w:firstLine="560"/>
      </w:pPr>
      <w:r>
        <w:t>本次绩效自评采用比较法和综合分析法对项目资金的使用管理、项目产出、综合效益等进行评价。</w:t>
      </w:r>
    </w:p>
    <w:p w14:paraId="778BAEC7">
      <w:pPr>
        <w:pStyle w:val="53"/>
        <w:spacing w:line="560" w:lineRule="exact"/>
        <w:ind w:left="3" w:right="3" w:firstLine="560"/>
      </w:pPr>
      <w:r>
        <w:t>（3）绩效自评标准</w:t>
      </w:r>
    </w:p>
    <w:p w14:paraId="3D5E1778">
      <w:pPr>
        <w:pStyle w:val="53"/>
        <w:spacing w:line="560" w:lineRule="exact"/>
        <w:ind w:left="3" w:right="3" w:firstLine="560"/>
      </w:pPr>
      <w: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4E2DFA9E">
      <w:pPr>
        <w:pStyle w:val="53"/>
        <w:spacing w:line="560" w:lineRule="exact"/>
        <w:ind w:left="3" w:right="3" w:firstLine="560"/>
      </w:pPr>
      <w:r>
        <w:t>（4）绩效自评等级</w:t>
      </w:r>
    </w:p>
    <w:p w14:paraId="7523E4E0">
      <w:pPr>
        <w:pStyle w:val="53"/>
        <w:spacing w:line="560" w:lineRule="exact"/>
        <w:ind w:left="3" w:right="3" w:firstLine="560"/>
      </w:pPr>
      <w:r>
        <w:t>绩效自评总分值100分，根据评分结果，90（含）-100分为优、80（含）-90分为良、60（含）-80分为中、60分以下为差。</w:t>
      </w:r>
    </w:p>
    <w:p w14:paraId="73C1DD68">
      <w:pPr>
        <w:pStyle w:val="30"/>
        <w:spacing w:before="120"/>
        <w:ind w:leftChars="0" w:right="3" w:firstLine="562" w:firstLineChars="200"/>
      </w:pPr>
      <w:r>
        <w:rPr>
          <w:rFonts w:hint="eastAsia"/>
        </w:rPr>
        <w:t>三、绩效目标自评完成情况分析</w:t>
      </w:r>
    </w:p>
    <w:p w14:paraId="245D5ED7">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（一）资金投入情况分析</w:t>
      </w:r>
    </w:p>
    <w:p w14:paraId="4EF98A14">
      <w:pPr>
        <w:pStyle w:val="34"/>
      </w:pPr>
      <w:r>
        <w:rPr>
          <w:rFonts w:hint="eastAsia"/>
        </w:rPr>
        <w:t>1.项目资金到位情况分析</w:t>
      </w:r>
    </w:p>
    <w:p w14:paraId="092B1623">
      <w:pPr>
        <w:pStyle w:val="53"/>
        <w:spacing w:line="560" w:lineRule="exact"/>
        <w:ind w:left="0" w:leftChars="0" w:right="3" w:firstLine="560"/>
        <w:rPr>
          <w:rFonts w:hint="eastAsia"/>
          <w:lang w:val="en-US" w:eastAsia="zh-CN"/>
        </w:rPr>
      </w:pPr>
      <w:r>
        <w:rPr>
          <w:rFonts w:hint="eastAsia"/>
          <w:lang w:val="en-US" w:eastAsia="zh-CN"/>
        </w:rPr>
        <w:t>于田县阿热勒乡1000亩地红柳肉苁蓉种植项目</w:t>
      </w:r>
      <w:r>
        <w:rPr>
          <w:rFonts w:hint="eastAsia"/>
        </w:rPr>
        <w:t>预算安排总额为</w:t>
      </w:r>
      <w:r>
        <w:rPr>
          <w:rFonts w:hint="eastAsia"/>
          <w:lang w:val="en-US" w:eastAsia="zh-CN"/>
        </w:rPr>
        <w:t>300万元，其中：乡村振兴衔接资金300万元。预算资金到位率为100.00%。</w:t>
      </w:r>
    </w:p>
    <w:p w14:paraId="11BEE088">
      <w:pPr>
        <w:pStyle w:val="53"/>
        <w:spacing w:line="560" w:lineRule="exact"/>
        <w:ind w:left="0" w:leftChars="0" w:right="3" w:firstLine="562"/>
        <w:rPr>
          <w:b/>
        </w:rPr>
      </w:pPr>
      <w:r>
        <w:rPr>
          <w:rFonts w:hint="eastAsia"/>
          <w:b/>
        </w:rPr>
        <w:t>2.项目资金执行情况分析</w:t>
      </w:r>
    </w:p>
    <w:p w14:paraId="54F3A9B3">
      <w:pPr>
        <w:pStyle w:val="53"/>
        <w:spacing w:line="560" w:lineRule="exact"/>
        <w:ind w:left="0" w:leftChars="0" w:right="3" w:firstLine="560"/>
        <w:rPr>
          <w:rFonts w:hint="eastAsia"/>
          <w:lang w:val="en-US" w:eastAsia="zh-CN"/>
        </w:rPr>
      </w:pPr>
      <w:r>
        <w:rPr>
          <w:rFonts w:hint="eastAsia"/>
          <w:lang w:val="en-US" w:eastAsia="zh-CN"/>
        </w:rPr>
        <w:t>于田县阿热勒乡1000亩地红柳肉苁蓉种植项目，</w:t>
      </w:r>
      <w:r>
        <w:rPr>
          <w:rFonts w:hint="eastAsia"/>
        </w:rPr>
        <w:t>预算投入资金</w:t>
      </w:r>
      <w:r>
        <w:rPr>
          <w:rFonts w:hint="eastAsia"/>
          <w:lang w:val="en-US" w:eastAsia="zh-CN"/>
        </w:rPr>
        <w:t>300万元，经财务决算，项目实际完成投资共299.69万元，其中：工程费用247.48万元，工程建设其他费用 52.21万元；实际工程节概资金0.31万元。截至2024年12月31日，项目实际支出299.69万元，预算资金执行率99.90%。</w:t>
      </w:r>
    </w:p>
    <w:p w14:paraId="6C48FA51">
      <w:pPr>
        <w:pStyle w:val="34"/>
        <w:rPr>
          <w:b/>
          <w:bCs w:val="0"/>
        </w:rPr>
      </w:pPr>
      <w:r>
        <w:rPr>
          <w:rFonts w:hint="eastAsia"/>
          <w:b/>
          <w:bCs w:val="0"/>
        </w:rPr>
        <w:t>3.项目资金管理情况分析</w:t>
      </w:r>
    </w:p>
    <w:p w14:paraId="66FA3C27">
      <w:pPr>
        <w:pStyle w:val="53"/>
        <w:spacing w:line="560" w:lineRule="exact"/>
        <w:ind w:left="0" w:leftChars="0" w:right="3" w:firstLine="560"/>
      </w:pPr>
      <w: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0CE3B718">
      <w:pPr>
        <w:pStyle w:val="53"/>
        <w:spacing w:line="560" w:lineRule="exact"/>
        <w:ind w:leftChars="0" w:right="3" w:firstLine="562"/>
        <w:rPr>
          <w:b/>
        </w:rPr>
      </w:pPr>
      <w:r>
        <w:rPr>
          <w:rFonts w:hint="eastAsia"/>
          <w:b/>
        </w:rPr>
        <w:t>4.项目管理情况分析</w:t>
      </w:r>
    </w:p>
    <w:p w14:paraId="4455BB3F">
      <w:pPr>
        <w:pStyle w:val="53"/>
        <w:spacing w:line="580" w:lineRule="exact"/>
        <w:ind w:left="0" w:leftChars="0" w:right="3" w:firstLine="560"/>
      </w:pPr>
      <w:r>
        <w:rPr>
          <w:rFonts w:hint="eastAsia"/>
        </w:rPr>
        <w:t>在项目实施中，</w:t>
      </w:r>
      <w:r>
        <w:rPr>
          <w:rFonts w:hint="eastAsia"/>
          <w:lang w:val="en-US" w:eastAsia="zh-CN"/>
        </w:rPr>
        <w:t>于田县阿热勒乡人民政府</w:t>
      </w:r>
      <w:r>
        <w:rPr>
          <w:rFonts w:hint="eastAsia"/>
        </w:rPr>
        <w:t>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1EB2A922">
      <w:pPr>
        <w:spacing w:line="58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（二）绩效目标完成情况分析</w:t>
      </w:r>
    </w:p>
    <w:p w14:paraId="53E67CEB">
      <w:pPr>
        <w:pStyle w:val="53"/>
        <w:spacing w:line="560" w:lineRule="exact"/>
        <w:ind w:left="3" w:right="3" w:firstLine="560"/>
        <w:rPr>
          <w:rFonts w:hint="eastAsia" w:ascii="仿宋_GB2312"/>
          <w:szCs w:val="32"/>
        </w:rPr>
      </w:pPr>
      <w:r>
        <w:rPr>
          <w:rFonts w:hint="eastAsia" w:ascii="仿宋_GB2312"/>
          <w:szCs w:val="32"/>
        </w:rPr>
        <w:t>本项目在</w:t>
      </w:r>
      <w:r>
        <w:rPr>
          <w:rFonts w:hint="eastAsia" w:ascii="仿宋_GB2312"/>
          <w:szCs w:val="32"/>
          <w:lang w:val="en-US" w:eastAsia="zh-CN"/>
        </w:rPr>
        <w:t>2024年</w:t>
      </w:r>
      <w:r>
        <w:rPr>
          <w:rFonts w:hint="eastAsia" w:ascii="仿宋_GB2312"/>
          <w:szCs w:val="32"/>
        </w:rPr>
        <w:t>截止1</w:t>
      </w:r>
      <w:r>
        <w:rPr>
          <w:rFonts w:hint="eastAsia" w:ascii="仿宋_GB2312"/>
          <w:szCs w:val="32"/>
          <w:lang w:val="en-US" w:eastAsia="zh-CN"/>
        </w:rPr>
        <w:t>2</w:t>
      </w:r>
      <w:r>
        <w:rPr>
          <w:rFonts w:hint="eastAsia" w:ascii="仿宋_GB2312"/>
          <w:szCs w:val="32"/>
        </w:rPr>
        <w:t>月底，工</w:t>
      </w:r>
      <w:r>
        <w:rPr>
          <w:rFonts w:hint="eastAsia" w:ascii="仿宋_GB2312"/>
          <w:color w:val="000000" w:themeColor="text1"/>
          <w:szCs w:val="32"/>
          <w14:textFill>
            <w14:solidFill>
              <w14:schemeClr w14:val="tx1"/>
            </w14:solidFill>
          </w14:textFill>
        </w:rPr>
        <w:t>程实际</w:t>
      </w:r>
      <w:r>
        <w:rPr>
          <w:rFonts w:hint="eastAsia" w:ascii="仿宋_GB2312"/>
          <w:szCs w:val="32"/>
        </w:rPr>
        <w:t>完成土地平整1000亩，种植沟修整，红柳定植1000亩，红柳肉种植，种植株距为1米，行距为3.0米，种植红柳30万株;新建引水渠道30.00米，渠道的设计流量0.5米/s，渠道配套渠系建筑物1座(分水闸);新建20*60*2.50沉砂池1座，池容量为3000.00m;吊装房泵房一栋;新建1个灌溉系统建设内容为:新建PVC-M250，0.4MPa地埋干管2895.27米，新建PVC-M160，0.40MPa地埋支管4489.284米，控制阀井4座，排水阀井5座，镇墩62座:新建PE-90，0.25MPa地面管9825.29米;穿越工程中400钢管40米;新建4.00米宽砂砾石道2547.48米;架设10kv输电线路0.72千米，架设380v电力线0.25千米;安装10KV电力变压器，容量150KVA，S13型及附属电力设备1套</w:t>
      </w:r>
      <w:r>
        <w:rPr>
          <w:rFonts w:hint="eastAsia" w:ascii="仿宋_GB2312"/>
          <w:szCs w:val="32"/>
          <w:lang w:eastAsia="zh-CN"/>
        </w:rPr>
        <w:t>。</w:t>
      </w:r>
      <w:r>
        <w:rPr>
          <w:rFonts w:hint="eastAsia" w:ascii="仿宋_GB2312"/>
          <w:szCs w:val="32"/>
        </w:rPr>
        <w:t>该工程已完成竣工验收，资产</w:t>
      </w:r>
      <w:r>
        <w:rPr>
          <w:rFonts w:hint="eastAsia" w:ascii="仿宋_GB2312"/>
          <w:szCs w:val="32"/>
          <w:lang w:val="en-US" w:eastAsia="zh-CN"/>
        </w:rPr>
        <w:t>由于田县阿热勒乡人民政府</w:t>
      </w:r>
      <w:r>
        <w:rPr>
          <w:rFonts w:hint="eastAsia" w:ascii="仿宋_GB2312"/>
          <w:szCs w:val="32"/>
        </w:rPr>
        <w:t>负责运行，维护。本项目共设置一级指标3个，二级指标</w:t>
      </w:r>
      <w:r>
        <w:rPr>
          <w:rFonts w:hint="eastAsia" w:ascii="仿宋_GB2312"/>
          <w:szCs w:val="32"/>
          <w:lang w:val="en-US" w:eastAsia="zh-CN"/>
        </w:rPr>
        <w:t>6</w:t>
      </w:r>
      <w:r>
        <w:rPr>
          <w:rFonts w:hint="eastAsia" w:ascii="仿宋_GB2312"/>
          <w:szCs w:val="32"/>
        </w:rPr>
        <w:t>个，三级指标</w:t>
      </w:r>
      <w:r>
        <w:rPr>
          <w:rFonts w:hint="eastAsia" w:ascii="仿宋_GB2312"/>
          <w:szCs w:val="32"/>
          <w:lang w:val="en-US" w:eastAsia="zh-CN"/>
        </w:rPr>
        <w:t>21</w:t>
      </w:r>
      <w:r>
        <w:rPr>
          <w:rFonts w:hint="eastAsia" w:ascii="仿宋_GB2312"/>
          <w:szCs w:val="32"/>
        </w:rPr>
        <w:t>个，其中已完成三级指标</w:t>
      </w:r>
      <w:r>
        <w:rPr>
          <w:rFonts w:hint="eastAsia" w:ascii="仿宋_GB2312"/>
          <w:szCs w:val="32"/>
          <w:lang w:val="en-US" w:eastAsia="zh-CN"/>
        </w:rPr>
        <w:t>17</w:t>
      </w:r>
      <w:r>
        <w:rPr>
          <w:rFonts w:hint="eastAsia" w:ascii="仿宋_GB2312"/>
          <w:szCs w:val="32"/>
        </w:rPr>
        <w:t>个，指标完成率为</w:t>
      </w:r>
      <w:r>
        <w:rPr>
          <w:rFonts w:hint="eastAsia" w:ascii="仿宋_GB2312"/>
          <w:szCs w:val="32"/>
          <w:lang w:val="en-US" w:eastAsia="zh-CN"/>
        </w:rPr>
        <w:t>96.58</w:t>
      </w:r>
      <w:r>
        <w:rPr>
          <w:rFonts w:hint="eastAsia" w:ascii="仿宋_GB2312"/>
          <w:szCs w:val="32"/>
        </w:rPr>
        <w:t>%，指标完成情况分析如下：</w:t>
      </w:r>
    </w:p>
    <w:p w14:paraId="6F2AACC9">
      <w:pPr>
        <w:pStyle w:val="53"/>
        <w:spacing w:line="580" w:lineRule="exact"/>
        <w:ind w:left="0" w:leftChars="0" w:right="0" w:rightChars="0" w:firstLine="562"/>
        <w:rPr>
          <w:b/>
        </w:rPr>
      </w:pPr>
      <w:r>
        <w:rPr>
          <w:rFonts w:hint="eastAsia"/>
          <w:b/>
        </w:rPr>
        <w:t>1.产出指标完成情况分析</w:t>
      </w:r>
    </w:p>
    <w:p w14:paraId="131E2865">
      <w:pPr>
        <w:pStyle w:val="53"/>
        <w:spacing w:line="580" w:lineRule="exact"/>
        <w:ind w:left="0" w:leftChars="0" w:right="0" w:rightChars="0" w:firstLine="560"/>
        <w:rPr>
          <w:rFonts w:ascii="仿宋_GB2312"/>
        </w:rPr>
      </w:pPr>
      <w:r>
        <w:rPr>
          <w:rFonts w:hint="eastAsia" w:ascii="仿宋_GB2312"/>
        </w:rPr>
        <w:t>1.1项目完成数量</w:t>
      </w:r>
    </w:p>
    <w:p w14:paraId="110E896E">
      <w:pPr>
        <w:pStyle w:val="53"/>
        <w:spacing w:line="560" w:lineRule="exact"/>
        <w:ind w:left="0" w:leftChars="0" w:right="0" w:rightChars="0" w:firstLine="560"/>
        <w:rPr>
          <w:rFonts w:hint="eastAsia"/>
        </w:rPr>
      </w:pPr>
      <w:r>
        <w:rPr>
          <w:rFonts w:hint="eastAsia"/>
        </w:rPr>
        <w:t>“</w:t>
      </w:r>
      <w:r>
        <w:rPr>
          <w:rFonts w:hint="eastAsia"/>
          <w:lang w:val="en-US" w:eastAsia="zh-CN"/>
        </w:rPr>
        <w:t>土地平整面积</w:t>
      </w:r>
      <w:r>
        <w:rPr>
          <w:rFonts w:hint="eastAsia"/>
        </w:rPr>
        <w:t>”指标，预期指标值为</w:t>
      </w:r>
      <w:r>
        <w:rPr>
          <w:rFonts w:hint="eastAsia"/>
          <w:lang w:eastAsia="zh-CN"/>
        </w:rPr>
        <w:t>大于等于</w:t>
      </w:r>
      <w:r>
        <w:rPr>
          <w:rFonts w:hint="eastAsia"/>
          <w:lang w:val="en-US" w:eastAsia="zh-CN"/>
        </w:rPr>
        <w:t>1000亩</w:t>
      </w:r>
      <w:r>
        <w:rPr>
          <w:rFonts w:hint="eastAsia"/>
        </w:rPr>
        <w:t>,全年实际值为</w:t>
      </w:r>
      <w:r>
        <w:rPr>
          <w:rFonts w:hint="eastAsia"/>
          <w:lang w:val="en-US" w:eastAsia="zh-CN"/>
        </w:rPr>
        <w:t>1000亩</w:t>
      </w:r>
      <w:r>
        <w:rPr>
          <w:rFonts w:hint="eastAsia"/>
        </w:rPr>
        <w:t>，指标完成率为100.00%。所设分值</w:t>
      </w:r>
      <w:r>
        <w:rPr>
          <w:rFonts w:hint="eastAsia"/>
          <w:lang w:val="en-US" w:eastAsia="zh-CN"/>
        </w:rPr>
        <w:t>3</w:t>
      </w:r>
      <w:r>
        <w:rPr>
          <w:rFonts w:hint="eastAsia"/>
        </w:rPr>
        <w:t>分，实际得分</w:t>
      </w:r>
      <w:r>
        <w:rPr>
          <w:rFonts w:hint="eastAsia"/>
          <w:lang w:val="en-US" w:eastAsia="zh-CN"/>
        </w:rPr>
        <w:t>3</w:t>
      </w:r>
      <w:r>
        <w:rPr>
          <w:rFonts w:hint="eastAsia"/>
        </w:rPr>
        <w:t>分。</w:t>
      </w:r>
    </w:p>
    <w:p w14:paraId="44B3F4D9">
      <w:pPr>
        <w:pStyle w:val="53"/>
        <w:spacing w:line="560" w:lineRule="exact"/>
        <w:ind w:left="0" w:leftChars="0" w:right="0" w:rightChars="0" w:firstLine="560"/>
        <w:rPr>
          <w:rFonts w:hint="eastAsia"/>
        </w:rPr>
      </w:pPr>
      <w:r>
        <w:rPr>
          <w:rFonts w:hint="eastAsia"/>
        </w:rPr>
        <w:t>“</w:t>
      </w:r>
      <w:r>
        <w:rPr>
          <w:rFonts w:hint="eastAsia"/>
          <w:lang w:val="en-US" w:eastAsia="zh-CN"/>
        </w:rPr>
        <w:t>红柳定植面积</w:t>
      </w:r>
      <w:r>
        <w:rPr>
          <w:rFonts w:hint="eastAsia"/>
        </w:rPr>
        <w:t>”指标，预期指标值为</w:t>
      </w:r>
      <w:r>
        <w:rPr>
          <w:rFonts w:hint="eastAsia"/>
          <w:lang w:eastAsia="zh-CN"/>
        </w:rPr>
        <w:t>大于等于</w:t>
      </w:r>
      <w:r>
        <w:rPr>
          <w:rFonts w:hint="eastAsia"/>
          <w:lang w:val="en-US" w:eastAsia="zh-CN"/>
        </w:rPr>
        <w:t>1000亩，</w:t>
      </w:r>
      <w:r>
        <w:rPr>
          <w:rFonts w:hint="eastAsia"/>
        </w:rPr>
        <w:t>全年实际值为</w:t>
      </w:r>
      <w:r>
        <w:rPr>
          <w:rFonts w:hint="eastAsia"/>
          <w:lang w:val="en-US" w:eastAsia="zh-CN"/>
        </w:rPr>
        <w:t>1000亩</w:t>
      </w:r>
      <w:r>
        <w:rPr>
          <w:rFonts w:hint="eastAsia"/>
        </w:rPr>
        <w:t>，指标完成率为100.00%。所设分值</w:t>
      </w:r>
      <w:r>
        <w:rPr>
          <w:rFonts w:hint="eastAsia"/>
          <w:lang w:val="en-US" w:eastAsia="zh-CN"/>
        </w:rPr>
        <w:t>3</w:t>
      </w:r>
      <w:r>
        <w:rPr>
          <w:rFonts w:hint="eastAsia"/>
        </w:rPr>
        <w:t>分，实际得分</w:t>
      </w:r>
      <w:r>
        <w:rPr>
          <w:rFonts w:hint="eastAsia"/>
          <w:lang w:val="en-US" w:eastAsia="zh-CN"/>
        </w:rPr>
        <w:t>3</w:t>
      </w:r>
      <w:r>
        <w:rPr>
          <w:rFonts w:hint="eastAsia"/>
        </w:rPr>
        <w:t>分。</w:t>
      </w:r>
    </w:p>
    <w:p w14:paraId="592E07CC">
      <w:pPr>
        <w:pStyle w:val="53"/>
        <w:spacing w:line="560" w:lineRule="exact"/>
        <w:ind w:left="0" w:leftChars="0" w:right="0" w:rightChars="0" w:firstLine="560"/>
        <w:rPr>
          <w:rFonts w:hint="eastAsia"/>
          <w:lang w:eastAsia="zh-CN"/>
        </w:rPr>
      </w:pPr>
      <w:r>
        <w:rPr>
          <w:rFonts w:hint="eastAsia"/>
        </w:rPr>
        <w:t>“</w:t>
      </w:r>
      <w:r>
        <w:rPr>
          <w:rFonts w:hint="eastAsia"/>
          <w:lang w:val="en-US" w:eastAsia="zh-CN"/>
        </w:rPr>
        <w:t>种植红柳数量</w:t>
      </w:r>
      <w:r>
        <w:rPr>
          <w:rFonts w:hint="eastAsia"/>
        </w:rPr>
        <w:t>”指标，预期指标值为</w:t>
      </w:r>
      <w:r>
        <w:rPr>
          <w:rFonts w:hint="eastAsia"/>
          <w:lang w:eastAsia="zh-CN"/>
        </w:rPr>
        <w:t>大于等于</w:t>
      </w:r>
      <w:r>
        <w:rPr>
          <w:rFonts w:hint="eastAsia"/>
          <w:lang w:val="en-US" w:eastAsia="zh-CN"/>
        </w:rPr>
        <w:t>30万株，</w:t>
      </w:r>
      <w:r>
        <w:rPr>
          <w:rFonts w:hint="eastAsia"/>
        </w:rPr>
        <w:t>全年实际值为</w:t>
      </w:r>
      <w:r>
        <w:rPr>
          <w:rFonts w:hint="eastAsia"/>
          <w:lang w:val="en-US" w:eastAsia="zh-CN"/>
        </w:rPr>
        <w:t>30万株</w:t>
      </w:r>
      <w:r>
        <w:rPr>
          <w:rFonts w:hint="eastAsia"/>
        </w:rPr>
        <w:t>，指标完成率为100.00%。所设分值</w:t>
      </w:r>
      <w:r>
        <w:rPr>
          <w:rFonts w:hint="eastAsia"/>
          <w:lang w:val="en-US" w:eastAsia="zh-CN"/>
        </w:rPr>
        <w:t>3</w:t>
      </w:r>
      <w:r>
        <w:rPr>
          <w:rFonts w:hint="eastAsia"/>
        </w:rPr>
        <w:t>分，实际得分</w:t>
      </w:r>
      <w:r>
        <w:rPr>
          <w:rFonts w:hint="eastAsia"/>
          <w:lang w:val="en-US" w:eastAsia="zh-CN"/>
        </w:rPr>
        <w:t>3</w:t>
      </w:r>
      <w:r>
        <w:rPr>
          <w:rFonts w:hint="eastAsia"/>
        </w:rPr>
        <w:t>分。</w:t>
      </w:r>
    </w:p>
    <w:p w14:paraId="630D0A67">
      <w:pPr>
        <w:pStyle w:val="53"/>
        <w:spacing w:line="560" w:lineRule="exact"/>
        <w:ind w:left="0" w:leftChars="0" w:right="0" w:rightChars="0" w:firstLine="560"/>
        <w:rPr>
          <w:rFonts w:hint="eastAsia"/>
          <w:lang w:eastAsia="zh-CN"/>
        </w:rPr>
      </w:pPr>
      <w:r>
        <w:rPr>
          <w:rFonts w:hint="eastAsia"/>
        </w:rPr>
        <w:t>“</w:t>
      </w:r>
      <w:r>
        <w:rPr>
          <w:rFonts w:hint="eastAsia"/>
          <w:lang w:val="en-US" w:eastAsia="zh-CN"/>
        </w:rPr>
        <w:t>新建引水渠</w:t>
      </w:r>
      <w:r>
        <w:rPr>
          <w:rFonts w:hint="eastAsia"/>
        </w:rPr>
        <w:t>”指标，预期指标值为</w:t>
      </w:r>
      <w:r>
        <w:rPr>
          <w:rFonts w:hint="eastAsia"/>
          <w:lang w:eastAsia="zh-CN"/>
        </w:rPr>
        <w:t>大于等于</w:t>
      </w:r>
      <w:r>
        <w:rPr>
          <w:rFonts w:hint="eastAsia"/>
          <w:lang w:val="en-US" w:eastAsia="zh-CN"/>
        </w:rPr>
        <w:t>30米，</w:t>
      </w:r>
      <w:r>
        <w:rPr>
          <w:rFonts w:hint="eastAsia"/>
        </w:rPr>
        <w:t>全年实际值为</w:t>
      </w:r>
      <w:r>
        <w:rPr>
          <w:rFonts w:hint="eastAsia"/>
          <w:lang w:val="en-US" w:eastAsia="zh-CN"/>
        </w:rPr>
        <w:t>30米</w:t>
      </w:r>
      <w:r>
        <w:rPr>
          <w:rFonts w:hint="eastAsia"/>
        </w:rPr>
        <w:t>，指标完成率为100.00%。所设分值</w:t>
      </w:r>
      <w:r>
        <w:rPr>
          <w:rFonts w:hint="eastAsia"/>
          <w:lang w:val="en-US" w:eastAsia="zh-CN"/>
        </w:rPr>
        <w:t>3</w:t>
      </w:r>
      <w:r>
        <w:rPr>
          <w:rFonts w:hint="eastAsia"/>
        </w:rPr>
        <w:t>分，实际得分</w:t>
      </w:r>
      <w:r>
        <w:rPr>
          <w:rFonts w:hint="eastAsia"/>
          <w:lang w:val="en-US" w:eastAsia="zh-CN"/>
        </w:rPr>
        <w:t>3</w:t>
      </w:r>
      <w:r>
        <w:rPr>
          <w:rFonts w:hint="eastAsia"/>
        </w:rPr>
        <w:t>分。</w:t>
      </w:r>
    </w:p>
    <w:p w14:paraId="4E6B1476">
      <w:pPr>
        <w:pStyle w:val="53"/>
        <w:spacing w:line="560" w:lineRule="exact"/>
        <w:ind w:left="0" w:leftChars="0" w:right="0" w:rightChars="0" w:firstLine="560"/>
        <w:rPr>
          <w:rFonts w:hint="eastAsia"/>
          <w:lang w:eastAsia="zh-CN"/>
        </w:rPr>
      </w:pPr>
      <w:r>
        <w:rPr>
          <w:rFonts w:hint="eastAsia"/>
        </w:rPr>
        <w:t>“</w:t>
      </w:r>
      <w:r>
        <w:rPr>
          <w:rFonts w:hint="eastAsia"/>
          <w:lang w:val="en-US" w:eastAsia="zh-CN"/>
        </w:rPr>
        <w:t>新建沉沙池</w:t>
      </w:r>
      <w:r>
        <w:rPr>
          <w:rFonts w:hint="eastAsia"/>
        </w:rPr>
        <w:t>”指标，预期指标值为</w:t>
      </w:r>
      <w:r>
        <w:rPr>
          <w:rFonts w:hint="eastAsia"/>
          <w:lang w:eastAsia="zh-CN"/>
        </w:rPr>
        <w:t>大于等于</w:t>
      </w:r>
      <w:r>
        <w:rPr>
          <w:rFonts w:hint="eastAsia"/>
          <w:lang w:val="en-US" w:eastAsia="zh-CN"/>
        </w:rPr>
        <w:t>1座，</w:t>
      </w:r>
      <w:r>
        <w:rPr>
          <w:rFonts w:hint="eastAsia"/>
        </w:rPr>
        <w:t>全年实际值为</w:t>
      </w:r>
      <w:r>
        <w:rPr>
          <w:rFonts w:hint="eastAsia"/>
          <w:lang w:val="en-US" w:eastAsia="zh-CN"/>
        </w:rPr>
        <w:t>1座</w:t>
      </w:r>
      <w:r>
        <w:rPr>
          <w:rFonts w:hint="eastAsia"/>
        </w:rPr>
        <w:t>，指标完成率为100.00%。所设分值</w:t>
      </w:r>
      <w:r>
        <w:rPr>
          <w:rFonts w:hint="eastAsia"/>
          <w:lang w:val="en-US" w:eastAsia="zh-CN"/>
        </w:rPr>
        <w:t>3</w:t>
      </w:r>
      <w:r>
        <w:rPr>
          <w:rFonts w:hint="eastAsia"/>
        </w:rPr>
        <w:t>分，实际得分</w:t>
      </w:r>
      <w:r>
        <w:rPr>
          <w:rFonts w:hint="eastAsia"/>
          <w:lang w:val="en-US" w:eastAsia="zh-CN"/>
        </w:rPr>
        <w:t>3</w:t>
      </w:r>
      <w:r>
        <w:rPr>
          <w:rFonts w:hint="eastAsia"/>
        </w:rPr>
        <w:t>分。</w:t>
      </w:r>
    </w:p>
    <w:p w14:paraId="7B3BD1B4">
      <w:pPr>
        <w:pStyle w:val="53"/>
        <w:spacing w:line="560" w:lineRule="exact"/>
        <w:ind w:left="0" w:leftChars="0" w:right="0" w:rightChars="0" w:firstLine="560"/>
        <w:rPr>
          <w:rFonts w:hint="eastAsia"/>
          <w:lang w:eastAsia="zh-CN"/>
        </w:rPr>
      </w:pPr>
      <w:r>
        <w:rPr>
          <w:rFonts w:hint="eastAsia"/>
        </w:rPr>
        <w:t>“</w:t>
      </w:r>
      <w:r>
        <w:rPr>
          <w:rFonts w:hint="eastAsia"/>
          <w:lang w:val="en-US" w:eastAsia="zh-CN"/>
        </w:rPr>
        <w:t>新建吊装房泵房</w:t>
      </w:r>
      <w:r>
        <w:rPr>
          <w:rFonts w:hint="eastAsia"/>
        </w:rPr>
        <w:t>”指标，预期指标值为</w:t>
      </w:r>
      <w:r>
        <w:rPr>
          <w:rFonts w:hint="eastAsia"/>
          <w:lang w:eastAsia="zh-CN"/>
        </w:rPr>
        <w:t>大于等于</w:t>
      </w:r>
      <w:r>
        <w:rPr>
          <w:rFonts w:hint="eastAsia"/>
          <w:lang w:val="en-US" w:eastAsia="zh-CN"/>
        </w:rPr>
        <w:t>1栋，</w:t>
      </w:r>
      <w:r>
        <w:rPr>
          <w:rFonts w:hint="eastAsia"/>
        </w:rPr>
        <w:t>全年实际值为</w:t>
      </w:r>
      <w:r>
        <w:rPr>
          <w:rFonts w:hint="eastAsia"/>
          <w:lang w:val="en-US" w:eastAsia="zh-CN"/>
        </w:rPr>
        <w:t>1栋</w:t>
      </w:r>
      <w:r>
        <w:rPr>
          <w:rFonts w:hint="eastAsia"/>
        </w:rPr>
        <w:t>，指标完成率为100.00%。所设分值</w:t>
      </w:r>
      <w:r>
        <w:rPr>
          <w:rFonts w:hint="eastAsia"/>
          <w:lang w:val="en-US" w:eastAsia="zh-CN"/>
        </w:rPr>
        <w:t>3</w:t>
      </w:r>
      <w:r>
        <w:rPr>
          <w:rFonts w:hint="eastAsia"/>
        </w:rPr>
        <w:t>分，实际得分</w:t>
      </w:r>
      <w:r>
        <w:rPr>
          <w:rFonts w:hint="eastAsia"/>
          <w:lang w:val="en-US" w:eastAsia="zh-CN"/>
        </w:rPr>
        <w:t>3</w:t>
      </w:r>
      <w:r>
        <w:rPr>
          <w:rFonts w:hint="eastAsia"/>
        </w:rPr>
        <w:t>分。</w:t>
      </w:r>
    </w:p>
    <w:p w14:paraId="6E270A59">
      <w:pPr>
        <w:pStyle w:val="53"/>
        <w:spacing w:line="560" w:lineRule="exact"/>
        <w:ind w:left="0" w:leftChars="0" w:right="0" w:rightChars="0" w:firstLine="560"/>
        <w:rPr>
          <w:rFonts w:hint="eastAsia"/>
        </w:rPr>
      </w:pPr>
      <w:r>
        <w:rPr>
          <w:rFonts w:hint="eastAsia"/>
        </w:rPr>
        <w:t>“</w:t>
      </w:r>
      <w:r>
        <w:rPr>
          <w:rFonts w:hint="eastAsia"/>
          <w:lang w:val="en-US" w:eastAsia="zh-CN"/>
        </w:rPr>
        <w:t>新建灌溉系统</w:t>
      </w:r>
      <w:r>
        <w:rPr>
          <w:rFonts w:hint="eastAsia"/>
        </w:rPr>
        <w:t>”指标，预期指标值为</w:t>
      </w:r>
      <w:r>
        <w:rPr>
          <w:rFonts w:hint="eastAsia"/>
          <w:lang w:eastAsia="zh-CN"/>
        </w:rPr>
        <w:t>大于等于</w:t>
      </w:r>
      <w:r>
        <w:rPr>
          <w:rFonts w:hint="eastAsia"/>
          <w:lang w:val="en-US" w:eastAsia="zh-CN"/>
        </w:rPr>
        <w:t>1个，</w:t>
      </w:r>
      <w:r>
        <w:rPr>
          <w:rFonts w:hint="eastAsia"/>
        </w:rPr>
        <w:t>全年实际值为</w:t>
      </w:r>
      <w:r>
        <w:rPr>
          <w:rFonts w:hint="eastAsia"/>
          <w:lang w:val="en-US" w:eastAsia="zh-CN"/>
        </w:rPr>
        <w:t>1个</w:t>
      </w:r>
      <w:r>
        <w:rPr>
          <w:rFonts w:hint="eastAsia"/>
        </w:rPr>
        <w:t>，指标完成率为100.00%。所设分值</w:t>
      </w:r>
      <w:r>
        <w:rPr>
          <w:rFonts w:hint="eastAsia"/>
          <w:lang w:val="en-US" w:eastAsia="zh-CN"/>
        </w:rPr>
        <w:t>3</w:t>
      </w:r>
      <w:r>
        <w:rPr>
          <w:rFonts w:hint="eastAsia"/>
        </w:rPr>
        <w:t>分，实际得分</w:t>
      </w:r>
      <w:r>
        <w:rPr>
          <w:rFonts w:hint="eastAsia"/>
          <w:lang w:val="en-US" w:eastAsia="zh-CN"/>
        </w:rPr>
        <w:t>3</w:t>
      </w:r>
      <w:r>
        <w:rPr>
          <w:rFonts w:hint="eastAsia"/>
        </w:rPr>
        <w:t>分。</w:t>
      </w:r>
    </w:p>
    <w:p w14:paraId="764EA72F">
      <w:pPr>
        <w:pStyle w:val="53"/>
        <w:spacing w:line="560" w:lineRule="exact"/>
        <w:ind w:left="0" w:leftChars="0" w:right="0" w:rightChars="0" w:firstLine="560"/>
        <w:rPr>
          <w:rFonts w:hint="eastAsia"/>
        </w:rPr>
      </w:pPr>
      <w:r>
        <w:rPr>
          <w:rFonts w:hint="eastAsia"/>
        </w:rPr>
        <w:t>“</w:t>
      </w:r>
      <w:r>
        <w:rPr>
          <w:rFonts w:hint="eastAsia"/>
          <w:lang w:val="en-US" w:eastAsia="zh-CN"/>
        </w:rPr>
        <w:t>新建砂砾石道</w:t>
      </w:r>
      <w:r>
        <w:rPr>
          <w:rFonts w:hint="eastAsia"/>
        </w:rPr>
        <w:t>”指标，预期指标值为</w:t>
      </w:r>
      <w:r>
        <w:rPr>
          <w:rFonts w:hint="eastAsia"/>
          <w:lang w:eastAsia="zh-CN"/>
        </w:rPr>
        <w:t>大于等于</w:t>
      </w:r>
      <w:r>
        <w:rPr>
          <w:rFonts w:hint="eastAsia"/>
          <w:lang w:val="en-US" w:eastAsia="zh-CN"/>
        </w:rPr>
        <w:t>2547.48米，</w:t>
      </w:r>
      <w:r>
        <w:rPr>
          <w:rFonts w:hint="eastAsia"/>
        </w:rPr>
        <w:t>全年实际值为</w:t>
      </w:r>
      <w:r>
        <w:rPr>
          <w:rFonts w:hint="eastAsia"/>
          <w:lang w:val="en-US" w:eastAsia="zh-CN"/>
        </w:rPr>
        <w:t>2547.48米</w:t>
      </w:r>
      <w:r>
        <w:rPr>
          <w:rFonts w:hint="eastAsia"/>
        </w:rPr>
        <w:t>，指标完成率为100.00%。所设分值</w:t>
      </w:r>
      <w:r>
        <w:rPr>
          <w:rFonts w:hint="eastAsia"/>
          <w:lang w:val="en-US" w:eastAsia="zh-CN"/>
        </w:rPr>
        <w:t>3</w:t>
      </w:r>
      <w:r>
        <w:rPr>
          <w:rFonts w:hint="eastAsia"/>
        </w:rPr>
        <w:t>分，实际得分</w:t>
      </w:r>
      <w:r>
        <w:rPr>
          <w:rFonts w:hint="eastAsia"/>
          <w:lang w:val="en-US" w:eastAsia="zh-CN"/>
        </w:rPr>
        <w:t>3</w:t>
      </w:r>
      <w:r>
        <w:rPr>
          <w:rFonts w:hint="eastAsia"/>
        </w:rPr>
        <w:t>分。</w:t>
      </w:r>
    </w:p>
    <w:p w14:paraId="1DFD65F8">
      <w:pPr>
        <w:pStyle w:val="53"/>
        <w:spacing w:line="560" w:lineRule="exact"/>
        <w:ind w:left="0" w:leftChars="0" w:right="0" w:rightChars="0" w:firstLine="560"/>
        <w:rPr>
          <w:rFonts w:hint="eastAsia"/>
        </w:rPr>
      </w:pPr>
      <w:r>
        <w:rPr>
          <w:rFonts w:hint="eastAsia"/>
        </w:rPr>
        <w:t>“</w:t>
      </w:r>
      <w:r>
        <w:rPr>
          <w:rFonts w:hint="eastAsia"/>
          <w:lang w:val="en-US" w:eastAsia="zh-CN"/>
        </w:rPr>
        <w:t>架设电力线</w:t>
      </w:r>
      <w:r>
        <w:rPr>
          <w:rFonts w:hint="eastAsia"/>
        </w:rPr>
        <w:t>”指标，预期指标值为</w:t>
      </w:r>
      <w:r>
        <w:rPr>
          <w:rFonts w:hint="eastAsia"/>
          <w:lang w:eastAsia="zh-CN"/>
        </w:rPr>
        <w:t>大于等于</w:t>
      </w:r>
      <w:r>
        <w:rPr>
          <w:rFonts w:hint="eastAsia"/>
          <w:lang w:val="en-US" w:eastAsia="zh-CN"/>
        </w:rPr>
        <w:t>0.97千米，</w:t>
      </w:r>
      <w:r>
        <w:rPr>
          <w:rFonts w:hint="eastAsia"/>
        </w:rPr>
        <w:t>全年实际值为</w:t>
      </w:r>
      <w:r>
        <w:rPr>
          <w:rFonts w:hint="eastAsia"/>
          <w:lang w:val="en-US" w:eastAsia="zh-CN"/>
        </w:rPr>
        <w:t>0.97千米</w:t>
      </w:r>
      <w:r>
        <w:rPr>
          <w:rFonts w:hint="eastAsia"/>
        </w:rPr>
        <w:t>，指标完成率为100.00%。所设分值</w:t>
      </w:r>
      <w:r>
        <w:rPr>
          <w:rFonts w:hint="eastAsia"/>
          <w:lang w:val="en-US" w:eastAsia="zh-CN"/>
        </w:rPr>
        <w:t>3</w:t>
      </w:r>
      <w:r>
        <w:rPr>
          <w:rFonts w:hint="eastAsia"/>
        </w:rPr>
        <w:t>分，实际得分</w:t>
      </w:r>
      <w:r>
        <w:rPr>
          <w:rFonts w:hint="eastAsia"/>
          <w:lang w:val="en-US" w:eastAsia="zh-CN"/>
        </w:rPr>
        <w:t>3</w:t>
      </w:r>
      <w:r>
        <w:rPr>
          <w:rFonts w:hint="eastAsia"/>
        </w:rPr>
        <w:t>分。</w:t>
      </w:r>
    </w:p>
    <w:p w14:paraId="2F79D14C">
      <w:pPr>
        <w:pStyle w:val="53"/>
        <w:spacing w:line="560" w:lineRule="exact"/>
        <w:ind w:left="0" w:leftChars="0" w:right="0" w:rightChars="0" w:firstLine="560"/>
        <w:rPr>
          <w:rFonts w:hint="eastAsia"/>
          <w:lang w:eastAsia="zh-CN"/>
        </w:rPr>
      </w:pPr>
      <w:r>
        <w:rPr>
          <w:rFonts w:hint="eastAsia"/>
        </w:rPr>
        <w:t>“</w:t>
      </w:r>
      <w:r>
        <w:rPr>
          <w:rFonts w:hint="eastAsia"/>
          <w:lang w:val="en-US" w:eastAsia="zh-CN"/>
        </w:rPr>
        <w:t>安装电力设备</w:t>
      </w:r>
      <w:r>
        <w:rPr>
          <w:rFonts w:hint="eastAsia"/>
        </w:rPr>
        <w:t>”指标，预期指标值为</w:t>
      </w:r>
      <w:r>
        <w:rPr>
          <w:rFonts w:hint="eastAsia"/>
          <w:lang w:eastAsia="zh-CN"/>
        </w:rPr>
        <w:t>大于等于</w:t>
      </w:r>
      <w:r>
        <w:rPr>
          <w:rFonts w:hint="eastAsia"/>
          <w:lang w:val="en-US" w:eastAsia="zh-CN"/>
        </w:rPr>
        <w:t>1套，</w:t>
      </w:r>
      <w:r>
        <w:rPr>
          <w:rFonts w:hint="eastAsia"/>
        </w:rPr>
        <w:t>全年实际值为</w:t>
      </w:r>
      <w:r>
        <w:rPr>
          <w:rFonts w:hint="eastAsia"/>
          <w:lang w:val="en-US" w:eastAsia="zh-CN"/>
        </w:rPr>
        <w:t>1套</w:t>
      </w:r>
      <w:r>
        <w:rPr>
          <w:rFonts w:hint="eastAsia"/>
        </w:rPr>
        <w:t>，指标完成率为100.00%。所设分值</w:t>
      </w:r>
      <w:r>
        <w:rPr>
          <w:rFonts w:hint="eastAsia"/>
          <w:lang w:val="en-US" w:eastAsia="zh-CN"/>
        </w:rPr>
        <w:t>3</w:t>
      </w:r>
      <w:r>
        <w:rPr>
          <w:rFonts w:hint="eastAsia"/>
        </w:rPr>
        <w:t>分，实际得分</w:t>
      </w:r>
      <w:r>
        <w:rPr>
          <w:rFonts w:hint="eastAsia"/>
          <w:lang w:val="en-US" w:eastAsia="zh-CN"/>
        </w:rPr>
        <w:t>3</w:t>
      </w:r>
      <w:r>
        <w:rPr>
          <w:rFonts w:hint="eastAsia"/>
        </w:rPr>
        <w:t>分。</w:t>
      </w:r>
    </w:p>
    <w:p w14:paraId="669C24D3">
      <w:pPr>
        <w:pStyle w:val="53"/>
        <w:spacing w:line="560" w:lineRule="exact"/>
        <w:ind w:left="0" w:leftChars="0" w:right="0" w:rightChars="0" w:firstLine="560"/>
      </w:pPr>
      <w:r>
        <w:rPr>
          <w:rFonts w:ascii="仿宋_GB2312"/>
        </w:rPr>
        <w:t>1.2项目完成质量</w:t>
      </w:r>
    </w:p>
    <w:p w14:paraId="04F407A0">
      <w:pPr>
        <w:pStyle w:val="53"/>
        <w:spacing w:line="560" w:lineRule="exact"/>
        <w:ind w:left="0" w:leftChars="0" w:right="0" w:rightChars="0" w:firstLine="560"/>
      </w:pPr>
      <w:r>
        <w:rPr>
          <w:rFonts w:hint="eastAsia"/>
        </w:rPr>
        <w:t>“项目验收合格率”指标，预期指标值为</w:t>
      </w:r>
      <w:r>
        <w:rPr>
          <w:rFonts w:hint="eastAsia"/>
          <w:lang w:eastAsia="zh-CN"/>
        </w:rPr>
        <w:t>等于</w:t>
      </w:r>
      <w:r>
        <w:rPr>
          <w:rFonts w:hint="eastAsia"/>
        </w:rPr>
        <w:t>100.00%,全年实际值为100.00%，指标完成率为100.00%。所设分值</w:t>
      </w:r>
      <w:r>
        <w:rPr>
          <w:rFonts w:hint="eastAsia"/>
          <w:lang w:val="en-US" w:eastAsia="zh-CN"/>
        </w:rPr>
        <w:t>3</w:t>
      </w:r>
      <w:r>
        <w:rPr>
          <w:rFonts w:hint="eastAsia"/>
        </w:rPr>
        <w:t>分，实际得分</w:t>
      </w:r>
      <w:r>
        <w:rPr>
          <w:rFonts w:hint="eastAsia"/>
          <w:lang w:val="en-US" w:eastAsia="zh-CN"/>
        </w:rPr>
        <w:t>3</w:t>
      </w:r>
      <w:r>
        <w:rPr>
          <w:rFonts w:hint="eastAsia"/>
        </w:rPr>
        <w:t>分。</w:t>
      </w:r>
    </w:p>
    <w:p w14:paraId="77A2F082">
      <w:pPr>
        <w:pStyle w:val="53"/>
        <w:spacing w:line="560" w:lineRule="exact"/>
        <w:ind w:left="0" w:leftChars="0" w:right="0" w:rightChars="0" w:firstLine="560"/>
      </w:pPr>
      <w:r>
        <w:rPr>
          <w:rFonts w:hint="eastAsia"/>
        </w:rPr>
        <w:t>“</w:t>
      </w:r>
      <w:r>
        <w:rPr>
          <w:rFonts w:hint="eastAsia"/>
          <w:lang w:val="en-US" w:eastAsia="zh-CN"/>
        </w:rPr>
        <w:t>资金支付</w:t>
      </w:r>
      <w:r>
        <w:rPr>
          <w:rFonts w:hint="eastAsia"/>
        </w:rPr>
        <w:t>合</w:t>
      </w:r>
      <w:r>
        <w:rPr>
          <w:rFonts w:hint="eastAsia"/>
          <w:lang w:val="en-US" w:eastAsia="zh-CN"/>
        </w:rPr>
        <w:t>规</w:t>
      </w:r>
      <w:r>
        <w:rPr>
          <w:rFonts w:hint="eastAsia"/>
        </w:rPr>
        <w:t>率”指标，预期指标值为</w:t>
      </w:r>
      <w:r>
        <w:rPr>
          <w:rFonts w:hint="eastAsia"/>
          <w:lang w:eastAsia="zh-CN"/>
        </w:rPr>
        <w:t>等于</w:t>
      </w:r>
      <w:r>
        <w:rPr>
          <w:rFonts w:hint="eastAsia"/>
        </w:rPr>
        <w:t>100.00%,全年实际值为100.00%，指标完成率为100.00%。所设分值</w:t>
      </w:r>
      <w:r>
        <w:rPr>
          <w:rFonts w:hint="eastAsia"/>
          <w:lang w:val="en-US" w:eastAsia="zh-CN"/>
        </w:rPr>
        <w:t>2</w:t>
      </w:r>
      <w:r>
        <w:rPr>
          <w:rFonts w:hint="eastAsia"/>
        </w:rPr>
        <w:t>分，实际得分</w:t>
      </w:r>
      <w:r>
        <w:rPr>
          <w:rFonts w:hint="eastAsia"/>
          <w:lang w:val="en-US" w:eastAsia="zh-CN"/>
        </w:rPr>
        <w:t>2</w:t>
      </w:r>
      <w:r>
        <w:rPr>
          <w:rFonts w:hint="eastAsia"/>
        </w:rPr>
        <w:t>分。</w:t>
      </w:r>
    </w:p>
    <w:p w14:paraId="6E58A8C0">
      <w:pPr>
        <w:pStyle w:val="53"/>
        <w:spacing w:line="560" w:lineRule="exact"/>
        <w:ind w:left="0" w:leftChars="0" w:right="0" w:rightChars="0" w:firstLine="560"/>
      </w:pPr>
      <w:r>
        <w:t>1.3项目完成时效</w:t>
      </w:r>
    </w:p>
    <w:p w14:paraId="73E19345">
      <w:pPr>
        <w:pStyle w:val="53"/>
        <w:spacing w:line="560" w:lineRule="exact"/>
        <w:ind w:left="0" w:leftChars="0" w:right="0" w:rightChars="0" w:firstLine="560"/>
        <w:rPr>
          <w:rFonts w:hint="eastAsia" w:eastAsia="仿宋_GB2312"/>
          <w:lang w:val="en-US" w:eastAsia="zh-CN"/>
        </w:rPr>
      </w:pPr>
      <w:r>
        <w:rPr>
          <w:rFonts w:hint="eastAsia"/>
        </w:rPr>
        <w:t>“</w:t>
      </w:r>
      <w:r>
        <w:rPr>
          <w:rFonts w:hint="eastAsia"/>
          <w:lang w:val="en-US" w:eastAsia="zh-CN"/>
        </w:rPr>
        <w:t>资金支付及时率</w:t>
      </w:r>
      <w:r>
        <w:rPr>
          <w:rFonts w:hint="eastAsia"/>
        </w:rPr>
        <w:t>”</w:t>
      </w:r>
      <w:r>
        <w:rPr>
          <w:rFonts w:hint="eastAsia"/>
          <w:lang w:val="en-US" w:eastAsia="zh-CN"/>
        </w:rPr>
        <w:t>指标，</w:t>
      </w:r>
      <w:r>
        <w:rPr>
          <w:rFonts w:hint="eastAsia"/>
        </w:rPr>
        <w:t>预期指标值为</w:t>
      </w:r>
      <w:r>
        <w:rPr>
          <w:rFonts w:hint="eastAsia"/>
          <w:lang w:eastAsia="zh-CN"/>
        </w:rPr>
        <w:t>等于</w:t>
      </w:r>
      <w:r>
        <w:rPr>
          <w:rFonts w:hint="eastAsia"/>
        </w:rPr>
        <w:t>100.00%,全年实际值为100.00%，指标完成率为100.00%。所设分值</w:t>
      </w:r>
      <w:r>
        <w:rPr>
          <w:rFonts w:hint="eastAsia"/>
          <w:lang w:val="en-US" w:eastAsia="zh-CN"/>
        </w:rPr>
        <w:t>2</w:t>
      </w:r>
      <w:r>
        <w:rPr>
          <w:rFonts w:hint="eastAsia"/>
        </w:rPr>
        <w:t>分，实际得分</w:t>
      </w:r>
      <w:r>
        <w:rPr>
          <w:rFonts w:hint="eastAsia"/>
          <w:lang w:val="en-US" w:eastAsia="zh-CN"/>
        </w:rPr>
        <w:t>2</w:t>
      </w:r>
      <w:r>
        <w:rPr>
          <w:rFonts w:hint="eastAsia"/>
        </w:rPr>
        <w:t>分。</w:t>
      </w:r>
    </w:p>
    <w:p w14:paraId="6C06E7FD">
      <w:pPr>
        <w:pStyle w:val="53"/>
        <w:spacing w:line="560" w:lineRule="exact"/>
        <w:ind w:left="0" w:leftChars="0" w:right="0" w:rightChars="0" w:firstLine="560"/>
        <w:rPr>
          <w:rFonts w:hint="eastAsia"/>
        </w:rPr>
      </w:pPr>
      <w:r>
        <w:rPr>
          <w:rFonts w:hint="eastAsia"/>
        </w:rPr>
        <w:t>“项目开工时间”指标，预期指标值为</w:t>
      </w:r>
      <w:r>
        <w:rPr>
          <w:rFonts w:hint="eastAsia"/>
          <w:lang w:val="en-US" w:eastAsia="zh-CN"/>
        </w:rPr>
        <w:t>2024年1月</w:t>
      </w:r>
      <w:r>
        <w:rPr>
          <w:rFonts w:hint="eastAsia"/>
        </w:rPr>
        <w:t>,全年实际值为</w:t>
      </w:r>
      <w:r>
        <w:rPr>
          <w:rFonts w:hint="eastAsia"/>
          <w:lang w:val="en-US" w:eastAsia="zh-CN"/>
        </w:rPr>
        <w:t>2024年4月</w:t>
      </w:r>
      <w:r>
        <w:rPr>
          <w:rFonts w:hint="eastAsia"/>
        </w:rPr>
        <w:t>，指标完成率为</w:t>
      </w:r>
      <w:r>
        <w:rPr>
          <w:rFonts w:hint="eastAsia"/>
          <w:lang w:val="en-US" w:eastAsia="zh-CN"/>
        </w:rPr>
        <w:t>97</w:t>
      </w:r>
      <w:r>
        <w:rPr>
          <w:rFonts w:hint="eastAsia"/>
        </w:rPr>
        <w:t>%。所设分值</w:t>
      </w:r>
      <w:r>
        <w:rPr>
          <w:rFonts w:hint="eastAsia"/>
          <w:lang w:val="en-US" w:eastAsia="zh-CN"/>
        </w:rPr>
        <w:t>2</w:t>
      </w:r>
      <w:r>
        <w:rPr>
          <w:rFonts w:hint="eastAsia"/>
        </w:rPr>
        <w:t>分，实际得分</w:t>
      </w:r>
      <w:r>
        <w:rPr>
          <w:rFonts w:hint="eastAsia"/>
          <w:lang w:val="en-US" w:eastAsia="zh-CN"/>
        </w:rPr>
        <w:t>1.94</w:t>
      </w:r>
      <w:r>
        <w:rPr>
          <w:rFonts w:hint="eastAsia"/>
        </w:rPr>
        <w:t>分。</w:t>
      </w:r>
    </w:p>
    <w:p w14:paraId="3D49C119">
      <w:pPr>
        <w:pStyle w:val="53"/>
        <w:spacing w:line="560" w:lineRule="exact"/>
        <w:ind w:left="0" w:leftChars="0" w:right="0" w:rightChars="0" w:firstLine="560"/>
        <w:rPr>
          <w:rFonts w:hint="eastAsia"/>
          <w:lang w:eastAsia="zh-CN"/>
        </w:rPr>
      </w:pPr>
      <w:r>
        <w:rPr>
          <w:rFonts w:hint="eastAsia"/>
        </w:rPr>
        <w:t>偏</w:t>
      </w:r>
      <w:r>
        <w:rPr>
          <w:rFonts w:hint="eastAsia"/>
          <w:lang w:val="en-US" w:eastAsia="zh-CN"/>
        </w:rPr>
        <w:t>差</w:t>
      </w:r>
      <w:r>
        <w:rPr>
          <w:rFonts w:hint="eastAsia"/>
        </w:rPr>
        <w:t>原因：项目于4月招投标开工</w:t>
      </w:r>
      <w:r>
        <w:rPr>
          <w:rFonts w:hint="eastAsia"/>
          <w:lang w:eastAsia="zh-CN"/>
        </w:rPr>
        <w:t>。</w:t>
      </w:r>
    </w:p>
    <w:p w14:paraId="4FCAB152">
      <w:pPr>
        <w:pStyle w:val="53"/>
        <w:spacing w:line="560" w:lineRule="exact"/>
        <w:ind w:left="0" w:leftChars="0" w:right="0" w:rightChars="0" w:firstLine="560"/>
        <w:rPr>
          <w:rFonts w:hint="eastAsia"/>
        </w:rPr>
      </w:pPr>
      <w:r>
        <w:rPr>
          <w:rFonts w:hint="eastAsia"/>
        </w:rPr>
        <w:t>改进措施：加强项目前期管理</w:t>
      </w:r>
    </w:p>
    <w:p w14:paraId="51C0BD40">
      <w:pPr>
        <w:pStyle w:val="53"/>
        <w:spacing w:line="560" w:lineRule="exact"/>
        <w:ind w:left="0" w:leftChars="0" w:right="0" w:rightChars="0" w:firstLine="560"/>
        <w:rPr>
          <w:rFonts w:hint="eastAsia"/>
        </w:rPr>
      </w:pPr>
      <w:r>
        <w:rPr>
          <w:rFonts w:hint="eastAsia"/>
        </w:rPr>
        <w:t>“项目完工时间”指标，预期指标值为</w:t>
      </w:r>
      <w:r>
        <w:rPr>
          <w:rFonts w:hint="eastAsia"/>
          <w:lang w:val="en-US" w:eastAsia="zh-CN"/>
        </w:rPr>
        <w:t>2024年6</w:t>
      </w:r>
      <w:r>
        <w:rPr>
          <w:rFonts w:hint="eastAsia"/>
        </w:rPr>
        <w:t>月,全年实际值为</w:t>
      </w:r>
      <w:r>
        <w:rPr>
          <w:rFonts w:hint="eastAsia"/>
          <w:lang w:val="en-US" w:eastAsia="zh-CN"/>
        </w:rPr>
        <w:t>2024年6</w:t>
      </w:r>
      <w:r>
        <w:rPr>
          <w:rFonts w:hint="eastAsia"/>
        </w:rPr>
        <w:t>月，指标完成率为100.00%。。所设分值</w:t>
      </w:r>
      <w:r>
        <w:rPr>
          <w:rFonts w:hint="eastAsia"/>
          <w:lang w:val="en-US" w:eastAsia="zh-CN"/>
        </w:rPr>
        <w:t>2</w:t>
      </w:r>
      <w:r>
        <w:rPr>
          <w:rFonts w:hint="eastAsia"/>
        </w:rPr>
        <w:t>分，实际得分</w:t>
      </w:r>
      <w:r>
        <w:rPr>
          <w:rFonts w:hint="eastAsia"/>
          <w:lang w:val="en-US" w:eastAsia="zh-CN"/>
        </w:rPr>
        <w:t>2</w:t>
      </w:r>
      <w:r>
        <w:rPr>
          <w:rFonts w:hint="eastAsia"/>
        </w:rPr>
        <w:t xml:space="preserve">分。        </w:t>
      </w:r>
    </w:p>
    <w:p w14:paraId="2D7CFEC9">
      <w:pPr>
        <w:pStyle w:val="53"/>
        <w:spacing w:line="560" w:lineRule="exact"/>
        <w:ind w:left="0" w:leftChars="0" w:right="0" w:rightChars="0" w:firstLine="560"/>
        <w:rPr>
          <w:rFonts w:hint="eastAsia"/>
        </w:rPr>
      </w:pPr>
      <w:r>
        <w:rPr>
          <w:rFonts w:hint="eastAsia"/>
        </w:rPr>
        <w:t>1.4项目成本节约情况</w:t>
      </w:r>
    </w:p>
    <w:p w14:paraId="51A503D3">
      <w:pPr>
        <w:pStyle w:val="53"/>
        <w:spacing w:line="560" w:lineRule="exact"/>
        <w:ind w:left="0" w:leftChars="0" w:right="0" w:rightChars="0" w:firstLine="560"/>
        <w:rPr>
          <w:rFonts w:hint="eastAsia"/>
        </w:rPr>
      </w:pPr>
      <w:r>
        <w:rPr>
          <w:rFonts w:hint="eastAsia"/>
        </w:rPr>
        <w:t>为有效控制项目实施成本，我单位在实施项目前就该项目设定了成本控制指标，实施过程中我单位通过公开招标的方式有效降低了项目执行成本，具体指标设置及完成情况如下：</w:t>
      </w:r>
    </w:p>
    <w:p w14:paraId="44D91BD7">
      <w:pPr>
        <w:pStyle w:val="34"/>
        <w:rPr>
          <w:rFonts w:hint="eastAsia"/>
        </w:rPr>
      </w:pPr>
      <w:r>
        <w:rPr>
          <w:rFonts w:hint="eastAsia"/>
        </w:rPr>
        <w:t>“工程</w:t>
      </w:r>
      <w:r>
        <w:rPr>
          <w:rFonts w:hint="eastAsia"/>
          <w:lang w:val="en-US" w:eastAsia="zh-CN"/>
        </w:rPr>
        <w:t>费用</w:t>
      </w:r>
      <w:r>
        <w:rPr>
          <w:rFonts w:hint="eastAsia"/>
        </w:rPr>
        <w:t>”指标，预期指标值为</w:t>
      </w:r>
      <w:r>
        <w:rPr>
          <w:rFonts w:hint="eastAsia"/>
          <w:lang w:eastAsia="zh-CN"/>
        </w:rPr>
        <w:t>小于等于</w:t>
      </w:r>
      <w:r>
        <w:rPr>
          <w:rFonts w:hint="eastAsia"/>
          <w:lang w:val="en-US" w:eastAsia="zh-CN"/>
        </w:rPr>
        <w:t>218.86万</w:t>
      </w:r>
      <w:r>
        <w:rPr>
          <w:rFonts w:hint="eastAsia"/>
        </w:rPr>
        <w:t>元, 全年实际值为</w:t>
      </w:r>
      <w:r>
        <w:rPr>
          <w:rFonts w:hint="eastAsia"/>
          <w:lang w:val="en-US" w:eastAsia="zh-CN"/>
        </w:rPr>
        <w:t>247.48</w:t>
      </w:r>
      <w:r>
        <w:rPr>
          <w:rFonts w:hint="eastAsia"/>
        </w:rPr>
        <w:t>万元，指标完成率为</w:t>
      </w:r>
      <w:r>
        <w:rPr>
          <w:rFonts w:hint="eastAsia"/>
          <w:lang w:val="en-US" w:eastAsia="zh-CN"/>
        </w:rPr>
        <w:t>96</w:t>
      </w:r>
      <w:r>
        <w:rPr>
          <w:rFonts w:hint="eastAsia"/>
        </w:rPr>
        <w:t>%。所设分值</w:t>
      </w:r>
      <w:r>
        <w:rPr>
          <w:rFonts w:hint="eastAsia"/>
          <w:lang w:val="en-US" w:eastAsia="zh-CN"/>
        </w:rPr>
        <w:t>3</w:t>
      </w:r>
      <w:r>
        <w:rPr>
          <w:rFonts w:hint="eastAsia"/>
        </w:rPr>
        <w:t>分，实际得分</w:t>
      </w:r>
      <w:r>
        <w:rPr>
          <w:rFonts w:hint="eastAsia"/>
          <w:lang w:val="en-US" w:eastAsia="zh-CN"/>
        </w:rPr>
        <w:t>2.88</w:t>
      </w:r>
      <w:r>
        <w:rPr>
          <w:rFonts w:hint="eastAsia"/>
        </w:rPr>
        <w:t>分。</w:t>
      </w:r>
    </w:p>
    <w:p w14:paraId="12B8E6F0">
      <w:pPr>
        <w:pStyle w:val="34"/>
        <w:rPr>
          <w:rFonts w:hint="eastAsia"/>
        </w:rPr>
      </w:pPr>
      <w:r>
        <w:rPr>
          <w:rFonts w:hint="eastAsia"/>
        </w:rPr>
        <w:t>偏差原因：项目已完工，根据财务决算项目总投资299.69万元，剩余资金财政收回。</w:t>
      </w:r>
    </w:p>
    <w:p w14:paraId="631AA4E4">
      <w:pPr>
        <w:pStyle w:val="34"/>
        <w:rPr>
          <w:rFonts w:hint="eastAsia"/>
        </w:rPr>
      </w:pPr>
      <w:r>
        <w:rPr>
          <w:rFonts w:hint="eastAsia"/>
        </w:rPr>
        <w:t>改进措施：加强项目前期管理，合理编制工程各项费用。</w:t>
      </w:r>
    </w:p>
    <w:p w14:paraId="028010AB">
      <w:pPr>
        <w:pStyle w:val="34"/>
        <w:keepNext w:val="0"/>
        <w:keepLines w:val="0"/>
        <w:pageBreakBefore w:val="0"/>
        <w:widowControl w:val="0"/>
        <w:kinsoku/>
        <w:wordWrap/>
        <w:overflowPunct/>
        <w:topLinePunct w:val="0"/>
        <w:autoSpaceDE/>
        <w:autoSpaceDN/>
        <w:bidi w:val="0"/>
        <w:adjustRightInd/>
        <w:snapToGrid w:val="0"/>
        <w:textAlignment w:val="auto"/>
        <w:rPr>
          <w:rFonts w:hint="eastAsia"/>
        </w:rPr>
      </w:pPr>
      <w:r>
        <w:rPr>
          <w:rFonts w:hint="eastAsia"/>
        </w:rPr>
        <w:t>“</w:t>
      </w:r>
      <w:r>
        <w:rPr>
          <w:rFonts w:hint="eastAsia"/>
          <w:lang w:val="en-US" w:eastAsia="zh-CN"/>
        </w:rPr>
        <w:t>设备及工器具采购费用</w:t>
      </w:r>
      <w:r>
        <w:rPr>
          <w:rFonts w:hint="eastAsia"/>
        </w:rPr>
        <w:t>”指标，预期指标值为</w:t>
      </w:r>
      <w:r>
        <w:rPr>
          <w:rFonts w:hint="eastAsia"/>
          <w:lang w:eastAsia="zh-CN"/>
        </w:rPr>
        <w:t>小于等于</w:t>
      </w:r>
      <w:r>
        <w:rPr>
          <w:rFonts w:hint="eastAsia"/>
          <w:lang w:val="en-US" w:eastAsia="zh-CN"/>
        </w:rPr>
        <w:t>48.45</w:t>
      </w:r>
      <w:r>
        <w:rPr>
          <w:rFonts w:hint="eastAsia"/>
        </w:rPr>
        <w:t>万元, 全年实际值为</w:t>
      </w:r>
      <w:r>
        <w:rPr>
          <w:rFonts w:hint="eastAsia"/>
          <w:lang w:val="en-US" w:eastAsia="zh-CN"/>
        </w:rPr>
        <w:t>24.71</w:t>
      </w:r>
      <w:r>
        <w:rPr>
          <w:rFonts w:hint="eastAsia"/>
        </w:rPr>
        <w:t>万元，指标完成率为</w:t>
      </w:r>
      <w:r>
        <w:rPr>
          <w:rFonts w:hint="eastAsia"/>
          <w:lang w:val="en-US" w:eastAsia="zh-CN"/>
        </w:rPr>
        <w:t>51</w:t>
      </w:r>
      <w:r>
        <w:rPr>
          <w:rFonts w:hint="eastAsia"/>
        </w:rPr>
        <w:t>%；所设分值</w:t>
      </w:r>
      <w:r>
        <w:rPr>
          <w:rFonts w:hint="eastAsia"/>
          <w:lang w:val="en-US" w:eastAsia="zh-CN"/>
        </w:rPr>
        <w:t>3</w:t>
      </w:r>
      <w:r>
        <w:rPr>
          <w:rFonts w:hint="eastAsia"/>
        </w:rPr>
        <w:t>分，实际得分</w:t>
      </w:r>
      <w:r>
        <w:rPr>
          <w:rFonts w:hint="eastAsia"/>
          <w:lang w:val="en-US" w:eastAsia="zh-CN"/>
        </w:rPr>
        <w:t>1.53</w:t>
      </w:r>
      <w:r>
        <w:rPr>
          <w:rFonts w:hint="eastAsia"/>
        </w:rPr>
        <w:t>分。</w:t>
      </w:r>
    </w:p>
    <w:p w14:paraId="48AD7E32">
      <w:pPr>
        <w:pStyle w:val="34"/>
        <w:rPr>
          <w:rFonts w:hint="eastAsia"/>
        </w:rPr>
      </w:pPr>
      <w:r>
        <w:rPr>
          <w:rFonts w:hint="eastAsia"/>
        </w:rPr>
        <w:t>偏差原因：项目已完工，根据财务决算项目总投资299.69万元，剩余资金财政收回。</w:t>
      </w:r>
    </w:p>
    <w:p w14:paraId="057FACED">
      <w:pPr>
        <w:pStyle w:val="34"/>
        <w:keepNext w:val="0"/>
        <w:keepLines w:val="0"/>
        <w:pageBreakBefore w:val="0"/>
        <w:widowControl w:val="0"/>
        <w:kinsoku/>
        <w:wordWrap/>
        <w:overflowPunct/>
        <w:topLinePunct w:val="0"/>
        <w:autoSpaceDE/>
        <w:autoSpaceDN/>
        <w:bidi w:val="0"/>
        <w:adjustRightInd/>
        <w:snapToGrid w:val="0"/>
        <w:textAlignment w:val="auto"/>
        <w:rPr>
          <w:rFonts w:hint="eastAsia"/>
        </w:rPr>
      </w:pPr>
      <w:r>
        <w:rPr>
          <w:rFonts w:hint="eastAsia"/>
        </w:rPr>
        <w:t>改进措施：加强项目前期管理，合理编制工程各项费用。</w:t>
      </w:r>
    </w:p>
    <w:p w14:paraId="5DB68057">
      <w:pPr>
        <w:pStyle w:val="34"/>
        <w:rPr>
          <w:rFonts w:hint="eastAsia"/>
          <w:lang w:val="en-US" w:eastAsia="zh-CN"/>
        </w:rPr>
      </w:pPr>
      <w:r>
        <w:rPr>
          <w:rFonts w:hint="eastAsia"/>
          <w:lang w:eastAsia="zh-CN"/>
        </w:rPr>
        <w:t>“</w:t>
      </w:r>
      <w:r>
        <w:rPr>
          <w:rFonts w:hint="eastAsia"/>
          <w:lang w:val="en-US" w:eastAsia="zh-CN"/>
        </w:rPr>
        <w:t>其他费用”指标，预期指标值为</w:t>
      </w:r>
      <w:r>
        <w:rPr>
          <w:rFonts w:hint="eastAsia"/>
          <w:lang w:eastAsia="zh-CN"/>
        </w:rPr>
        <w:t>小于等于</w:t>
      </w:r>
      <w:r>
        <w:rPr>
          <w:rFonts w:hint="eastAsia"/>
          <w:lang w:val="en-US" w:eastAsia="zh-CN"/>
        </w:rPr>
        <w:t>32.69</w:t>
      </w:r>
      <w:r>
        <w:rPr>
          <w:rFonts w:hint="eastAsia"/>
        </w:rPr>
        <w:t>万元</w:t>
      </w:r>
      <w:r>
        <w:rPr>
          <w:rFonts w:hint="eastAsia"/>
          <w:lang w:eastAsia="zh-CN"/>
        </w:rPr>
        <w:t>，</w:t>
      </w:r>
      <w:r>
        <w:rPr>
          <w:rFonts w:hint="eastAsia"/>
          <w:lang w:val="en-US" w:eastAsia="zh-CN"/>
        </w:rPr>
        <w:t>全年实际值27.5万元，指标完成率为84.12%;所设分值3分，实际得分2.52分。</w:t>
      </w:r>
    </w:p>
    <w:p w14:paraId="0C009979">
      <w:pPr>
        <w:pStyle w:val="34"/>
        <w:rPr>
          <w:rFonts w:hint="eastAsia"/>
        </w:rPr>
      </w:pPr>
      <w:r>
        <w:rPr>
          <w:rFonts w:hint="eastAsia"/>
        </w:rPr>
        <w:t>偏差原因：项目已完工，根据财务决算项目总投资299.69万元，剩余资金财政收回。</w:t>
      </w:r>
    </w:p>
    <w:p w14:paraId="5AD68B63">
      <w:pPr>
        <w:pStyle w:val="34"/>
        <w:rPr>
          <w:rFonts w:hint="eastAsia"/>
          <w:lang w:val="en-US" w:eastAsia="zh-CN"/>
        </w:rPr>
      </w:pPr>
      <w:r>
        <w:rPr>
          <w:rFonts w:hint="eastAsia"/>
        </w:rPr>
        <w:t>改进措施：加强项目前期管理，合理编制工程各项费用。</w:t>
      </w:r>
    </w:p>
    <w:p w14:paraId="73637491">
      <w:pPr>
        <w:pStyle w:val="34"/>
        <w:rPr>
          <w:b/>
          <w:bCs w:val="0"/>
        </w:rPr>
      </w:pPr>
      <w:r>
        <w:rPr>
          <w:rFonts w:hint="eastAsia"/>
          <w:b/>
          <w:bCs w:val="0"/>
        </w:rPr>
        <w:t>2.效益指标完成情况分析</w:t>
      </w:r>
    </w:p>
    <w:p w14:paraId="0ADE8159">
      <w:pPr>
        <w:pStyle w:val="53"/>
        <w:spacing w:line="560" w:lineRule="exact"/>
        <w:ind w:left="0" w:leftChars="0" w:right="0" w:rightChars="0" w:firstLine="560"/>
      </w:pPr>
      <w:r>
        <w:t>2.1项目实施的</w:t>
      </w:r>
      <w:r>
        <w:rPr>
          <w:rFonts w:hint="eastAsia"/>
          <w:lang w:val="en-US" w:eastAsia="zh-CN"/>
        </w:rPr>
        <w:t>社会</w:t>
      </w:r>
      <w:r>
        <w:t>效益分析</w:t>
      </w:r>
    </w:p>
    <w:p w14:paraId="5F7296B5">
      <w:pPr>
        <w:pStyle w:val="53"/>
        <w:spacing w:line="560" w:lineRule="exact"/>
        <w:ind w:left="0" w:leftChars="0" w:right="0" w:rightChars="0" w:firstLine="560"/>
        <w:rPr>
          <w:rFonts w:hint="eastAsia"/>
        </w:rPr>
      </w:pPr>
      <w:r>
        <w:rPr>
          <w:rFonts w:hint="eastAsia"/>
        </w:rPr>
        <w:t>“</w:t>
      </w:r>
      <w:r>
        <w:rPr>
          <w:rFonts w:hint="eastAsia"/>
          <w:lang w:val="en-US" w:eastAsia="zh-CN"/>
        </w:rPr>
        <w:t>提升居民生活质量</w:t>
      </w:r>
      <w:r>
        <w:rPr>
          <w:rFonts w:hint="eastAsia"/>
        </w:rPr>
        <w:t>”指标，指标预期值为</w:t>
      </w:r>
      <w:r>
        <w:rPr>
          <w:rFonts w:hint="eastAsia"/>
          <w:lang w:val="en-US" w:eastAsia="zh-CN"/>
        </w:rPr>
        <w:t>有效提高</w:t>
      </w:r>
      <w:r>
        <w:rPr>
          <w:rFonts w:hint="eastAsia"/>
        </w:rPr>
        <w:t>，实际完成值为</w:t>
      </w:r>
      <w:r>
        <w:rPr>
          <w:rFonts w:hint="eastAsia"/>
          <w:lang w:val="en-US" w:eastAsia="zh-CN"/>
        </w:rPr>
        <w:t>达成预期指标</w:t>
      </w:r>
      <w:r>
        <w:rPr>
          <w:rFonts w:hint="eastAsia"/>
        </w:rPr>
        <w:t>，指标完成率为1</w:t>
      </w:r>
      <w:bookmarkStart w:id="0" w:name="_GoBack"/>
      <w:bookmarkEnd w:id="0"/>
      <w:r>
        <w:rPr>
          <w:rFonts w:hint="eastAsia"/>
        </w:rPr>
        <w:t>00.00%。所设分值</w:t>
      </w:r>
      <w:r>
        <w:rPr>
          <w:rFonts w:hint="eastAsia"/>
          <w:lang w:val="en-US" w:eastAsia="zh-CN"/>
        </w:rPr>
        <w:t>15</w:t>
      </w:r>
      <w:r>
        <w:rPr>
          <w:rFonts w:hint="eastAsia"/>
        </w:rPr>
        <w:t>分，实际得分</w:t>
      </w:r>
      <w:r>
        <w:rPr>
          <w:rFonts w:hint="eastAsia"/>
          <w:lang w:val="en-US" w:eastAsia="zh-CN"/>
        </w:rPr>
        <w:t>10</w:t>
      </w:r>
      <w:r>
        <w:rPr>
          <w:rFonts w:hint="eastAsia"/>
        </w:rPr>
        <w:t>分。</w:t>
      </w:r>
    </w:p>
    <w:p w14:paraId="7D4E6803">
      <w:pPr>
        <w:pStyle w:val="53"/>
        <w:spacing w:line="560" w:lineRule="exact"/>
        <w:ind w:left="0" w:leftChars="0" w:right="0" w:rightChars="0" w:firstLine="560"/>
        <w:rPr>
          <w:rFonts w:hint="eastAsia"/>
        </w:rPr>
      </w:pPr>
      <w:r>
        <w:rPr>
          <w:rFonts w:hint="eastAsia"/>
        </w:rPr>
        <w:t>“</w:t>
      </w:r>
      <w:r>
        <w:rPr>
          <w:rFonts w:hint="eastAsia"/>
          <w:lang w:val="en-US" w:eastAsia="zh-CN"/>
        </w:rPr>
        <w:t>提高灌溉率</w:t>
      </w:r>
      <w:r>
        <w:rPr>
          <w:rFonts w:hint="eastAsia"/>
        </w:rPr>
        <w:t>”指标，指标预期值为</w:t>
      </w:r>
      <w:r>
        <w:rPr>
          <w:rFonts w:hint="eastAsia"/>
          <w:lang w:val="en-US" w:eastAsia="zh-CN"/>
        </w:rPr>
        <w:t>有效提高</w:t>
      </w:r>
      <w:r>
        <w:rPr>
          <w:rFonts w:hint="eastAsia"/>
        </w:rPr>
        <w:t>，实际完成值为</w:t>
      </w:r>
      <w:r>
        <w:rPr>
          <w:rFonts w:hint="eastAsia"/>
          <w:lang w:val="en-US" w:eastAsia="zh-CN"/>
        </w:rPr>
        <w:t>达成预期指标</w:t>
      </w:r>
      <w:r>
        <w:rPr>
          <w:rFonts w:hint="eastAsia"/>
        </w:rPr>
        <w:t>，指标完成率为100.00%。所设分值</w:t>
      </w:r>
      <w:r>
        <w:rPr>
          <w:rFonts w:hint="eastAsia"/>
          <w:lang w:val="en-US" w:eastAsia="zh-CN"/>
        </w:rPr>
        <w:t>15</w:t>
      </w:r>
      <w:r>
        <w:rPr>
          <w:rFonts w:hint="eastAsia"/>
        </w:rPr>
        <w:t>分，实际得分</w:t>
      </w:r>
      <w:r>
        <w:rPr>
          <w:rFonts w:hint="eastAsia"/>
          <w:lang w:val="en-US" w:eastAsia="zh-CN"/>
        </w:rPr>
        <w:t>15</w:t>
      </w:r>
      <w:r>
        <w:rPr>
          <w:rFonts w:hint="eastAsia"/>
        </w:rPr>
        <w:t>分。</w:t>
      </w:r>
    </w:p>
    <w:p w14:paraId="63094898">
      <w:pPr>
        <w:pStyle w:val="34"/>
      </w:pPr>
      <w:r>
        <w:rPr>
          <w:rFonts w:hint="eastAsia"/>
        </w:rPr>
        <w:t>3.满意度指标完成情况分析</w:t>
      </w:r>
    </w:p>
    <w:p w14:paraId="72CCE668">
      <w:pPr>
        <w:spacing w:line="560" w:lineRule="exact"/>
        <w:ind w:firstLine="544" w:firstLineChars="200"/>
        <w:rPr>
          <w:rFonts w:ascii="仿宋_GB2312" w:hAnsi="Times New Roman" w:eastAsia="仿宋_GB2312" w:cs="Times New Roman"/>
          <w:bCs/>
          <w:spacing w:val="-4"/>
          <w:sz w:val="28"/>
          <w:szCs w:val="28"/>
        </w:rPr>
      </w:pPr>
      <w:r>
        <w:rPr>
          <w:rFonts w:hint="eastAsia" w:ascii="仿宋_GB2312" w:hAnsi="Times New Roman" w:eastAsia="仿宋_GB2312" w:cs="Times New Roman"/>
          <w:bCs/>
          <w:spacing w:val="-4"/>
          <w:sz w:val="28"/>
          <w:szCs w:val="28"/>
        </w:rPr>
        <w:t>“</w:t>
      </w:r>
      <w:r>
        <w:rPr>
          <w:rFonts w:hint="eastAsia" w:ascii="仿宋_GB2312" w:hAnsi="Times New Roman" w:eastAsia="仿宋_GB2312" w:cs="Times New Roman"/>
          <w:bCs/>
          <w:spacing w:val="-4"/>
          <w:sz w:val="28"/>
          <w:szCs w:val="28"/>
          <w:lang w:val="en-US" w:eastAsia="zh-CN"/>
        </w:rPr>
        <w:t>村民</w:t>
      </w:r>
      <w:r>
        <w:rPr>
          <w:rFonts w:hint="eastAsia" w:ascii="仿宋_GB2312" w:hAnsi="Times New Roman" w:eastAsia="仿宋_GB2312" w:cs="Times New Roman"/>
          <w:bCs/>
          <w:spacing w:val="-4"/>
          <w:sz w:val="28"/>
          <w:szCs w:val="28"/>
        </w:rPr>
        <w:t>满意度”指标，指标预期指标值为</w:t>
      </w:r>
      <w:r>
        <w:rPr>
          <w:rFonts w:hint="eastAsia" w:ascii="仿宋_GB2312" w:hAnsi="Times New Roman" w:eastAsia="仿宋_GB2312" w:cs="Times New Roman"/>
          <w:bCs/>
          <w:spacing w:val="-4"/>
          <w:sz w:val="28"/>
          <w:szCs w:val="28"/>
          <w:lang w:eastAsia="zh-CN"/>
        </w:rPr>
        <w:t>大于等于</w:t>
      </w:r>
      <w:r>
        <w:rPr>
          <w:rFonts w:hint="eastAsia" w:ascii="仿宋_GB2312" w:hAnsi="Times New Roman" w:eastAsia="仿宋_GB2312" w:cs="Times New Roman"/>
          <w:bCs/>
          <w:spacing w:val="-4"/>
          <w:sz w:val="28"/>
          <w:szCs w:val="28"/>
        </w:rPr>
        <w:t>95%，实际完成值为95%，指标完成率为100.00%。所设分值10分，实际得分10分。</w:t>
      </w:r>
    </w:p>
    <w:p w14:paraId="4D5DA957">
      <w:pPr>
        <w:pStyle w:val="30"/>
        <w:spacing w:beforeLines="0" w:line="560" w:lineRule="exact"/>
        <w:ind w:left="0" w:leftChars="0" w:right="0" w:rightChars="0" w:firstLine="544" w:firstLineChars="200"/>
        <w:rPr>
          <w:rFonts w:ascii="仿宋_GB2312" w:hAnsi="Times New Roman" w:eastAsia="仿宋_GB2312" w:cs="Times New Roman"/>
          <w:b w:val="0"/>
          <w:color w:val="auto"/>
          <w:spacing w:val="-4"/>
          <w:szCs w:val="28"/>
        </w:rPr>
      </w:pPr>
      <w:r>
        <w:rPr>
          <w:rFonts w:hint="eastAsia" w:ascii="仿宋_GB2312" w:hAnsi="Times New Roman" w:eastAsia="仿宋_GB2312" w:cs="Times New Roman"/>
          <w:b w:val="0"/>
          <w:color w:val="auto"/>
          <w:spacing w:val="-4"/>
          <w:szCs w:val="28"/>
        </w:rPr>
        <w:t>项目实施完成后我单位就该项目的满意度采取抽样发放调查问卷的方式开展调查，通过对调查问卷的梳理和统计，项目覆盖区</w:t>
      </w:r>
      <w:r>
        <w:rPr>
          <w:rFonts w:hint="eastAsia" w:ascii="仿宋_GB2312" w:hAnsi="Times New Roman" w:eastAsia="仿宋_GB2312" w:cs="Times New Roman"/>
          <w:bCs/>
          <w:spacing w:val="-4"/>
          <w:sz w:val="28"/>
          <w:szCs w:val="28"/>
          <w:lang w:val="en-US" w:eastAsia="zh-CN"/>
        </w:rPr>
        <w:t>村民</w:t>
      </w:r>
      <w:r>
        <w:rPr>
          <w:rFonts w:hint="eastAsia" w:ascii="仿宋_GB2312" w:hAnsi="Times New Roman" w:eastAsia="仿宋_GB2312" w:cs="Times New Roman"/>
          <w:b w:val="0"/>
          <w:color w:val="auto"/>
          <w:spacing w:val="-4"/>
          <w:szCs w:val="28"/>
        </w:rPr>
        <w:t>满意度指标综合满意率为95.00%。</w:t>
      </w:r>
    </w:p>
    <w:p w14:paraId="6F98587D">
      <w:pPr>
        <w:pStyle w:val="30"/>
        <w:spacing w:before="120"/>
        <w:ind w:left="0" w:leftChars="0" w:right="3" w:firstLine="562" w:firstLineChars="200"/>
      </w:pPr>
      <w:r>
        <w:rPr>
          <w:rFonts w:hint="eastAsia"/>
        </w:rPr>
        <w:t>四、偏离绩效目标的原因和下一步改进措施</w:t>
      </w:r>
    </w:p>
    <w:p w14:paraId="3757EE31">
      <w:pPr>
        <w:pStyle w:val="53"/>
        <w:spacing w:line="560" w:lineRule="exact"/>
        <w:ind w:left="0" w:leftChars="0" w:right="0" w:rightChars="0" w:firstLine="560"/>
        <w:rPr>
          <w:rFonts w:hint="eastAsia"/>
        </w:rPr>
      </w:pPr>
      <w:r>
        <w:rPr>
          <w:rFonts w:hint="eastAsia"/>
          <w:lang w:val="en-US" w:eastAsia="zh-CN"/>
        </w:rPr>
        <w:t>1.时效指标-</w:t>
      </w:r>
      <w:r>
        <w:rPr>
          <w:rFonts w:hint="eastAsia"/>
        </w:rPr>
        <w:t>“项目开工时间”指标，预期指标值为</w:t>
      </w:r>
      <w:r>
        <w:rPr>
          <w:rFonts w:hint="eastAsia"/>
          <w:lang w:val="en-US" w:eastAsia="zh-CN"/>
        </w:rPr>
        <w:t>2024年1月</w:t>
      </w:r>
      <w:r>
        <w:rPr>
          <w:rFonts w:hint="eastAsia"/>
        </w:rPr>
        <w:t>,全年实际值为</w:t>
      </w:r>
      <w:r>
        <w:rPr>
          <w:rFonts w:hint="eastAsia"/>
          <w:lang w:val="en-US" w:eastAsia="zh-CN"/>
        </w:rPr>
        <w:t>2024年4月</w:t>
      </w:r>
      <w:r>
        <w:rPr>
          <w:rFonts w:hint="eastAsia"/>
        </w:rPr>
        <w:t>。</w:t>
      </w:r>
    </w:p>
    <w:p w14:paraId="768D7811">
      <w:pPr>
        <w:pStyle w:val="53"/>
        <w:spacing w:line="560" w:lineRule="exact"/>
        <w:ind w:left="0" w:leftChars="0" w:right="0" w:rightChars="0" w:firstLine="560"/>
        <w:rPr>
          <w:rFonts w:hint="eastAsia"/>
          <w:lang w:eastAsia="zh-CN"/>
        </w:rPr>
      </w:pPr>
      <w:r>
        <w:rPr>
          <w:rFonts w:hint="eastAsia"/>
        </w:rPr>
        <w:t>偏差原因：项目于4月招投标开工</w:t>
      </w:r>
      <w:r>
        <w:rPr>
          <w:rFonts w:hint="eastAsia"/>
          <w:lang w:eastAsia="zh-CN"/>
        </w:rPr>
        <w:t>。</w:t>
      </w:r>
    </w:p>
    <w:p w14:paraId="61C51848">
      <w:pPr>
        <w:pStyle w:val="53"/>
        <w:spacing w:line="560" w:lineRule="exact"/>
        <w:ind w:left="0" w:leftChars="0" w:right="0" w:rightChars="0" w:firstLine="560"/>
        <w:rPr>
          <w:rFonts w:hint="eastAsia"/>
        </w:rPr>
      </w:pPr>
      <w:r>
        <w:rPr>
          <w:rFonts w:hint="eastAsia"/>
        </w:rPr>
        <w:t>改进措施：加强项目前期管理</w:t>
      </w:r>
    </w:p>
    <w:p w14:paraId="480CD315">
      <w:pPr>
        <w:pStyle w:val="34"/>
        <w:rPr>
          <w:rFonts w:hint="eastAsia"/>
        </w:rPr>
      </w:pPr>
      <w:r>
        <w:rPr>
          <w:rFonts w:hint="eastAsia"/>
          <w:lang w:val="en-US" w:eastAsia="zh-CN"/>
        </w:rPr>
        <w:t>2.成本指标-</w:t>
      </w:r>
      <w:r>
        <w:rPr>
          <w:rFonts w:hint="eastAsia"/>
        </w:rPr>
        <w:t>“工程</w:t>
      </w:r>
      <w:r>
        <w:rPr>
          <w:rFonts w:hint="eastAsia"/>
          <w:lang w:val="en-US" w:eastAsia="zh-CN"/>
        </w:rPr>
        <w:t>费用</w:t>
      </w:r>
      <w:r>
        <w:rPr>
          <w:rFonts w:hint="eastAsia"/>
        </w:rPr>
        <w:t>”指标，预期指标值为</w:t>
      </w:r>
      <w:r>
        <w:rPr>
          <w:rFonts w:hint="eastAsia"/>
          <w:lang w:eastAsia="zh-CN"/>
        </w:rPr>
        <w:t>小于等于</w:t>
      </w:r>
      <w:r>
        <w:rPr>
          <w:rFonts w:hint="eastAsia"/>
          <w:lang w:val="en-US" w:eastAsia="zh-CN"/>
        </w:rPr>
        <w:t>218.86万</w:t>
      </w:r>
      <w:r>
        <w:rPr>
          <w:rFonts w:hint="eastAsia"/>
        </w:rPr>
        <w:t>元, 全年实际值为</w:t>
      </w:r>
      <w:r>
        <w:rPr>
          <w:rFonts w:hint="eastAsia"/>
          <w:lang w:val="en-US" w:eastAsia="zh-CN"/>
        </w:rPr>
        <w:t>247.48</w:t>
      </w:r>
      <w:r>
        <w:rPr>
          <w:rFonts w:hint="eastAsia"/>
        </w:rPr>
        <w:t>万元。</w:t>
      </w:r>
    </w:p>
    <w:p w14:paraId="6AD4C656">
      <w:pPr>
        <w:pStyle w:val="30"/>
        <w:spacing w:before="120"/>
        <w:ind w:left="0" w:leftChars="0" w:right="3" w:firstLine="560" w:firstLineChars="20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偏差原因：项目已完工，根据财务决算项目总投资299.69万元，剩余资金财政收回。</w:t>
      </w:r>
    </w:p>
    <w:p w14:paraId="0BEC56A0">
      <w:pPr>
        <w:pStyle w:val="30"/>
        <w:spacing w:before="120"/>
        <w:ind w:left="0" w:leftChars="0" w:right="3" w:firstLine="560" w:firstLineChars="20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改进措施：加强项目前期管理，合理编制工程各项费用。</w:t>
      </w:r>
    </w:p>
    <w:p w14:paraId="1D9FDF17">
      <w:pPr>
        <w:pStyle w:val="34"/>
        <w:rPr>
          <w:rFonts w:hint="eastAsia"/>
        </w:rPr>
      </w:pPr>
      <w:r>
        <w:rPr>
          <w:rFonts w:hint="eastAsia"/>
          <w:lang w:val="en-US" w:eastAsia="zh-CN"/>
        </w:rPr>
        <w:t>3.成本指标-</w:t>
      </w:r>
      <w:r>
        <w:rPr>
          <w:rFonts w:hint="eastAsia"/>
        </w:rPr>
        <w:t>“设备及工器具购置费用”指标，预期指标值为</w:t>
      </w:r>
      <w:r>
        <w:rPr>
          <w:rFonts w:hint="eastAsia"/>
          <w:lang w:eastAsia="zh-CN"/>
        </w:rPr>
        <w:t>小于等于</w:t>
      </w:r>
      <w:r>
        <w:rPr>
          <w:rFonts w:hint="eastAsia"/>
          <w:lang w:val="en-US" w:eastAsia="zh-CN"/>
        </w:rPr>
        <w:t>48.45万</w:t>
      </w:r>
      <w:r>
        <w:rPr>
          <w:rFonts w:hint="eastAsia"/>
        </w:rPr>
        <w:t>元, 全年实际值为</w:t>
      </w:r>
      <w:r>
        <w:rPr>
          <w:rFonts w:hint="eastAsia"/>
          <w:lang w:val="en-US" w:eastAsia="zh-CN"/>
        </w:rPr>
        <w:t>24.71</w:t>
      </w:r>
      <w:r>
        <w:rPr>
          <w:rFonts w:hint="eastAsia"/>
        </w:rPr>
        <w:t>万元。</w:t>
      </w:r>
    </w:p>
    <w:p w14:paraId="247A54D1">
      <w:pPr>
        <w:pStyle w:val="30"/>
        <w:spacing w:before="120"/>
        <w:ind w:left="0" w:leftChars="0" w:right="3" w:firstLine="560" w:firstLineChars="20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偏差原因：项目已完工，根据财务决算项目总投资299.69万元，剩余资金财政收回。</w:t>
      </w:r>
    </w:p>
    <w:p w14:paraId="7C2B90C6">
      <w:pPr>
        <w:pStyle w:val="30"/>
        <w:spacing w:before="120"/>
        <w:ind w:left="0" w:leftChars="0" w:right="3" w:firstLine="560" w:firstLineChars="20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改进措施：加强项目前期管理，合理编制工程各项费用。</w:t>
      </w:r>
    </w:p>
    <w:p w14:paraId="62E4ACF8">
      <w:pPr>
        <w:pStyle w:val="34"/>
        <w:rPr>
          <w:rFonts w:hint="eastAsia"/>
        </w:rPr>
      </w:pPr>
      <w:r>
        <w:rPr>
          <w:rFonts w:hint="eastAsia"/>
          <w:lang w:val="en-US" w:eastAsia="zh-CN"/>
        </w:rPr>
        <w:t>4.成本指标-</w:t>
      </w:r>
      <w:r>
        <w:rPr>
          <w:rFonts w:hint="eastAsia"/>
        </w:rPr>
        <w:t>“</w:t>
      </w:r>
      <w:r>
        <w:rPr>
          <w:rFonts w:hint="eastAsia"/>
          <w:lang w:val="en-US" w:eastAsia="zh-CN"/>
        </w:rPr>
        <w:t>其他费用</w:t>
      </w:r>
      <w:r>
        <w:rPr>
          <w:rFonts w:hint="eastAsia"/>
        </w:rPr>
        <w:t>”指标，预期指标值为</w:t>
      </w:r>
      <w:r>
        <w:rPr>
          <w:rFonts w:hint="eastAsia"/>
          <w:lang w:eastAsia="zh-CN"/>
        </w:rPr>
        <w:t>小于等于</w:t>
      </w:r>
      <w:r>
        <w:rPr>
          <w:rFonts w:hint="eastAsia"/>
          <w:lang w:val="en-US" w:eastAsia="zh-CN"/>
        </w:rPr>
        <w:t>32.69万</w:t>
      </w:r>
      <w:r>
        <w:rPr>
          <w:rFonts w:hint="eastAsia"/>
        </w:rPr>
        <w:t>元, 全年实际值为</w:t>
      </w:r>
      <w:r>
        <w:rPr>
          <w:rFonts w:hint="eastAsia"/>
          <w:lang w:val="en-US" w:eastAsia="zh-CN"/>
        </w:rPr>
        <w:t>27.5</w:t>
      </w:r>
      <w:r>
        <w:rPr>
          <w:rFonts w:hint="eastAsia"/>
        </w:rPr>
        <w:t>万元。</w:t>
      </w:r>
    </w:p>
    <w:p w14:paraId="41221427">
      <w:pPr>
        <w:pStyle w:val="30"/>
        <w:spacing w:before="120"/>
        <w:ind w:left="0" w:leftChars="0" w:right="3" w:firstLine="560" w:firstLineChars="20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偏差原因：项目已完工，根据财务决算项目总投资299.69万元，剩余资金财政收回。</w:t>
      </w:r>
    </w:p>
    <w:p w14:paraId="12C44CD3">
      <w:pPr>
        <w:pStyle w:val="30"/>
        <w:spacing w:before="120"/>
        <w:ind w:left="0" w:leftChars="0" w:right="3" w:firstLine="560" w:firstLineChars="20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改进措施：加强项目前期管理，合理编制工程各项费用。</w:t>
      </w:r>
    </w:p>
    <w:p w14:paraId="59B22642">
      <w:pPr>
        <w:pStyle w:val="30"/>
        <w:spacing w:before="120"/>
        <w:ind w:left="0" w:leftChars="0" w:right="3" w:firstLine="562" w:firstLineChars="200"/>
      </w:pPr>
      <w:r>
        <w:rPr>
          <w:rFonts w:hint="eastAsia"/>
        </w:rPr>
        <w:t>五、绩效自评结果拟应用和公开情况</w:t>
      </w:r>
    </w:p>
    <w:p w14:paraId="6360CBC9">
      <w:pPr>
        <w:pStyle w:val="53"/>
        <w:spacing w:line="560" w:lineRule="exact"/>
        <w:ind w:left="3" w:right="3" w:firstLine="560"/>
        <w:rPr>
          <w:rFonts w:hint="eastAsia" w:ascii="仿宋_GB2312"/>
        </w:rPr>
      </w:pPr>
      <w:r>
        <w:rPr>
          <w:rFonts w:hint="eastAsia" w:ascii="仿宋_GB2312"/>
        </w:rPr>
        <w:t>项目本次评价通过文件研读、实地调研、数据采集、问卷调查方式下，全面了解</w:t>
      </w:r>
      <w:r>
        <w:rPr>
          <w:rFonts w:hint="eastAsia" w:ascii="仿宋_GB2312"/>
          <w:lang w:val="en-US" w:eastAsia="zh-CN"/>
        </w:rPr>
        <w:t>于田县阿热勒乡1000亩地红柳肉苁蓉种植项目</w:t>
      </w:r>
      <w:r>
        <w:rPr>
          <w:rFonts w:hint="eastAsia" w:ascii="仿宋_GB2312"/>
        </w:rPr>
        <w:t>资金的使用效率和效果，从而得出以下综合评价结论：在绩效目标方面，本项目共设置一级指标3个，二级指标</w:t>
      </w:r>
      <w:r>
        <w:rPr>
          <w:rFonts w:hint="eastAsia" w:ascii="仿宋_GB2312"/>
          <w:lang w:val="en-US" w:eastAsia="zh-CN"/>
        </w:rPr>
        <w:t>6</w:t>
      </w:r>
      <w:r>
        <w:rPr>
          <w:rFonts w:hint="eastAsia" w:ascii="仿宋_GB2312"/>
        </w:rPr>
        <w:t>个，三级指标</w:t>
      </w:r>
      <w:r>
        <w:rPr>
          <w:rFonts w:hint="eastAsia" w:ascii="仿宋_GB2312"/>
          <w:lang w:val="en-US" w:eastAsia="zh-CN"/>
        </w:rPr>
        <w:t>21</w:t>
      </w:r>
      <w:r>
        <w:rPr>
          <w:rFonts w:hint="eastAsia" w:ascii="仿宋_GB2312"/>
        </w:rPr>
        <w:t>个，其中已完成三级指标</w:t>
      </w:r>
      <w:r>
        <w:rPr>
          <w:rFonts w:hint="eastAsia" w:ascii="仿宋_GB2312"/>
          <w:lang w:val="en-US" w:eastAsia="zh-CN"/>
        </w:rPr>
        <w:t>17</w:t>
      </w:r>
      <w:r>
        <w:rPr>
          <w:rFonts w:hint="eastAsia" w:ascii="仿宋_GB2312"/>
        </w:rPr>
        <w:t>个，指标完成率为</w:t>
      </w:r>
      <w:r>
        <w:rPr>
          <w:rFonts w:hint="eastAsia" w:ascii="仿宋_GB2312"/>
          <w:lang w:val="en-US" w:eastAsia="zh-CN"/>
        </w:rPr>
        <w:t>96.58</w:t>
      </w:r>
      <w:r>
        <w:rPr>
          <w:rFonts w:hint="eastAsia" w:ascii="仿宋_GB2312"/>
        </w:rPr>
        <w:t>%；在资金使用方面，严格按照《于田县扶贫资金财务管理制度》、《</w:t>
      </w:r>
      <w:r>
        <w:rPr>
          <w:rFonts w:hint="eastAsia" w:ascii="仿宋_GB2312"/>
          <w:lang w:val="en-US" w:eastAsia="zh-CN"/>
        </w:rPr>
        <w:t>于田县阿热勒乡人民政府</w:t>
      </w:r>
      <w:r>
        <w:rPr>
          <w:rFonts w:hint="eastAsia" w:ascii="仿宋_GB2312"/>
        </w:rPr>
        <w:t>财务管理制度》执行，保障了资金使用规范、安全，无挪用、截留资金的情况发生。在项目管理方面，制定了《</w:t>
      </w:r>
      <w:r>
        <w:rPr>
          <w:rFonts w:hint="eastAsia" w:ascii="仿宋_GB2312"/>
          <w:lang w:val="en-US" w:eastAsia="zh-CN"/>
        </w:rPr>
        <w:t>于田县阿热勒乡1000亩地红柳肉苁蓉种植项目</w:t>
      </w:r>
      <w:r>
        <w:rPr>
          <w:rFonts w:hint="eastAsia" w:ascii="仿宋_GB2312"/>
        </w:rPr>
        <w:t>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3400F72A">
      <w:pPr>
        <w:pStyle w:val="53"/>
        <w:spacing w:line="560" w:lineRule="exact"/>
        <w:ind w:left="3" w:right="3" w:firstLine="560"/>
        <w:rPr>
          <w:rFonts w:hint="eastAsia" w:ascii="仿宋_GB2312"/>
        </w:rPr>
      </w:pPr>
      <w:r>
        <w:rPr>
          <w:rFonts w:hint="eastAsia" w:ascii="仿宋_GB2312"/>
        </w:rPr>
        <w:t>项目最终得分为</w:t>
      </w:r>
      <w:r>
        <w:rPr>
          <w:rFonts w:hint="eastAsia" w:ascii="仿宋_GB2312"/>
          <w:lang w:val="en-US" w:eastAsia="zh-CN"/>
        </w:rPr>
        <w:t>97.86</w:t>
      </w:r>
      <w:r>
        <w:rPr>
          <w:rFonts w:hint="eastAsia" w:ascii="仿宋_GB2312"/>
        </w:rPr>
        <w:t>分，评价等级为</w:t>
      </w:r>
      <w:r>
        <w:rPr>
          <w:rFonts w:hint="eastAsia" w:ascii="仿宋_GB2312"/>
          <w:lang w:val="en-US" w:eastAsia="zh-CN"/>
        </w:rPr>
        <w:t>优</w:t>
      </w:r>
      <w:r>
        <w:rPr>
          <w:rFonts w:hint="eastAsia" w:ascii="仿宋_GB2312"/>
        </w:rPr>
        <w:t>。</w:t>
      </w:r>
    </w:p>
    <w:p w14:paraId="1723D8F3">
      <w:pPr>
        <w:pStyle w:val="53"/>
        <w:spacing w:line="560" w:lineRule="exact"/>
        <w:ind w:left="3" w:right="3" w:firstLine="554"/>
        <w:rPr>
          <w:rStyle w:val="20"/>
          <w:rFonts w:ascii="楷体_GB2312" w:hAnsi="楷体"/>
          <w:spacing w:val="-4"/>
          <w:szCs w:val="32"/>
        </w:rPr>
      </w:pPr>
      <w:r>
        <w:rPr>
          <w:rStyle w:val="20"/>
          <w:rFonts w:hint="eastAsia" w:ascii="楷体_GB2312" w:hAnsi="楷体"/>
          <w:spacing w:val="-4"/>
          <w:szCs w:val="32"/>
        </w:rPr>
        <w:t>（一）绩效自评结果拟应用情况</w:t>
      </w:r>
    </w:p>
    <w:p w14:paraId="0FF6CC91">
      <w:pPr>
        <w:pStyle w:val="53"/>
        <w:spacing w:line="560" w:lineRule="exact"/>
        <w:ind w:left="3" w:right="3" w:firstLine="560"/>
        <w:rPr>
          <w:rFonts w:ascii="仿宋_GB2312"/>
        </w:rPr>
      </w:pPr>
      <w:r>
        <w:rPr>
          <w:rFonts w:hint="eastAsia" w:ascii="仿宋_GB2312"/>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6277485D">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（二）指标佐证材料说明</w:t>
      </w:r>
    </w:p>
    <w:p w14:paraId="59618F14">
      <w:pPr>
        <w:pStyle w:val="53"/>
        <w:spacing w:line="560" w:lineRule="exact"/>
        <w:ind w:left="3" w:right="3" w:firstLine="560"/>
        <w:rPr>
          <w:rFonts w:hint="default"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pPr>
      <w:r>
        <w:rPr>
          <w:rFonts w:hint="eastAsia" w:ascii="仿宋_GB2312"/>
        </w:rPr>
        <w:t>项目状况：</w:t>
      </w:r>
      <w:r>
        <w:rPr>
          <w:rFonts w:hint="eastAsia" w:ascii="仿宋_GB2312"/>
          <w:szCs w:val="32"/>
        </w:rPr>
        <w:t>根据</w:t>
      </w:r>
      <w:r>
        <w:rPr>
          <w:rFonts w:hint="eastAsia" w:ascii="仿宋_GB2312"/>
          <w:szCs w:val="32"/>
          <w:lang w:val="en-US" w:eastAsia="zh-CN"/>
        </w:rPr>
        <w:t>于田县林业和草原局</w:t>
      </w:r>
      <w:r>
        <w:rPr>
          <w:rFonts w:hint="eastAsia" w:ascii="仿宋_GB2312"/>
          <w:szCs w:val="32"/>
        </w:rPr>
        <w:t>下发的《</w:t>
      </w:r>
      <w:r>
        <w:rPr>
          <w:rFonts w:hint="eastAsia" w:ascii="仿宋_GB2312"/>
          <w:szCs w:val="32"/>
          <w:lang w:val="en-US" w:eastAsia="zh-CN"/>
        </w:rPr>
        <w:t>关于对</w:t>
      </w:r>
      <w:r>
        <w:rPr>
          <w:rFonts w:hint="eastAsia" w:ascii="仿宋" w:hAnsi="仿宋" w:eastAsia="仿宋" w:cs="仿宋"/>
          <w:bCs/>
          <w:color w:val="000000" w:themeColor="text1"/>
          <w:kern w:val="0"/>
          <w:lang w:val="en-US" w:eastAsia="zh-CN"/>
          <w14:textFill>
            <w14:solidFill>
              <w14:schemeClr w14:val="tx1"/>
            </w14:solidFill>
          </w14:textFill>
        </w:rPr>
        <w:t>于田县阿热勒乡1000亩地红柳肉苁蓉种植项目</w:t>
      </w:r>
      <w:r>
        <w:rPr>
          <w:rFonts w:hint="eastAsia" w:ascii="仿宋_GB2312"/>
          <w:szCs w:val="32"/>
        </w:rPr>
        <w:t>实施方案的批复》批复立</w:t>
      </w:r>
      <w:r>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t>项实施</w:t>
      </w:r>
      <w:r>
        <w:rPr>
          <w:rFonts w:hint="eastAsia" w:ascii="仿宋_GB2312" w:cs="Times New Roman"/>
          <w:color w:val="000000" w:themeColor="text1"/>
          <w:kern w:val="2"/>
          <w:sz w:val="28"/>
          <w:szCs w:val="32"/>
          <w:highlight w:val="none"/>
          <w:lang w:val="en-US" w:eastAsia="zh-CN" w:bidi="ar-SA"/>
          <w14:textFill>
            <w14:solidFill>
              <w14:schemeClr w14:val="tx1"/>
            </w14:solidFill>
          </w14:textFill>
        </w:rPr>
        <w:t>。</w:t>
      </w:r>
    </w:p>
    <w:p w14:paraId="6DA91A63">
      <w:pPr>
        <w:pStyle w:val="53"/>
        <w:spacing w:line="560" w:lineRule="exact"/>
        <w:ind w:left="3" w:right="3" w:firstLine="560"/>
        <w:rPr>
          <w:rFonts w:hint="eastAsia" w:ascii="仿宋_GB2312" w:eastAsia="仿宋_GB2312"/>
          <w:szCs w:val="32"/>
          <w:lang w:val="en-US" w:eastAsia="zh-CN"/>
        </w:rPr>
      </w:pPr>
      <w:r>
        <w:rPr>
          <w:rFonts w:hint="eastAsia" w:ascii="仿宋_GB2312"/>
        </w:rPr>
        <w:t>资金状况：预算资金来源为</w:t>
      </w:r>
      <w:r>
        <w:rPr>
          <w:rFonts w:hint="eastAsia" w:ascii="仿宋_GB2312"/>
          <w:lang w:val="en-US" w:eastAsia="zh-CN"/>
        </w:rPr>
        <w:t>乡村振兴衔接资金</w:t>
      </w:r>
      <w:r>
        <w:rPr>
          <w:rFonts w:hint="eastAsia" w:ascii="仿宋_GB2312"/>
        </w:rPr>
        <w:t>，文件依据</w:t>
      </w:r>
      <w:r>
        <w:rPr>
          <w:rFonts w:hint="eastAsia" w:ascii="仿宋_GB2312"/>
          <w:szCs w:val="32"/>
          <w:lang w:val="en-US" w:eastAsia="zh-CN"/>
        </w:rPr>
        <w:t>于田县林业和草原局</w:t>
      </w:r>
      <w:r>
        <w:rPr>
          <w:rFonts w:hint="eastAsia" w:ascii="仿宋_GB2312"/>
          <w:szCs w:val="32"/>
        </w:rPr>
        <w:t>下发的《</w:t>
      </w:r>
      <w:r>
        <w:rPr>
          <w:rFonts w:hint="eastAsia" w:ascii="仿宋_GB2312"/>
          <w:szCs w:val="32"/>
          <w:lang w:val="en-US" w:eastAsia="zh-CN"/>
        </w:rPr>
        <w:t>关于对</w:t>
      </w:r>
      <w:r>
        <w:rPr>
          <w:rFonts w:hint="eastAsia" w:ascii="仿宋" w:hAnsi="仿宋" w:eastAsia="仿宋" w:cs="仿宋"/>
          <w:bCs/>
          <w:color w:val="000000" w:themeColor="text1"/>
          <w:kern w:val="0"/>
          <w:lang w:val="en-US" w:eastAsia="zh-CN"/>
          <w14:textFill>
            <w14:solidFill>
              <w14:schemeClr w14:val="tx1"/>
            </w14:solidFill>
          </w14:textFill>
        </w:rPr>
        <w:t>于田县阿热勒乡1000亩地红柳肉苁蓉种植项目</w:t>
      </w:r>
      <w:r>
        <w:rPr>
          <w:rFonts w:hint="eastAsia" w:ascii="仿宋_GB2312"/>
          <w:szCs w:val="32"/>
        </w:rPr>
        <w:t>实施方案的批复》</w:t>
      </w:r>
      <w:r>
        <w:rPr>
          <w:rFonts w:hint="eastAsia" w:ascii="仿宋_GB2312"/>
          <w:szCs w:val="32"/>
          <w:lang w:val="en-US" w:eastAsia="zh-CN"/>
        </w:rPr>
        <w:t>.</w:t>
      </w:r>
    </w:p>
    <w:p w14:paraId="6BF1C41D">
      <w:pPr>
        <w:pStyle w:val="53"/>
        <w:spacing w:line="560" w:lineRule="exact"/>
        <w:ind w:left="3" w:right="3" w:firstLine="560"/>
        <w:rPr>
          <w:rFonts w:hint="eastAsia" w:ascii="仿宋_GB2312"/>
          <w:szCs w:val="32"/>
        </w:rPr>
      </w:pPr>
      <w:r>
        <w:rPr>
          <w:rFonts w:hint="eastAsia" w:ascii="仿宋_GB2312"/>
          <w:szCs w:val="32"/>
        </w:rPr>
        <w:t>过程状况：该项目于20</w:t>
      </w:r>
      <w:r>
        <w:rPr>
          <w:rFonts w:hint="eastAsia" w:ascii="仿宋_GB2312"/>
          <w:szCs w:val="32"/>
          <w:lang w:val="en-US" w:eastAsia="zh-CN"/>
        </w:rPr>
        <w:t>24</w:t>
      </w:r>
      <w:r>
        <w:rPr>
          <w:rFonts w:hint="eastAsia" w:ascii="仿宋_GB2312"/>
          <w:szCs w:val="32"/>
        </w:rPr>
        <w:t>年</w:t>
      </w:r>
      <w:r>
        <w:rPr>
          <w:rFonts w:hint="eastAsia" w:ascii="仿宋_GB2312"/>
          <w:szCs w:val="32"/>
          <w:lang w:val="en-US" w:eastAsia="zh-CN"/>
        </w:rPr>
        <w:t>2</w:t>
      </w:r>
      <w:r>
        <w:rPr>
          <w:rFonts w:hint="eastAsia" w:ascii="仿宋_GB2312"/>
          <w:szCs w:val="32"/>
        </w:rPr>
        <w:t>月制订</w:t>
      </w:r>
      <w:r>
        <w:rPr>
          <w:rFonts w:hint="eastAsia" w:ascii="仿宋_GB2312"/>
          <w:szCs w:val="32"/>
          <w:lang w:val="en-US" w:eastAsia="zh-CN"/>
        </w:rPr>
        <w:t>实施方案</w:t>
      </w:r>
      <w:r>
        <w:rPr>
          <w:rFonts w:hint="eastAsia" w:ascii="仿宋_GB2312"/>
          <w:szCs w:val="32"/>
        </w:rPr>
        <w:t>并得到批复，</w:t>
      </w:r>
      <w:r>
        <w:rPr>
          <w:rFonts w:hint="eastAsia" w:ascii="仿宋_GB2312"/>
          <w:szCs w:val="32"/>
          <w:lang w:val="en-US" w:eastAsia="zh-CN"/>
        </w:rPr>
        <w:t>2024</w:t>
      </w:r>
      <w:r>
        <w:rPr>
          <w:rFonts w:hint="eastAsia" w:ascii="仿宋_GB2312"/>
          <w:szCs w:val="32"/>
        </w:rPr>
        <w:t>年</w:t>
      </w:r>
      <w:r>
        <w:rPr>
          <w:rFonts w:hint="eastAsia" w:ascii="仿宋_GB2312"/>
          <w:szCs w:val="32"/>
          <w:lang w:val="en-US" w:eastAsia="zh-CN"/>
        </w:rPr>
        <w:t>4月开工</w:t>
      </w:r>
      <w:r>
        <w:rPr>
          <w:rFonts w:hint="eastAsia" w:ascii="仿宋_GB2312"/>
          <w:szCs w:val="32"/>
        </w:rPr>
        <w:t>，</w:t>
      </w:r>
      <w:r>
        <w:rPr>
          <w:rFonts w:hint="eastAsia" w:ascii="仿宋_GB2312"/>
          <w:szCs w:val="32"/>
          <w:lang w:val="en-US" w:eastAsia="zh-CN"/>
        </w:rPr>
        <w:t>2024</w:t>
      </w:r>
      <w:r>
        <w:rPr>
          <w:rFonts w:hint="eastAsia" w:ascii="仿宋_GB2312"/>
          <w:szCs w:val="32"/>
        </w:rPr>
        <w:t>年</w:t>
      </w:r>
      <w:r>
        <w:rPr>
          <w:rFonts w:hint="eastAsia" w:ascii="仿宋_GB2312"/>
          <w:szCs w:val="32"/>
          <w:lang w:val="en-US" w:eastAsia="zh-CN"/>
        </w:rPr>
        <w:t>6月</w:t>
      </w:r>
      <w:r>
        <w:rPr>
          <w:rFonts w:hint="eastAsia" w:ascii="仿宋_GB2312"/>
          <w:szCs w:val="32"/>
        </w:rPr>
        <w:t>完工。</w:t>
      </w:r>
    </w:p>
    <w:p w14:paraId="5C0FFDC1">
      <w:pPr>
        <w:pStyle w:val="53"/>
        <w:spacing w:line="560" w:lineRule="exact"/>
        <w:ind w:left="3" w:right="3" w:firstLine="560"/>
        <w:rPr>
          <w:rFonts w:hint="eastAsia" w:ascii="仿宋_GB2312"/>
          <w:szCs w:val="32"/>
        </w:rPr>
      </w:pPr>
      <w:r>
        <w:rPr>
          <w:rFonts w:hint="eastAsia" w:ascii="仿宋_GB2312"/>
          <w:szCs w:val="32"/>
        </w:rPr>
        <w:t>结果状况：</w:t>
      </w:r>
      <w:r>
        <w:rPr>
          <w:rFonts w:hint="eastAsia" w:ascii="仿宋_GB2312"/>
          <w:szCs w:val="32"/>
          <w:lang w:val="en-US" w:eastAsia="zh-CN"/>
        </w:rPr>
        <w:t>该项目完工后由建设单位与</w:t>
      </w:r>
      <w:r>
        <w:rPr>
          <w:rFonts w:hint="eastAsia" w:ascii="仿宋_GB2312"/>
          <w:szCs w:val="32"/>
        </w:rPr>
        <w:t>于田县</w:t>
      </w:r>
      <w:r>
        <w:rPr>
          <w:rFonts w:hint="eastAsia" w:ascii="仿宋_GB2312"/>
          <w:szCs w:val="32"/>
          <w:lang w:val="en-US" w:eastAsia="zh-CN"/>
        </w:rPr>
        <w:t>林业和草原局，于田县农业农村局、于田县</w:t>
      </w:r>
      <w:r>
        <w:rPr>
          <w:rFonts w:hint="eastAsia" w:ascii="仿宋_GB2312"/>
          <w:szCs w:val="32"/>
        </w:rPr>
        <w:t>财政局</w:t>
      </w:r>
      <w:r>
        <w:rPr>
          <w:rFonts w:hint="eastAsia" w:ascii="仿宋_GB2312"/>
          <w:szCs w:val="32"/>
          <w:lang w:val="en-US" w:eastAsia="zh-CN"/>
        </w:rPr>
        <w:t>，于田县</w:t>
      </w:r>
      <w:r>
        <w:rPr>
          <w:rFonts w:hint="eastAsia" w:ascii="仿宋_GB2312"/>
          <w:szCs w:val="32"/>
        </w:rPr>
        <w:t>档案局和</w:t>
      </w:r>
      <w:r>
        <w:rPr>
          <w:rFonts w:hint="eastAsia" w:ascii="仿宋_GB2312"/>
          <w:szCs w:val="32"/>
          <w:lang w:val="en-US" w:eastAsia="zh-CN"/>
        </w:rPr>
        <w:t>项目所在村村委会</w:t>
      </w:r>
      <w:r>
        <w:rPr>
          <w:rFonts w:hint="eastAsia" w:ascii="仿宋_GB2312"/>
          <w:szCs w:val="32"/>
        </w:rPr>
        <w:t>联合竣工验收</w:t>
      </w:r>
      <w:r>
        <w:rPr>
          <w:rFonts w:hint="eastAsia" w:ascii="仿宋_GB2312"/>
          <w:szCs w:val="32"/>
          <w:lang w:eastAsia="zh-CN"/>
        </w:rPr>
        <w:t>，</w:t>
      </w:r>
      <w:r>
        <w:rPr>
          <w:rFonts w:hint="eastAsia" w:ascii="仿宋_GB2312"/>
          <w:szCs w:val="32"/>
        </w:rPr>
        <w:t>结果状况：合格。</w:t>
      </w:r>
    </w:p>
    <w:p w14:paraId="4480E8B7">
      <w:pPr>
        <w:pStyle w:val="53"/>
        <w:spacing w:line="560" w:lineRule="exact"/>
        <w:ind w:left="3" w:right="3" w:firstLine="560"/>
        <w:rPr>
          <w:rFonts w:hint="eastAsia" w:ascii="仿宋_GB2312"/>
          <w:b/>
          <w:bCs/>
          <w:szCs w:val="32"/>
        </w:rPr>
      </w:pPr>
      <w:r>
        <w:rPr>
          <w:rFonts w:hint="eastAsia" w:ascii="仿宋_GB2312"/>
          <w:b/>
          <w:bCs/>
          <w:szCs w:val="32"/>
        </w:rPr>
        <w:t>（三）主要经验及做法</w:t>
      </w:r>
    </w:p>
    <w:p w14:paraId="7BDB5349">
      <w:pPr>
        <w:pStyle w:val="53"/>
        <w:spacing w:line="560" w:lineRule="exact"/>
        <w:ind w:left="3" w:right="3" w:firstLine="560"/>
        <w:rPr>
          <w:rFonts w:hint="eastAsia" w:ascii="仿宋_GB2312"/>
          <w:szCs w:val="32"/>
        </w:rPr>
      </w:pPr>
      <w:r>
        <w:rPr>
          <w:rFonts w:hint="eastAsia" w:ascii="仿宋_GB2312"/>
          <w:szCs w:val="32"/>
          <w:lang w:val="en-US" w:eastAsia="zh-CN"/>
        </w:rPr>
        <w:t>于田县阿热勒乡1000亩地红柳肉苁蓉种植项目</w:t>
      </w:r>
      <w:r>
        <w:rPr>
          <w:rFonts w:hint="eastAsia" w:ascii="仿宋_GB2312"/>
          <w:szCs w:val="32"/>
        </w:rPr>
        <w:t>资金安排、使用过程中严格执行乡村振兴项目资金管理制度，确保乡村振兴项目正常运行为构建长效稳定奠定物质基础。</w:t>
      </w:r>
    </w:p>
    <w:p w14:paraId="5F656C8E">
      <w:pPr>
        <w:pStyle w:val="53"/>
        <w:spacing w:line="560" w:lineRule="exact"/>
        <w:ind w:left="3" w:right="3" w:firstLine="560"/>
        <w:rPr>
          <w:rFonts w:hint="eastAsia" w:ascii="仿宋_GB2312"/>
          <w:b/>
          <w:bCs/>
          <w:szCs w:val="32"/>
        </w:rPr>
      </w:pPr>
      <w:r>
        <w:rPr>
          <w:rFonts w:hint="eastAsia" w:ascii="仿宋_GB2312"/>
          <w:b/>
          <w:bCs/>
          <w:szCs w:val="32"/>
        </w:rPr>
        <w:t>（四）存在的问题</w:t>
      </w:r>
    </w:p>
    <w:p w14:paraId="330B8366">
      <w:pPr>
        <w:pStyle w:val="53"/>
        <w:spacing w:line="560" w:lineRule="exact"/>
        <w:ind w:left="3" w:right="3" w:firstLine="560"/>
        <w:rPr>
          <w:rFonts w:hint="eastAsia" w:ascii="仿宋_GB2312"/>
          <w:szCs w:val="32"/>
        </w:rPr>
      </w:pPr>
      <w:r>
        <w:rPr>
          <w:rFonts w:hint="eastAsia" w:ascii="仿宋_GB2312"/>
          <w:szCs w:val="32"/>
          <w:lang w:val="en-US" w:eastAsia="zh-CN"/>
        </w:rPr>
        <w:t>于田县阿热勒乡1000亩地红柳肉苁蓉种植项目</w:t>
      </w:r>
      <w:r>
        <w:rPr>
          <w:rFonts w:hint="eastAsia" w:ascii="仿宋_GB2312"/>
          <w:szCs w:val="32"/>
        </w:rPr>
        <w:t>资金安排、使用过程中存在一些问题，主要是资金申报，审批，发放过程中存在对资金拨付缓慢问题。</w:t>
      </w:r>
    </w:p>
    <w:p w14:paraId="1FA22359">
      <w:pPr>
        <w:pStyle w:val="53"/>
        <w:spacing w:line="560" w:lineRule="exact"/>
        <w:ind w:left="3" w:right="3" w:firstLine="560"/>
        <w:rPr>
          <w:rFonts w:hint="eastAsia" w:ascii="仿宋_GB2312"/>
          <w:b/>
          <w:bCs/>
          <w:szCs w:val="32"/>
        </w:rPr>
      </w:pPr>
      <w:r>
        <w:rPr>
          <w:rFonts w:hint="eastAsia" w:ascii="仿宋_GB2312"/>
          <w:b/>
          <w:bCs/>
          <w:szCs w:val="32"/>
        </w:rPr>
        <w:t>（五）建议</w:t>
      </w:r>
    </w:p>
    <w:p w14:paraId="7B801076">
      <w:pPr>
        <w:pStyle w:val="53"/>
        <w:spacing w:line="560" w:lineRule="exact"/>
        <w:ind w:left="3" w:right="3" w:firstLine="560"/>
        <w:rPr>
          <w:rFonts w:hint="eastAsia" w:ascii="仿宋_GB2312"/>
          <w:szCs w:val="32"/>
        </w:rPr>
      </w:pPr>
      <w:r>
        <w:rPr>
          <w:rFonts w:hint="eastAsia" w:ascii="仿宋_GB2312"/>
          <w:szCs w:val="32"/>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632E8E38">
      <w:pPr>
        <w:pStyle w:val="53"/>
        <w:spacing w:line="560" w:lineRule="exact"/>
        <w:ind w:left="3" w:right="3" w:firstLine="560"/>
        <w:rPr>
          <w:rFonts w:hint="eastAsia" w:ascii="仿宋_GB2312"/>
          <w:b/>
          <w:bCs/>
          <w:szCs w:val="32"/>
        </w:rPr>
      </w:pPr>
      <w:r>
        <w:rPr>
          <w:rFonts w:hint="eastAsia" w:ascii="仿宋_GB2312"/>
          <w:b/>
          <w:bCs/>
          <w:szCs w:val="32"/>
        </w:rPr>
        <w:t>（六）项目绩效公告公示情况</w:t>
      </w:r>
    </w:p>
    <w:p w14:paraId="6160CFC0">
      <w:pPr>
        <w:pStyle w:val="53"/>
        <w:spacing w:line="560" w:lineRule="exact"/>
        <w:ind w:left="3" w:right="3" w:firstLine="560"/>
        <w:rPr>
          <w:rFonts w:hint="eastAsia" w:ascii="仿宋_GB2312"/>
          <w:szCs w:val="32"/>
        </w:rPr>
      </w:pPr>
      <w:r>
        <w:rPr>
          <w:rFonts w:hint="eastAsia" w:ascii="仿宋_GB2312"/>
          <w:szCs w:val="32"/>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大标宋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14:paraId="68C00555">
        <w:pPr>
          <w:pStyle w:val="14"/>
          <w:jc w:val="center"/>
        </w:pPr>
        <w:r>
          <w:fldChar w:fldCharType="begin"/>
        </w:r>
        <w:r>
          <w:instrText xml:space="preserve">PAGE   \* MERGEFORMAT</w:instrText>
        </w:r>
        <w:r>
          <w:fldChar w:fldCharType="separate"/>
        </w:r>
        <w:r>
          <w:rPr>
            <w:lang w:val="zh-CN"/>
          </w:rPr>
          <w:t>1</w:t>
        </w:r>
        <w:r>
          <w:fldChar w:fldCharType="end"/>
        </w:r>
      </w:p>
    </w:sdtContent>
  </w:sdt>
  <w:p w14:paraId="384BE77B">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385BE">
    <w:pPr>
      <w:pStyle w:val="1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compatSetting w:name="compatibilityMode" w:uri="http://schemas.microsoft.com/office/word" w:val="14"/>
  </w:compat>
  <w:docVars>
    <w:docVar w:name="commondata" w:val="eyJoZGlkIjoiY2RlOGExMTJjOWFmYjNiZTJjMWUwNDM2NWFmZTM5NmEifQ=="/>
  </w:docVars>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7329"/>
    <w:rsid w:val="0042774A"/>
    <w:rsid w:val="00433105"/>
    <w:rsid w:val="0043529B"/>
    <w:rsid w:val="00444004"/>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56D07"/>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B1673"/>
    <w:rsid w:val="00DC00CB"/>
    <w:rsid w:val="00DE5C9F"/>
    <w:rsid w:val="00E20066"/>
    <w:rsid w:val="00E215D5"/>
    <w:rsid w:val="00E231E6"/>
    <w:rsid w:val="00E35D4C"/>
    <w:rsid w:val="00E36AF4"/>
    <w:rsid w:val="00E417AF"/>
    <w:rsid w:val="00E5760D"/>
    <w:rsid w:val="00E62F01"/>
    <w:rsid w:val="00E65E86"/>
    <w:rsid w:val="00E66C44"/>
    <w:rsid w:val="00E72FF5"/>
    <w:rsid w:val="00E952C7"/>
    <w:rsid w:val="00EB734B"/>
    <w:rsid w:val="00EE2F0B"/>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23D5371"/>
    <w:rsid w:val="1C5F19D6"/>
    <w:rsid w:val="1E545693"/>
    <w:rsid w:val="1F9E2BED"/>
    <w:rsid w:val="2BB31702"/>
    <w:rsid w:val="38326354"/>
    <w:rsid w:val="390B7921"/>
    <w:rsid w:val="3E982E81"/>
    <w:rsid w:val="41505AA9"/>
    <w:rsid w:val="5D5B4D73"/>
    <w:rsid w:val="5D81225E"/>
    <w:rsid w:val="6F4A25DE"/>
    <w:rsid w:val="72F146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2">
    <w:name w:val="heading 1"/>
    <w:basedOn w:val="1"/>
    <w:next w:val="1"/>
    <w:link w:val="22"/>
    <w:qFormat/>
    <w:uiPriority w:val="9"/>
    <w:pPr>
      <w:keepNext/>
      <w:keepLines/>
      <w:spacing w:before="340" w:after="330" w:line="576" w:lineRule="auto"/>
      <w:outlineLvl w:val="0"/>
    </w:pPr>
    <w:rPr>
      <w:rFonts w:cs="宋体"/>
      <w:b/>
      <w:bCs/>
      <w:kern w:val="44"/>
      <w:sz w:val="44"/>
      <w:szCs w:val="44"/>
    </w:rPr>
  </w:style>
  <w:style w:type="paragraph" w:styleId="3">
    <w:name w:val="heading 2"/>
    <w:basedOn w:val="1"/>
    <w:next w:val="1"/>
    <w:link w:val="23"/>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4">
    <w:name w:val="heading 3"/>
    <w:basedOn w:val="1"/>
    <w:next w:val="1"/>
    <w:link w:val="24"/>
    <w:qFormat/>
    <w:uiPriority w:val="9"/>
    <w:pPr>
      <w:keepNext/>
      <w:keepLines/>
      <w:spacing w:before="260" w:after="260" w:line="415" w:lineRule="auto"/>
      <w:outlineLvl w:val="2"/>
    </w:pPr>
    <w:rPr>
      <w:rFonts w:cs="宋体"/>
      <w:b/>
      <w:bCs/>
      <w:szCs w:val="32"/>
    </w:rPr>
  </w:style>
  <w:style w:type="paragraph" w:styleId="5">
    <w:name w:val="heading 4"/>
    <w:basedOn w:val="1"/>
    <w:next w:val="1"/>
    <w:link w:val="25"/>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6">
    <w:name w:val="heading 5"/>
    <w:basedOn w:val="1"/>
    <w:next w:val="1"/>
    <w:link w:val="26"/>
    <w:qFormat/>
    <w:uiPriority w:val="9"/>
    <w:pPr>
      <w:keepNext/>
      <w:keepLines/>
      <w:spacing w:before="280" w:after="290" w:line="374" w:lineRule="auto"/>
      <w:outlineLvl w:val="4"/>
    </w:pPr>
    <w:rPr>
      <w:rFonts w:cs="宋体"/>
      <w:b/>
      <w:bCs/>
      <w:sz w:val="28"/>
      <w:szCs w:val="28"/>
    </w:rPr>
  </w:style>
  <w:style w:type="paragraph" w:styleId="7">
    <w:name w:val="heading 6"/>
    <w:basedOn w:val="1"/>
    <w:next w:val="1"/>
    <w:link w:val="37"/>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63"/>
    <w:qFormat/>
    <w:uiPriority w:val="9"/>
    <w:pPr>
      <w:keepNext/>
      <w:keepLines/>
      <w:spacing w:before="240" w:after="64" w:line="320" w:lineRule="auto"/>
      <w:outlineLvl w:val="6"/>
    </w:pPr>
    <w:rPr>
      <w:b/>
      <w:bCs/>
      <w:sz w:val="24"/>
      <w:szCs w:val="24"/>
    </w:rPr>
  </w:style>
  <w:style w:type="paragraph" w:styleId="9">
    <w:name w:val="heading 8"/>
    <w:basedOn w:val="1"/>
    <w:next w:val="1"/>
    <w:link w:val="64"/>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5"/>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68"/>
    <w:semiHidden/>
    <w:unhideWhenUsed/>
    <w:qFormat/>
    <w:uiPriority w:val="99"/>
    <w:pPr>
      <w:jc w:val="left"/>
    </w:pPr>
  </w:style>
  <w:style w:type="paragraph" w:styleId="12">
    <w:name w:val="Body Text"/>
    <w:basedOn w:val="1"/>
    <w:next w:val="1"/>
    <w:qFormat/>
    <w:uiPriority w:val="0"/>
    <w:pPr>
      <w:spacing w:after="120"/>
    </w:pPr>
  </w:style>
  <w:style w:type="paragraph" w:styleId="13">
    <w:name w:val="Balloon Text"/>
    <w:basedOn w:val="1"/>
    <w:link w:val="70"/>
    <w:semiHidden/>
    <w:unhideWhenUsed/>
    <w:qFormat/>
    <w:uiPriority w:val="99"/>
    <w:rPr>
      <w:sz w:val="18"/>
      <w:szCs w:val="18"/>
    </w:rPr>
  </w:style>
  <w:style w:type="paragraph" w:styleId="14">
    <w:name w:val="footer"/>
    <w:basedOn w:val="1"/>
    <w:link w:val="67"/>
    <w:unhideWhenUsed/>
    <w:qFormat/>
    <w:uiPriority w:val="99"/>
    <w:pPr>
      <w:tabs>
        <w:tab w:val="center" w:pos="4153"/>
        <w:tab w:val="right" w:pos="8306"/>
      </w:tabs>
      <w:snapToGrid w:val="0"/>
      <w:jc w:val="left"/>
    </w:pPr>
    <w:rPr>
      <w:sz w:val="18"/>
      <w:szCs w:val="18"/>
    </w:rPr>
  </w:style>
  <w:style w:type="paragraph" w:styleId="15">
    <w:name w:val="header"/>
    <w:basedOn w:val="1"/>
    <w:link w:val="66"/>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7">
    <w:name w:val="annotation subject"/>
    <w:basedOn w:val="11"/>
    <w:next w:val="11"/>
    <w:link w:val="69"/>
    <w:semiHidden/>
    <w:unhideWhenUsed/>
    <w:qFormat/>
    <w:uiPriority w:val="99"/>
    <w:rPr>
      <w:b/>
      <w:bCs/>
    </w:rPr>
  </w:style>
  <w:style w:type="character" w:styleId="20">
    <w:name w:val="Strong"/>
    <w:basedOn w:val="19"/>
    <w:qFormat/>
    <w:uiPriority w:val="0"/>
    <w:rPr>
      <w:b/>
      <w:bCs/>
    </w:rPr>
  </w:style>
  <w:style w:type="character" w:styleId="21">
    <w:name w:val="annotation reference"/>
    <w:basedOn w:val="19"/>
    <w:semiHidden/>
    <w:unhideWhenUsed/>
    <w:qFormat/>
    <w:uiPriority w:val="99"/>
    <w:rPr>
      <w:sz w:val="21"/>
      <w:szCs w:val="21"/>
    </w:rPr>
  </w:style>
  <w:style w:type="character" w:customStyle="1" w:styleId="22">
    <w:name w:val="标题 1 Char"/>
    <w:basedOn w:val="19"/>
    <w:link w:val="2"/>
    <w:qFormat/>
    <w:locked/>
    <w:uiPriority w:val="9"/>
    <w:rPr>
      <w:b/>
      <w:bCs/>
      <w:kern w:val="44"/>
      <w:sz w:val="44"/>
      <w:szCs w:val="44"/>
    </w:rPr>
  </w:style>
  <w:style w:type="character" w:customStyle="1" w:styleId="23">
    <w:name w:val="标题 2 Char"/>
    <w:basedOn w:val="19"/>
    <w:link w:val="3"/>
    <w:semiHidden/>
    <w:qFormat/>
    <w:locked/>
    <w:uiPriority w:val="9"/>
    <w:rPr>
      <w:rFonts w:hint="eastAsia" w:asciiTheme="majorHAnsi" w:hAnsiTheme="majorHAnsi" w:eastAsiaTheme="majorEastAsia" w:cstheme="majorBidi"/>
      <w:b/>
      <w:bCs/>
      <w:sz w:val="32"/>
      <w:szCs w:val="32"/>
    </w:rPr>
  </w:style>
  <w:style w:type="character" w:customStyle="1" w:styleId="24">
    <w:name w:val="标题 3 Char"/>
    <w:basedOn w:val="19"/>
    <w:link w:val="4"/>
    <w:semiHidden/>
    <w:qFormat/>
    <w:locked/>
    <w:uiPriority w:val="9"/>
    <w:rPr>
      <w:b/>
      <w:bCs/>
      <w:sz w:val="32"/>
      <w:szCs w:val="32"/>
    </w:rPr>
  </w:style>
  <w:style w:type="character" w:customStyle="1" w:styleId="25">
    <w:name w:val="标题 4 Char"/>
    <w:basedOn w:val="19"/>
    <w:link w:val="5"/>
    <w:semiHidden/>
    <w:qFormat/>
    <w:locked/>
    <w:uiPriority w:val="9"/>
    <w:rPr>
      <w:rFonts w:hint="eastAsia" w:asciiTheme="majorHAnsi" w:hAnsiTheme="majorHAnsi" w:eastAsiaTheme="majorEastAsia" w:cstheme="majorBidi"/>
      <w:b/>
      <w:bCs/>
      <w:sz w:val="28"/>
      <w:szCs w:val="28"/>
    </w:rPr>
  </w:style>
  <w:style w:type="character" w:customStyle="1" w:styleId="26">
    <w:name w:val="标题 5 Char"/>
    <w:basedOn w:val="19"/>
    <w:link w:val="6"/>
    <w:semiHidden/>
    <w:qFormat/>
    <w:locked/>
    <w:uiPriority w:val="9"/>
    <w:rPr>
      <w:b/>
      <w:bCs/>
      <w:sz w:val="28"/>
      <w:szCs w:val="28"/>
    </w:rPr>
  </w:style>
  <w:style w:type="character" w:customStyle="1" w:styleId="27">
    <w:name w:val="FZ标题1 字符"/>
    <w:basedOn w:val="19"/>
    <w:link w:val="28"/>
    <w:qFormat/>
    <w:locked/>
    <w:uiPriority w:val="0"/>
    <w:rPr>
      <w:rFonts w:hint="eastAsia" w:ascii="宋体" w:hAnsi="宋体" w:eastAsia="宋体"/>
      <w:b/>
      <w:color w:val="000000"/>
      <w:sz w:val="32"/>
    </w:rPr>
  </w:style>
  <w:style w:type="paragraph" w:customStyle="1" w:styleId="28">
    <w:name w:val="FZ标题1"/>
    <w:basedOn w:val="2"/>
    <w:link w:val="27"/>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29">
    <w:name w:val="FZ标题2 字符"/>
    <w:basedOn w:val="19"/>
    <w:link w:val="30"/>
    <w:qFormat/>
    <w:locked/>
    <w:uiPriority w:val="0"/>
    <w:rPr>
      <w:rFonts w:eastAsia="黑体"/>
      <w:b/>
      <w:bCs/>
      <w:color w:val="000000"/>
      <w:kern w:val="2"/>
      <w:sz w:val="28"/>
      <w:szCs w:val="44"/>
    </w:rPr>
  </w:style>
  <w:style w:type="paragraph" w:customStyle="1" w:styleId="30">
    <w:name w:val="FZ标题2"/>
    <w:basedOn w:val="3"/>
    <w:link w:val="29"/>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1">
    <w:name w:val="FZ标题3 字符"/>
    <w:basedOn w:val="19"/>
    <w:link w:val="32"/>
    <w:qFormat/>
    <w:locked/>
    <w:uiPriority w:val="0"/>
    <w:rPr>
      <w:rFonts w:eastAsia="仿宋_GB2312" w:cstheme="majorBidi"/>
      <w:b/>
      <w:bCs/>
      <w:color w:val="000000"/>
      <w:kern w:val="2"/>
      <w:sz w:val="28"/>
      <w:szCs w:val="32"/>
    </w:rPr>
  </w:style>
  <w:style w:type="paragraph" w:customStyle="1" w:styleId="32">
    <w:name w:val="FZ标题3"/>
    <w:basedOn w:val="4"/>
    <w:link w:val="31"/>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3">
    <w:name w:val="FZ标题4 字符"/>
    <w:basedOn w:val="19"/>
    <w:link w:val="34"/>
    <w:qFormat/>
    <w:locked/>
    <w:uiPriority w:val="0"/>
    <w:rPr>
      <w:rFonts w:ascii="仿宋_GB2312" w:eastAsia="仿宋_GB2312"/>
      <w:bCs/>
      <w:color w:val="000000"/>
      <w:kern w:val="2"/>
      <w:sz w:val="28"/>
      <w:szCs w:val="32"/>
    </w:rPr>
  </w:style>
  <w:style w:type="paragraph" w:customStyle="1" w:styleId="34">
    <w:name w:val="FZ标题4"/>
    <w:basedOn w:val="5"/>
    <w:link w:val="33"/>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5">
    <w:name w:val="FZ标题5 字符"/>
    <w:basedOn w:val="19"/>
    <w:link w:val="36"/>
    <w:qFormat/>
    <w:locked/>
    <w:uiPriority w:val="0"/>
    <w:rPr>
      <w:rFonts w:hint="eastAsia" w:ascii="宋体" w:hAnsi="宋体" w:eastAsia="宋体" w:cstheme="majorBidi"/>
      <w:bCs/>
      <w:color w:val="000000"/>
      <w:szCs w:val="28"/>
    </w:rPr>
  </w:style>
  <w:style w:type="paragraph" w:customStyle="1" w:styleId="36">
    <w:name w:val="FZ标题5"/>
    <w:basedOn w:val="6"/>
    <w:link w:val="35"/>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7">
    <w:name w:val="标题 6 Char"/>
    <w:basedOn w:val="19"/>
    <w:link w:val="7"/>
    <w:semiHidden/>
    <w:qFormat/>
    <w:uiPriority w:val="9"/>
    <w:rPr>
      <w:rFonts w:asciiTheme="majorHAnsi" w:hAnsiTheme="majorHAnsi" w:eastAsiaTheme="majorEastAsia" w:cstheme="majorBidi"/>
      <w:b/>
      <w:bCs/>
      <w:kern w:val="2"/>
      <w:sz w:val="24"/>
      <w:szCs w:val="24"/>
    </w:rPr>
  </w:style>
  <w:style w:type="character" w:customStyle="1" w:styleId="38">
    <w:name w:val="FZ标题6 字符"/>
    <w:basedOn w:val="19"/>
    <w:link w:val="39"/>
    <w:qFormat/>
    <w:locked/>
    <w:uiPriority w:val="0"/>
    <w:rPr>
      <w:rFonts w:hint="eastAsia" w:ascii="宋体" w:hAnsi="宋体" w:eastAsia="宋体"/>
      <w:bCs/>
      <w:color w:val="000000"/>
      <w:szCs w:val="28"/>
    </w:rPr>
  </w:style>
  <w:style w:type="paragraph" w:customStyle="1" w:styleId="39">
    <w:name w:val="FZ标题6"/>
    <w:basedOn w:val="7"/>
    <w:link w:val="38"/>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40">
    <w:name w:val="FZ表格标题行首列 字符"/>
    <w:basedOn w:val="19"/>
    <w:link w:val="41"/>
    <w:qFormat/>
    <w:locked/>
    <w:uiPriority w:val="0"/>
    <w:rPr>
      <w:rFonts w:hint="eastAsia" w:ascii="宋体" w:hAnsi="宋体" w:eastAsia="宋体"/>
      <w:color w:val="000000"/>
      <w:sz w:val="18"/>
    </w:rPr>
  </w:style>
  <w:style w:type="paragraph" w:customStyle="1" w:styleId="41">
    <w:name w:val="FZ表格标题行首列"/>
    <w:basedOn w:val="1"/>
    <w:link w:val="40"/>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2">
    <w:name w:val="FZ表格标题行 字符"/>
    <w:basedOn w:val="19"/>
    <w:link w:val="43"/>
    <w:qFormat/>
    <w:locked/>
    <w:uiPriority w:val="0"/>
    <w:rPr>
      <w:rFonts w:hint="eastAsia" w:ascii="宋体" w:hAnsi="宋体" w:eastAsia="宋体"/>
      <w:color w:val="000000"/>
      <w:sz w:val="18"/>
    </w:rPr>
  </w:style>
  <w:style w:type="paragraph" w:customStyle="1" w:styleId="43">
    <w:name w:val="FZ表格标题行"/>
    <w:basedOn w:val="1"/>
    <w:link w:val="42"/>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4">
    <w:name w:val="FZ表格正文行首列 字符"/>
    <w:basedOn w:val="19"/>
    <w:link w:val="45"/>
    <w:qFormat/>
    <w:locked/>
    <w:uiPriority w:val="0"/>
    <w:rPr>
      <w:rFonts w:hint="eastAsia" w:ascii="宋体" w:hAnsi="宋体" w:eastAsia="宋体"/>
      <w:color w:val="000000"/>
      <w:sz w:val="18"/>
    </w:rPr>
  </w:style>
  <w:style w:type="paragraph" w:customStyle="1" w:styleId="45">
    <w:name w:val="FZ表格正文行首列"/>
    <w:basedOn w:val="1"/>
    <w:link w:val="44"/>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6">
    <w:name w:val="FZ表格正文行 字符"/>
    <w:basedOn w:val="19"/>
    <w:link w:val="47"/>
    <w:qFormat/>
    <w:locked/>
    <w:uiPriority w:val="0"/>
    <w:rPr>
      <w:rFonts w:hint="eastAsia" w:ascii="宋体" w:hAnsi="宋体" w:eastAsia="宋体"/>
      <w:color w:val="000000"/>
      <w:sz w:val="18"/>
    </w:rPr>
  </w:style>
  <w:style w:type="paragraph" w:customStyle="1" w:styleId="47">
    <w:name w:val="FZ表格正文行"/>
    <w:basedOn w:val="1"/>
    <w:link w:val="46"/>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8">
    <w:name w:val="FZ表格合计行首列 字符"/>
    <w:basedOn w:val="19"/>
    <w:link w:val="49"/>
    <w:qFormat/>
    <w:locked/>
    <w:uiPriority w:val="0"/>
    <w:rPr>
      <w:rFonts w:hint="eastAsia" w:ascii="宋体" w:hAnsi="宋体" w:eastAsia="宋体"/>
      <w:color w:val="000000"/>
      <w:sz w:val="18"/>
    </w:rPr>
  </w:style>
  <w:style w:type="paragraph" w:customStyle="1" w:styleId="49">
    <w:name w:val="FZ表格合计行首列"/>
    <w:basedOn w:val="1"/>
    <w:link w:val="48"/>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50">
    <w:name w:val="FZ表格合计行 字符"/>
    <w:basedOn w:val="19"/>
    <w:link w:val="51"/>
    <w:qFormat/>
    <w:locked/>
    <w:uiPriority w:val="0"/>
    <w:rPr>
      <w:rFonts w:hint="eastAsia" w:ascii="宋体" w:hAnsi="宋体" w:eastAsia="宋体"/>
      <w:color w:val="000000"/>
      <w:sz w:val="18"/>
    </w:rPr>
  </w:style>
  <w:style w:type="paragraph" w:customStyle="1" w:styleId="51">
    <w:name w:val="FZ表格合计行"/>
    <w:basedOn w:val="1"/>
    <w:link w:val="50"/>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2">
    <w:name w:val="FZ正文 字符"/>
    <w:basedOn w:val="19"/>
    <w:link w:val="53"/>
    <w:qFormat/>
    <w:locked/>
    <w:uiPriority w:val="0"/>
    <w:rPr>
      <w:rFonts w:ascii="Times New Roman" w:hAnsi="Times New Roman" w:eastAsia="仿宋_GB2312" w:cs="Times New Roman"/>
      <w:color w:val="000000"/>
      <w:kern w:val="2"/>
      <w:sz w:val="28"/>
      <w:szCs w:val="22"/>
    </w:rPr>
  </w:style>
  <w:style w:type="paragraph" w:customStyle="1" w:styleId="53">
    <w:name w:val="FZ正文"/>
    <w:basedOn w:val="1"/>
    <w:link w:val="52"/>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4">
    <w:name w:val="FZ副标题 字符"/>
    <w:basedOn w:val="19"/>
    <w:link w:val="55"/>
    <w:qFormat/>
    <w:locked/>
    <w:uiPriority w:val="0"/>
    <w:rPr>
      <w:rFonts w:hint="eastAsia" w:ascii="宋体" w:hAnsi="宋体" w:eastAsia="宋体"/>
      <w:color w:val="000000"/>
    </w:rPr>
  </w:style>
  <w:style w:type="paragraph" w:customStyle="1" w:styleId="55">
    <w:name w:val="FZ副标题"/>
    <w:basedOn w:val="1"/>
    <w:link w:val="54"/>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6">
    <w:name w:val="FZ落款 字符"/>
    <w:basedOn w:val="19"/>
    <w:link w:val="57"/>
    <w:qFormat/>
    <w:locked/>
    <w:uiPriority w:val="0"/>
    <w:rPr>
      <w:rFonts w:hint="eastAsia" w:ascii="宋体" w:hAnsi="宋体" w:eastAsia="宋体"/>
      <w:color w:val="000000"/>
    </w:rPr>
  </w:style>
  <w:style w:type="paragraph" w:customStyle="1" w:styleId="57">
    <w:name w:val="FZ落款"/>
    <w:basedOn w:val="1"/>
    <w:link w:val="56"/>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8">
    <w:name w:val="FZ注释 字符"/>
    <w:basedOn w:val="19"/>
    <w:link w:val="59"/>
    <w:qFormat/>
    <w:locked/>
    <w:uiPriority w:val="0"/>
    <w:rPr>
      <w:rFonts w:hint="eastAsia" w:ascii="宋体" w:hAnsi="宋体" w:eastAsia="宋体"/>
      <w:color w:val="000000"/>
      <w:sz w:val="18"/>
    </w:rPr>
  </w:style>
  <w:style w:type="paragraph" w:customStyle="1" w:styleId="59">
    <w:name w:val="FZ注释"/>
    <w:basedOn w:val="1"/>
    <w:link w:val="58"/>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60">
    <w:name w:val="FZ小标题 字符"/>
    <w:basedOn w:val="19"/>
    <w:link w:val="61"/>
    <w:qFormat/>
    <w:locked/>
    <w:uiPriority w:val="0"/>
    <w:rPr>
      <w:rFonts w:hint="eastAsia" w:ascii="宋体" w:hAnsi="宋体" w:eastAsia="宋体"/>
      <w:color w:val="000000"/>
      <w:sz w:val="18"/>
    </w:rPr>
  </w:style>
  <w:style w:type="paragraph" w:customStyle="1" w:styleId="61">
    <w:name w:val="FZ小标题"/>
    <w:basedOn w:val="1"/>
    <w:link w:val="60"/>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2">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3">
    <w:name w:val="标题 7 Char"/>
    <w:basedOn w:val="19"/>
    <w:link w:val="8"/>
    <w:semiHidden/>
    <w:qFormat/>
    <w:uiPriority w:val="9"/>
    <w:rPr>
      <w:rFonts w:asciiTheme="minorHAnsi" w:hAnsiTheme="minorHAnsi" w:eastAsiaTheme="minorEastAsia"/>
      <w:b/>
      <w:bCs/>
      <w:kern w:val="2"/>
      <w:sz w:val="24"/>
      <w:szCs w:val="24"/>
    </w:rPr>
  </w:style>
  <w:style w:type="character" w:customStyle="1" w:styleId="64">
    <w:name w:val="标题 8 Char"/>
    <w:basedOn w:val="19"/>
    <w:link w:val="9"/>
    <w:semiHidden/>
    <w:qFormat/>
    <w:uiPriority w:val="9"/>
    <w:rPr>
      <w:rFonts w:asciiTheme="majorHAnsi" w:hAnsiTheme="majorHAnsi" w:eastAsiaTheme="majorEastAsia" w:cstheme="majorBidi"/>
      <w:kern w:val="2"/>
      <w:sz w:val="24"/>
      <w:szCs w:val="24"/>
    </w:rPr>
  </w:style>
  <w:style w:type="character" w:customStyle="1" w:styleId="65">
    <w:name w:val="标题 9 Char"/>
    <w:basedOn w:val="19"/>
    <w:link w:val="10"/>
    <w:semiHidden/>
    <w:qFormat/>
    <w:uiPriority w:val="9"/>
    <w:rPr>
      <w:rFonts w:asciiTheme="majorHAnsi" w:hAnsiTheme="majorHAnsi" w:eastAsiaTheme="majorEastAsia" w:cstheme="majorBidi"/>
      <w:kern w:val="2"/>
      <w:sz w:val="21"/>
      <w:szCs w:val="21"/>
    </w:rPr>
  </w:style>
  <w:style w:type="character" w:customStyle="1" w:styleId="66">
    <w:name w:val="页眉 Char"/>
    <w:basedOn w:val="19"/>
    <w:link w:val="15"/>
    <w:qFormat/>
    <w:uiPriority w:val="99"/>
    <w:rPr>
      <w:rFonts w:asciiTheme="minorHAnsi" w:hAnsiTheme="minorHAnsi" w:eastAsiaTheme="minorEastAsia"/>
      <w:kern w:val="2"/>
      <w:sz w:val="18"/>
      <w:szCs w:val="18"/>
    </w:rPr>
  </w:style>
  <w:style w:type="character" w:customStyle="1" w:styleId="67">
    <w:name w:val="页脚 Char"/>
    <w:basedOn w:val="19"/>
    <w:link w:val="14"/>
    <w:qFormat/>
    <w:uiPriority w:val="99"/>
    <w:rPr>
      <w:rFonts w:asciiTheme="minorHAnsi" w:hAnsiTheme="minorHAnsi" w:eastAsiaTheme="minorEastAsia"/>
      <w:kern w:val="2"/>
      <w:sz w:val="18"/>
      <w:szCs w:val="18"/>
    </w:rPr>
  </w:style>
  <w:style w:type="character" w:customStyle="1" w:styleId="68">
    <w:name w:val="批注文字 Char"/>
    <w:basedOn w:val="19"/>
    <w:link w:val="11"/>
    <w:semiHidden/>
    <w:qFormat/>
    <w:uiPriority w:val="99"/>
    <w:rPr>
      <w:rFonts w:asciiTheme="minorHAnsi" w:hAnsiTheme="minorHAnsi" w:eastAsiaTheme="minorEastAsia"/>
      <w:kern w:val="2"/>
      <w:sz w:val="21"/>
      <w:szCs w:val="22"/>
    </w:rPr>
  </w:style>
  <w:style w:type="character" w:customStyle="1" w:styleId="69">
    <w:name w:val="批注主题 Char"/>
    <w:basedOn w:val="68"/>
    <w:link w:val="17"/>
    <w:semiHidden/>
    <w:qFormat/>
    <w:uiPriority w:val="99"/>
    <w:rPr>
      <w:rFonts w:asciiTheme="minorHAnsi" w:hAnsiTheme="minorHAnsi" w:eastAsiaTheme="minorEastAsia"/>
      <w:b/>
      <w:bCs/>
      <w:kern w:val="2"/>
      <w:sz w:val="21"/>
      <w:szCs w:val="22"/>
    </w:rPr>
  </w:style>
  <w:style w:type="character" w:customStyle="1" w:styleId="70">
    <w:name w:val="批注框文本 Char"/>
    <w:basedOn w:val="19"/>
    <w:link w:val="13"/>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EC000-EECB-4647-9479-F9BF12E6FD60}">
  <ds:schemaRefs/>
</ds:datastoreItem>
</file>

<file path=docProps/app.xml><?xml version="1.0" encoding="utf-8"?>
<Properties xmlns="http://schemas.openxmlformats.org/officeDocument/2006/extended-properties" xmlns:vt="http://schemas.openxmlformats.org/officeDocument/2006/docPropsVTypes">
  <Template>Normal.dotm</Template>
  <Pages>14</Pages>
  <Words>6867</Words>
  <Characters>7793</Characters>
  <Lines>9</Lines>
  <Paragraphs>15</Paragraphs>
  <TotalTime>22</TotalTime>
  <ScaleCrop>false</ScaleCrop>
  <LinksUpToDate>false</LinksUpToDate>
  <CharactersWithSpaces>8224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七安</cp:lastModifiedBy>
  <dcterms:modified xsi:type="dcterms:W3CDTF">2025-03-03T11:18:36Z</dcterms:modified>
  <dc:title>C:\Users\Xueyang\Desktop\170号自评报告\57.艾力西湖镇巴扎（10）村花卉生产基地配套建设项目绩效自评报告.xlsx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E1AD4535BA054179A8B28375F445E239_13</vt:lpwstr>
  </property>
  <property fmtid="{D5CDD505-2E9C-101B-9397-08002B2CF9AE}" pid="4" name="KSOTemplateDocerSaveRecord">
    <vt:lpwstr>eyJoZGlkIjoiY2RlOGExMTJjOWFmYjNiZTJjMWUwNDM2NWFmZTM5NmEiLCJ1c2VySWQiOiIxMTAwNDE5NzU4In0=</vt:lpwstr>
  </property>
</Properties>
</file>