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EB6E02D">
      <w:pPr>
        <w:spacing w:before="120" w:after="120" w:line="480" w:lineRule="auto"/>
        <w:ind w:firstLine="883" w:firstLineChars="200"/>
        <w:jc w:val="center"/>
        <w:outlineLvl w:val="0"/>
        <w:rPr>
          <w:rFonts w:ascii="仿宋_GB2312" w:hAnsi="Arial"/>
          <w:b/>
          <w:sz w:val="44"/>
          <w:szCs w:val="44"/>
        </w:rPr>
      </w:pPr>
    </w:p>
    <w:p w14:paraId="310FD454">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485338C1">
      <w:pPr>
        <w:spacing w:line="700" w:lineRule="exact"/>
        <w:ind w:firstLine="1040" w:firstLineChars="200"/>
        <w:jc w:val="center"/>
        <w:rPr>
          <w:rFonts w:ascii="方正大标宋简体" w:hAnsi="华文中宋" w:eastAsia="方正大标宋简体" w:cs="宋体"/>
          <w:kern w:val="0"/>
          <w:sz w:val="52"/>
          <w:szCs w:val="52"/>
        </w:rPr>
      </w:pPr>
    </w:p>
    <w:p w14:paraId="5587075F">
      <w:pPr>
        <w:spacing w:line="540" w:lineRule="exact"/>
        <w:ind w:firstLine="720" w:firstLineChars="200"/>
        <w:jc w:val="center"/>
        <w:rPr>
          <w:rFonts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D2B429E">
      <w:pPr>
        <w:spacing w:line="540" w:lineRule="exact"/>
        <w:ind w:firstLine="600" w:firstLineChars="200"/>
        <w:jc w:val="center"/>
        <w:rPr>
          <w:rFonts w:hAnsi="宋体" w:cs="宋体"/>
          <w:kern w:val="0"/>
          <w:sz w:val="30"/>
          <w:szCs w:val="30"/>
        </w:rPr>
      </w:pPr>
    </w:p>
    <w:p w14:paraId="2928C4E5">
      <w:pPr>
        <w:spacing w:line="540" w:lineRule="exact"/>
        <w:ind w:firstLine="600" w:firstLineChars="200"/>
        <w:jc w:val="center"/>
        <w:rPr>
          <w:rFonts w:hAnsi="宋体" w:cs="宋体"/>
          <w:kern w:val="0"/>
          <w:sz w:val="30"/>
          <w:szCs w:val="30"/>
        </w:rPr>
      </w:pPr>
    </w:p>
    <w:p w14:paraId="59D51DE0">
      <w:pPr>
        <w:spacing w:line="540" w:lineRule="exact"/>
        <w:ind w:firstLine="600" w:firstLineChars="200"/>
        <w:jc w:val="center"/>
        <w:rPr>
          <w:rFonts w:hAnsi="宋体" w:cs="宋体"/>
          <w:kern w:val="0"/>
          <w:sz w:val="30"/>
          <w:szCs w:val="30"/>
        </w:rPr>
      </w:pPr>
    </w:p>
    <w:p w14:paraId="31417650">
      <w:pPr>
        <w:spacing w:line="540" w:lineRule="exact"/>
        <w:ind w:firstLine="600" w:firstLineChars="200"/>
        <w:jc w:val="center"/>
        <w:rPr>
          <w:rFonts w:hAnsi="宋体" w:cs="宋体"/>
          <w:kern w:val="0"/>
          <w:sz w:val="30"/>
          <w:szCs w:val="30"/>
        </w:rPr>
      </w:pPr>
    </w:p>
    <w:p w14:paraId="5770C276">
      <w:pPr>
        <w:spacing w:line="540" w:lineRule="exact"/>
        <w:ind w:firstLine="600" w:firstLineChars="200"/>
        <w:rPr>
          <w:rFonts w:hAnsi="宋体" w:cs="宋体"/>
          <w:kern w:val="0"/>
          <w:sz w:val="30"/>
          <w:szCs w:val="30"/>
        </w:rPr>
      </w:pPr>
    </w:p>
    <w:p w14:paraId="59E58258">
      <w:pPr>
        <w:spacing w:line="540" w:lineRule="exact"/>
        <w:ind w:firstLine="600" w:firstLineChars="200"/>
        <w:rPr>
          <w:rFonts w:hAnsi="宋体" w:cs="宋体"/>
          <w:kern w:val="0"/>
          <w:sz w:val="30"/>
          <w:szCs w:val="30"/>
        </w:rPr>
      </w:pPr>
    </w:p>
    <w:p w14:paraId="5BD0F95F">
      <w:pPr>
        <w:spacing w:line="360" w:lineRule="auto"/>
        <w:ind w:left="640" w:leftChars="200" w:firstLine="640" w:firstLineChars="200"/>
        <w:rPr>
          <w:rFonts w:ascii="仿宋" w:hAnsi="仿宋" w:eastAsia="仿宋" w:cs="仿宋"/>
          <w:szCs w:val="32"/>
        </w:rPr>
      </w:pPr>
    </w:p>
    <w:p w14:paraId="4C90948F">
      <w:pPr>
        <w:spacing w:line="360" w:lineRule="auto"/>
        <w:ind w:left="640" w:leftChars="200" w:firstLine="640" w:firstLineChars="200"/>
        <w:rPr>
          <w:rFonts w:ascii="仿宋" w:hAnsi="仿宋" w:eastAsia="仿宋" w:cs="仿宋"/>
          <w:szCs w:val="32"/>
        </w:rPr>
      </w:pPr>
    </w:p>
    <w:p w14:paraId="0D34EB88">
      <w:pPr>
        <w:spacing w:line="560" w:lineRule="exact"/>
        <w:ind w:left="640" w:leftChars="200" w:firstLine="640" w:firstLineChars="200"/>
        <w:rPr>
          <w:rFonts w:ascii="仿宋" w:hAnsi="仿宋" w:eastAsia="仿宋" w:cs="仿宋"/>
          <w:szCs w:val="32"/>
        </w:rPr>
      </w:pPr>
    </w:p>
    <w:p w14:paraId="755EAAFF">
      <w:pPr>
        <w:spacing w:line="560" w:lineRule="exact"/>
        <w:ind w:left="640" w:leftChars="200" w:firstLine="0" w:firstLineChars="0"/>
        <w:rPr>
          <w:rFonts w:hint="eastAsia" w:ascii="仿宋" w:hAnsi="仿宋" w:eastAsia="仿宋" w:cs="仿宋"/>
          <w:szCs w:val="32"/>
          <w:lang w:val="en-US" w:eastAsia="zh-CN"/>
        </w:rPr>
      </w:pPr>
      <w:r>
        <w:rPr>
          <w:rFonts w:hint="eastAsia" w:ascii="仿宋" w:hAnsi="仿宋" w:eastAsia="仿宋" w:cs="仿宋"/>
          <w:szCs w:val="32"/>
        </w:rPr>
        <w:t>项目名称:</w:t>
      </w:r>
      <w:r>
        <w:rPr>
          <w:rFonts w:hint="eastAsia" w:ascii="仿宋" w:hAnsi="仿宋" w:eastAsia="仿宋" w:cs="仿宋"/>
          <w:szCs w:val="32"/>
          <w:lang w:eastAsia="zh-CN"/>
        </w:rPr>
        <w:t>于田县阿热勒乡也台克孜勒村村集体门面房建设项目</w:t>
      </w:r>
    </w:p>
    <w:p w14:paraId="0209A7B0">
      <w:pPr>
        <w:spacing w:line="560" w:lineRule="exact"/>
        <w:ind w:left="640" w:leftChars="200" w:firstLine="0" w:firstLineChars="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实施单位(公章):</w:t>
      </w:r>
      <w:r>
        <w:rPr>
          <w:rFonts w:hint="eastAsia" w:ascii="仿宋" w:hAnsi="仿宋" w:eastAsia="仿宋" w:cs="仿宋"/>
          <w:bCs/>
          <w:color w:val="000000" w:themeColor="text1"/>
          <w:kern w:val="0"/>
          <w:lang w:val="en-US" w:eastAsia="zh-CN"/>
          <w14:textFill>
            <w14:solidFill>
              <w14:schemeClr w14:val="tx1"/>
            </w14:solidFill>
          </w14:textFill>
        </w:rPr>
        <w:t>于田县阿热勒乡人民政府</w:t>
      </w:r>
    </w:p>
    <w:p w14:paraId="1BEAFBCC">
      <w:pPr>
        <w:spacing w:line="560" w:lineRule="exact"/>
        <w:ind w:firstLine="640" w:firstLineChars="200"/>
        <w:rPr>
          <w:rFonts w:hint="eastAsia"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主管部门(公章):</w:t>
      </w:r>
      <w:r>
        <w:rPr>
          <w:rFonts w:hint="eastAsia" w:ascii="仿宋" w:hAnsi="仿宋" w:eastAsia="仿宋" w:cs="仿宋"/>
          <w:bCs/>
          <w:color w:val="000000" w:themeColor="text1"/>
          <w:kern w:val="0"/>
          <w:lang w:val="en-US" w:eastAsia="zh-CN"/>
          <w14:textFill>
            <w14:solidFill>
              <w14:schemeClr w14:val="tx1"/>
            </w14:solidFill>
          </w14:textFill>
        </w:rPr>
        <w:t>于田县发展和改革委员会</w:t>
      </w:r>
    </w:p>
    <w:p w14:paraId="6DA941FF">
      <w:pPr>
        <w:spacing w:line="560" w:lineRule="exact"/>
        <w:ind w:firstLine="640" w:firstLineChars="200"/>
        <w:rPr>
          <w:rFonts w:hint="default" w:ascii="仿宋" w:hAnsi="仿宋" w:eastAsia="仿宋" w:cs="仿宋"/>
          <w:bCs/>
          <w:color w:val="000000" w:themeColor="text1"/>
          <w:kern w:val="0"/>
          <w:lang w:val="en-US" w:eastAsia="zh-CN"/>
          <w14:textFill>
            <w14:solidFill>
              <w14:schemeClr w14:val="tx1"/>
            </w14:solidFill>
          </w14:textFill>
        </w:rPr>
      </w:pPr>
      <w:r>
        <w:rPr>
          <w:rFonts w:hint="eastAsia" w:ascii="仿宋" w:hAnsi="仿宋" w:eastAsia="仿宋" w:cs="仿宋"/>
          <w:szCs w:val="32"/>
        </w:rPr>
        <w:t>项目负责人(签章):</w:t>
      </w:r>
      <w:r>
        <w:rPr>
          <w:rFonts w:hint="eastAsia" w:ascii="仿宋" w:hAnsi="仿宋" w:eastAsia="仿宋" w:cs="仿宋"/>
          <w:bCs/>
          <w:color w:val="000000" w:themeColor="text1"/>
          <w:kern w:val="0"/>
          <w:lang w:val="en-US" w:eastAsia="zh-CN"/>
          <w14:textFill>
            <w14:solidFill>
              <w14:schemeClr w14:val="tx1"/>
            </w14:solidFill>
          </w14:textFill>
        </w:rPr>
        <w:t>史鑫</w:t>
      </w:r>
    </w:p>
    <w:p w14:paraId="161AD71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lang w:val="en-US" w:eastAsia="zh-CN"/>
        </w:rPr>
        <w:t>2</w:t>
      </w:r>
      <w:r>
        <w:rPr>
          <w:rFonts w:ascii="仿宋" w:hAnsi="仿宋" w:eastAsia="仿宋" w:cs="仿宋"/>
          <w:szCs w:val="32"/>
        </w:rPr>
        <w:t>月</w:t>
      </w:r>
      <w:r>
        <w:rPr>
          <w:rFonts w:hint="eastAsia" w:ascii="仿宋" w:hAnsi="仿宋" w:eastAsia="仿宋" w:cs="仿宋"/>
          <w:szCs w:val="32"/>
          <w:lang w:val="en-US" w:eastAsia="zh-CN"/>
        </w:rPr>
        <w:t>20</w:t>
      </w:r>
      <w:r>
        <w:rPr>
          <w:rFonts w:ascii="仿宋" w:hAnsi="仿宋" w:eastAsia="仿宋" w:cs="仿宋"/>
          <w:szCs w:val="32"/>
        </w:rPr>
        <w:t>日</w:t>
      </w:r>
    </w:p>
    <w:p w14:paraId="7A42346D">
      <w:pPr>
        <w:spacing w:line="560" w:lineRule="exact"/>
        <w:ind w:firstLine="640" w:firstLineChars="200"/>
        <w:rPr>
          <w:rFonts w:ascii="仿宋_GB2312" w:hAnsi="仿宋_GB2312" w:cs="仿宋_GB2312"/>
          <w:kern w:val="0"/>
          <w:szCs w:val="32"/>
          <w:lang w:bidi="en-US"/>
        </w:rPr>
      </w:pPr>
    </w:p>
    <w:p w14:paraId="7FAC3CF2">
      <w:pPr>
        <w:spacing w:line="560" w:lineRule="exact"/>
        <w:ind w:firstLine="640" w:firstLineChars="200"/>
        <w:rPr>
          <w:rFonts w:ascii="仿宋_GB2312" w:hAnsi="仿宋_GB2312" w:cs="仿宋_GB2312"/>
          <w:kern w:val="0"/>
          <w:szCs w:val="32"/>
          <w:lang w:bidi="en-US"/>
        </w:rPr>
      </w:pPr>
    </w:p>
    <w:p w14:paraId="596902FE">
      <w:pPr>
        <w:spacing w:line="360" w:lineRule="auto"/>
        <w:ind w:firstLine="627" w:firstLineChars="200"/>
        <w:rPr>
          <w:rStyle w:val="20"/>
          <w:rFonts w:ascii="黑体" w:hAnsi="黑体" w:eastAsia="黑体" w:cs="Times New Roman"/>
          <w:spacing w:val="-4"/>
          <w:szCs w:val="32"/>
        </w:rPr>
      </w:pPr>
    </w:p>
    <w:p w14:paraId="0C99468E">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3BDCE834">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56AA32F8">
      <w:pPr>
        <w:pStyle w:val="53"/>
        <w:ind w:left="3" w:right="3" w:firstLine="562"/>
        <w:rPr>
          <w:rFonts w:ascii="仿宋_GB2312"/>
          <w:b/>
          <w:szCs w:val="32"/>
        </w:rPr>
      </w:pPr>
      <w:r>
        <w:rPr>
          <w:rFonts w:hint="eastAsia" w:ascii="仿宋_GB2312"/>
          <w:b/>
          <w:szCs w:val="32"/>
        </w:rPr>
        <w:t>1.下达预算情况</w:t>
      </w:r>
    </w:p>
    <w:p w14:paraId="6D53942B">
      <w:pPr>
        <w:pStyle w:val="53"/>
        <w:ind w:left="3" w:right="3" w:firstLine="560"/>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szCs w:val="32"/>
        </w:rPr>
        <w:t>本项目根据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于田县阿热勒乡也台克孜勒村村集体门面房建设项目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于发改项目（2024）70号</w:t>
      </w:r>
      <w:r>
        <w:rPr>
          <w:rFonts w:hint="eastAsia" w:ascii="仿宋_GB2312"/>
          <w:szCs w:val="32"/>
          <w:lang w:eastAsia="zh-CN"/>
        </w:rPr>
        <w:t>）</w:t>
      </w:r>
      <w:r>
        <w:rPr>
          <w:rFonts w:hint="eastAsia" w:ascii="仿宋_GB2312"/>
          <w:szCs w:val="32"/>
          <w:lang w:val="en-US" w:eastAsia="zh-CN"/>
        </w:rPr>
        <w:t>文</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于田县阿热勒乡也台克孜勒村村集体门面房建设项目</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预算安排总额为</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371</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万元，其中：乡村振兴衔接资金</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371</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万元。预算资金到位率为100.00%。</w:t>
      </w:r>
    </w:p>
    <w:p w14:paraId="02BEAF9F">
      <w:pPr>
        <w:pStyle w:val="53"/>
        <w:ind w:left="3" w:right="3" w:firstLine="562"/>
        <w:rPr>
          <w:rFonts w:hint="eastAsia" w:ascii="仿宋_GB2312"/>
          <w:b/>
          <w:szCs w:val="32"/>
        </w:rPr>
      </w:pPr>
      <w:r>
        <w:rPr>
          <w:rFonts w:hint="eastAsia" w:ascii="仿宋_GB2312"/>
          <w:b/>
          <w:szCs w:val="32"/>
        </w:rPr>
        <w:t>2.项目实施背景</w:t>
      </w:r>
    </w:p>
    <w:p w14:paraId="2A5F6671">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当前，随着农村社会化、市场化水平大幅提高，“一家一户”单打独斗的经营模式不可避免带来小生产与大市场的对接问题，制约了农村经济的发展。而由于村集体经济发展的滞后，“无钱办事”的空壳村大量存在，村集体带动能力和服务能力严重不足，农民兼业化、农业副业化的问题日益突出，农村人口特别是青壮年劳动力大量流出，一些村出现了不同程度的衰败，直接影响农业现代化建设和乡村振兴。发展壮大新型村级集体经济是实施乡村振兴战略的重要抓手，是推进农业农村现代化的重要内容，是实现共同富裕目标的重要保证。受多方因素影响，和田地区于田县村级集体经济发展相对缓慢，已成为经济社会发展的“短板”，与实施乡村振兴战略的要求不相适应。全市各级各部门要切实提高思想认识，加快发展壮大新型村级集体经济，不断增强村集体经济实力和治理能力，全面推动乡村振兴战略落实落地，团结带领广大农民群众迈向共同富裕的新征程。。本项目就是在这一背景下提出的。</w:t>
      </w:r>
    </w:p>
    <w:p w14:paraId="7165384B">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rPr>
        <w:t>由于上述原因开展</w:t>
      </w:r>
      <w:r>
        <w:rPr>
          <w:rFonts w:hint="eastAsia" w:ascii="仿宋_GB2312" w:hAnsi="Times New Roman" w:eastAsia="仿宋_GB2312" w:cs="Times New Roman"/>
          <w:color w:val="000000"/>
          <w:sz w:val="28"/>
          <w:szCs w:val="32"/>
          <w:lang w:eastAsia="zh-CN"/>
        </w:rPr>
        <w:t>于田县阿热勒乡也台克孜勒村村集体门面房建设项目</w:t>
      </w:r>
      <w:r>
        <w:rPr>
          <w:rFonts w:hint="eastAsia" w:ascii="仿宋_GB2312" w:hAnsi="Times New Roman" w:eastAsia="仿宋_GB2312" w:cs="Times New Roman"/>
          <w:color w:val="000000"/>
          <w:sz w:val="28"/>
          <w:szCs w:val="32"/>
        </w:rPr>
        <w:t>，本项目由</w:t>
      </w:r>
      <w:r>
        <w:rPr>
          <w:rFonts w:hint="eastAsia" w:ascii="仿宋_GB2312" w:hAnsi="Times New Roman" w:eastAsia="仿宋_GB2312" w:cs="Times New Roman"/>
          <w:color w:val="000000" w:themeColor="text1"/>
          <w:sz w:val="28"/>
          <w:szCs w:val="32"/>
          <w:lang w:val="en-US" w:eastAsia="zh-CN"/>
          <w14:textFill>
            <w14:solidFill>
              <w14:schemeClr w14:val="tx1"/>
            </w14:solidFill>
          </w14:textFill>
        </w:rPr>
        <w:t>于田县发展和改革委员会</w:t>
      </w:r>
      <w:r>
        <w:rPr>
          <w:rFonts w:hint="eastAsia" w:ascii="仿宋_GB2312" w:hAnsi="Times New Roman" w:eastAsia="仿宋_GB2312" w:cs="Times New Roman"/>
          <w:color w:val="000000"/>
          <w:sz w:val="28"/>
          <w:szCs w:val="32"/>
        </w:rPr>
        <w:t>主管，</w:t>
      </w:r>
      <w:r>
        <w:rPr>
          <w:rFonts w:hint="eastAsia" w:ascii="仿宋_GB2312" w:hAnsi="Times New Roman" w:eastAsia="仿宋_GB2312" w:cs="Times New Roman"/>
          <w:color w:val="000000"/>
          <w:sz w:val="28"/>
          <w:szCs w:val="32"/>
          <w:lang w:val="en-US" w:eastAsia="zh-CN"/>
        </w:rPr>
        <w:t>于田县阿热勒乡人民政府</w:t>
      </w:r>
      <w:r>
        <w:rPr>
          <w:rFonts w:hint="eastAsia" w:ascii="仿宋_GB2312" w:hAnsi="Times New Roman" w:eastAsia="仿宋_GB2312" w:cs="Times New Roman"/>
          <w:color w:val="000000"/>
          <w:sz w:val="28"/>
          <w:szCs w:val="32"/>
        </w:rPr>
        <w:t>负责实施，项目施工期</w:t>
      </w:r>
      <w:r>
        <w:rPr>
          <w:rFonts w:hint="eastAsia" w:ascii="仿宋_GB2312" w:hAnsi="Times New Roman" w:eastAsia="仿宋_GB2312" w:cs="Times New Roman"/>
          <w:color w:val="000000"/>
          <w:sz w:val="28"/>
          <w:szCs w:val="32"/>
          <w:lang w:val="en-US" w:eastAsia="zh-CN"/>
        </w:rPr>
        <w:t>为2024年1月-2024年9月</w:t>
      </w:r>
      <w:r>
        <w:rPr>
          <w:rFonts w:hint="eastAsia" w:ascii="仿宋_GB2312" w:hAnsi="Times New Roman" w:eastAsia="仿宋_GB2312" w:cs="Times New Roman"/>
          <w:color w:val="000000"/>
          <w:sz w:val="28"/>
          <w:szCs w:val="32"/>
        </w:rPr>
        <w:t>。</w:t>
      </w:r>
    </w:p>
    <w:p w14:paraId="53BC5ABD">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val="en-US" w:eastAsia="zh-CN"/>
        </w:rPr>
        <w:t>工程实施后，通过新建19条巷道，解决永新村部分道路脏、乱、差现状问题，完善项目所在村基础设施配套，提升当地人居环境质量，带动当地乡村振兴。</w:t>
      </w:r>
    </w:p>
    <w:p w14:paraId="3C60EB8A">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2A26653">
      <w:pPr>
        <w:spacing w:line="560" w:lineRule="exact"/>
        <w:ind w:firstLine="560" w:firstLineChars="200"/>
        <w:rPr>
          <w:rFonts w:hint="eastAsia" w:ascii="仿宋_GB2312" w:hAnsi="Times New Roman" w:eastAsia="仿宋_GB2312" w:cs="Times New Roman"/>
          <w:color w:val="000000"/>
          <w:sz w:val="28"/>
          <w:szCs w:val="32"/>
          <w:lang w:eastAsia="zh-CN"/>
        </w:rPr>
      </w:pPr>
      <w:r>
        <w:rPr>
          <w:rFonts w:hint="eastAsia" w:ascii="仿宋_GB2312" w:hAnsi="Times New Roman" w:eastAsia="仿宋_GB2312" w:cs="Times New Roman"/>
          <w:color w:val="000000"/>
          <w:sz w:val="28"/>
          <w:szCs w:val="32"/>
          <w:lang w:eastAsia="zh-CN"/>
        </w:rPr>
        <w:t>于田县阿热勒乡也台克孜勒村村集体门面房建设项目</w:t>
      </w:r>
      <w:r>
        <w:rPr>
          <w:rFonts w:hint="eastAsia" w:ascii="仿宋_GB2312" w:hAnsi="Times New Roman" w:eastAsia="仿宋_GB2312" w:cs="Times New Roman"/>
          <w:color w:val="000000"/>
          <w:sz w:val="28"/>
          <w:szCs w:val="32"/>
        </w:rPr>
        <w:t>，根</w:t>
      </w:r>
      <w:r>
        <w:rPr>
          <w:rFonts w:hint="eastAsia" w:ascii="仿宋_GB2312" w:hAnsi="Times New Roman" w:eastAsia="仿宋_GB2312" w:cs="Times New Roman"/>
          <w:color w:val="000000"/>
          <w:sz w:val="28"/>
          <w:szCs w:val="32"/>
          <w:lang w:eastAsia="zh-CN"/>
        </w:rPr>
        <w:t>据于田县发展和改革委员会下发的《关于对于田县阿热勒乡也台克孜勒村村集体门面房建设项目实施方案的批复》（于发改项目（2024）70号）立项实施，实施范围涉及</w:t>
      </w:r>
      <w:r>
        <w:rPr>
          <w:rFonts w:hint="eastAsia" w:ascii="仿宋_GB2312" w:hAnsi="Times New Roman" w:eastAsia="仿宋_GB2312" w:cs="Times New Roman"/>
          <w:color w:val="000000"/>
          <w:sz w:val="28"/>
          <w:szCs w:val="32"/>
          <w:lang w:val="en-US" w:eastAsia="zh-CN"/>
        </w:rPr>
        <w:t>阿热勒乡也台克孜勒村</w:t>
      </w:r>
      <w:r>
        <w:rPr>
          <w:rFonts w:hint="eastAsia" w:ascii="仿宋_GB2312" w:hAnsi="Times New Roman" w:eastAsia="仿宋_GB2312" w:cs="Times New Roman"/>
          <w:color w:val="000000"/>
          <w:sz w:val="28"/>
          <w:szCs w:val="32"/>
          <w:lang w:eastAsia="zh-CN"/>
        </w:rPr>
        <w:t>。</w:t>
      </w:r>
      <w:r>
        <w:rPr>
          <w:rFonts w:hint="eastAsia" w:ascii="仿宋_GB2312" w:hAnsi="Times New Roman" w:eastAsia="仿宋_GB2312" w:cs="Times New Roman"/>
          <w:color w:val="000000"/>
          <w:sz w:val="28"/>
          <w:szCs w:val="32"/>
        </w:rPr>
        <w:t>建设内容：</w:t>
      </w:r>
      <w:r>
        <w:rPr>
          <w:rFonts w:hint="eastAsia" w:ascii="仿宋_GB2312" w:hAnsi="Times New Roman" w:eastAsia="仿宋_GB2312" w:cs="Times New Roman"/>
          <w:color w:val="000000"/>
          <w:sz w:val="28"/>
          <w:szCs w:val="32"/>
          <w:lang w:eastAsia="zh-CN"/>
        </w:rPr>
        <w:t>拟建于田县阿热勒乡也台克孜勒村村集体门面房1栋，总建筑面积1200㎡，地上二层框架结构形式，室外给水管网40m,室外排水管网50m,室外电网150m，200KVA变压器1台，硬化地面462m。</w:t>
      </w:r>
    </w:p>
    <w:p w14:paraId="554A4FFE">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1FD9E883">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lang w:eastAsia="zh-CN"/>
        </w:rPr>
        <w:t>于田县阿热勒乡也台克孜勒村村集体门面房建设项目</w:t>
      </w:r>
      <w:r>
        <w:rPr>
          <w:rFonts w:hint="eastAsia" w:ascii="仿宋_GB2312" w:hAnsi="Times New Roman" w:eastAsia="仿宋_GB2312" w:cs="Times New Roman"/>
          <w:color w:val="000000"/>
          <w:sz w:val="28"/>
          <w:szCs w:val="32"/>
        </w:rPr>
        <w:t>性质为</w:t>
      </w:r>
      <w:r>
        <w:rPr>
          <w:rFonts w:hint="eastAsia" w:ascii="仿宋_GB2312" w:hAnsi="Times New Roman" w:eastAsia="仿宋_GB2312" w:cs="Times New Roman"/>
          <w:color w:val="000000"/>
          <w:sz w:val="28"/>
          <w:szCs w:val="32"/>
          <w:lang w:val="en-US" w:eastAsia="zh-CN"/>
        </w:rPr>
        <w:t>其他</w:t>
      </w:r>
      <w:r>
        <w:rPr>
          <w:rFonts w:hint="eastAsia" w:ascii="仿宋_GB2312" w:hAnsi="Times New Roman" w:eastAsia="仿宋_GB2312" w:cs="Times New Roman"/>
          <w:color w:val="000000"/>
          <w:sz w:val="28"/>
          <w:szCs w:val="32"/>
        </w:rPr>
        <w:t>项目，属于乡村振兴衔接资金项目。</w:t>
      </w:r>
    </w:p>
    <w:p w14:paraId="22666A8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（二）财政专项乡村振兴衔接资金项目绩效目标设定情况</w:t>
      </w:r>
    </w:p>
    <w:p w14:paraId="6047D90A">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6AED9B4F">
      <w:pPr>
        <w:spacing w:line="560" w:lineRule="exact"/>
        <w:ind w:firstLine="560" w:firstLineChars="200"/>
        <w:rPr>
          <w:rFonts w:hint="eastAsia" w:ascii="仿宋_GB2312" w:hAnsi="Times New Roman" w:eastAsia="仿宋_GB2312" w:cs="Times New Roman"/>
          <w:color w:val="000000"/>
          <w:sz w:val="28"/>
          <w:szCs w:val="32"/>
          <w:lang w:val="en-US" w:eastAsia="zh-CN"/>
        </w:rPr>
      </w:pPr>
      <w:r>
        <w:rPr>
          <w:rFonts w:hint="eastAsia" w:ascii="仿宋_GB2312" w:hAnsi="Times New Roman" w:eastAsia="仿宋_GB2312" w:cs="Times New Roman"/>
          <w:color w:val="000000"/>
          <w:sz w:val="28"/>
          <w:szCs w:val="32"/>
          <w:lang w:eastAsia="zh-CN"/>
        </w:rPr>
        <w:t>于田县阿热勒乡也台克孜勒村村集体门面房建设项目</w:t>
      </w:r>
      <w:r>
        <w:rPr>
          <w:rFonts w:hint="eastAsia" w:ascii="仿宋_GB2312" w:hAnsi="Times New Roman" w:eastAsia="仿宋_GB2312" w:cs="Times New Roman"/>
          <w:color w:val="000000"/>
          <w:sz w:val="28"/>
          <w:szCs w:val="32"/>
          <w:lang w:val="en-US" w:eastAsia="zh-CN"/>
        </w:rPr>
        <w:t>总投资371万元，全部申请以乡村振兴衔接资金。主要内容为：</w:t>
      </w:r>
      <w:r>
        <w:rPr>
          <w:rFonts w:hint="eastAsia" w:ascii="仿宋_GB2312" w:hAnsi="Times New Roman" w:eastAsia="仿宋_GB2312" w:cs="Times New Roman"/>
          <w:color w:val="000000"/>
          <w:sz w:val="28"/>
          <w:szCs w:val="32"/>
          <w:lang w:eastAsia="zh-CN"/>
        </w:rPr>
        <w:t>拟建于田县阿热勒乡也台克孜勒村村集体门面房1栋，总建筑面积1200㎡，地上二层框架结构形式，室外给水管网40m,室外排水管网50m,室外电网150m，200KVA变压器1台，硬化地面462m。</w:t>
      </w:r>
      <w:r>
        <w:rPr>
          <w:rFonts w:hint="eastAsia" w:ascii="仿宋_GB2312" w:hAnsi="Times New Roman" w:eastAsia="仿宋_GB2312" w:cs="Times New Roman"/>
          <w:color w:val="000000"/>
          <w:sz w:val="28"/>
          <w:szCs w:val="32"/>
        </w:rPr>
        <w:t>通过</w:t>
      </w:r>
      <w:r>
        <w:rPr>
          <w:rFonts w:hint="eastAsia" w:ascii="仿宋_GB2312" w:hAnsi="Times New Roman" w:eastAsia="仿宋_GB2312" w:cs="Times New Roman"/>
          <w:color w:val="000000"/>
          <w:sz w:val="28"/>
          <w:szCs w:val="32"/>
          <w:lang w:eastAsia="zh-CN"/>
        </w:rPr>
        <w:t>于田县阿热勒乡也台克孜勒村村集体门面房建设项目</w:t>
      </w:r>
      <w:r>
        <w:rPr>
          <w:rFonts w:hint="eastAsia" w:ascii="仿宋_GB2312" w:hAnsi="Times New Roman" w:eastAsia="仿宋_GB2312" w:cs="Times New Roman"/>
          <w:color w:val="000000"/>
          <w:sz w:val="28"/>
          <w:szCs w:val="32"/>
        </w:rPr>
        <w:t>实施</w:t>
      </w:r>
      <w:r>
        <w:rPr>
          <w:rFonts w:hint="eastAsia" w:ascii="仿宋_GB2312" w:hAnsi="Times New Roman" w:eastAsia="仿宋_GB2312" w:cs="Times New Roman"/>
          <w:color w:val="000000"/>
          <w:sz w:val="28"/>
          <w:szCs w:val="32"/>
          <w:lang w:val="en-US" w:eastAsia="zh-CN"/>
        </w:rPr>
        <w:t>，通过出租门面房，为村集体创造稳定的租金收入。提升村民生活水平：通过门面房项目的运营，提供就业机会，增加村民收入。促进农村经济可持续发展：吸引更多投资，带动相关产业的发展，形成良性循环。</w:t>
      </w:r>
    </w:p>
    <w:p w14:paraId="6B82DD83">
      <w:pPr>
        <w:pStyle w:val="53"/>
        <w:spacing w:line="560" w:lineRule="exact"/>
        <w:ind w:left="3" w:right="3" w:firstLine="562"/>
        <w:rPr>
          <w:rFonts w:ascii="仿宋_GB2312"/>
          <w:b/>
          <w:bCs/>
          <w:szCs w:val="32"/>
        </w:rPr>
      </w:pPr>
      <w:r>
        <w:rPr>
          <w:rFonts w:hint="eastAsia" w:ascii="仿宋_GB2312"/>
          <w:b/>
          <w:bCs/>
          <w:szCs w:val="32"/>
        </w:rPr>
        <w:t>2.具体绩效指标</w:t>
      </w:r>
    </w:p>
    <w:p w14:paraId="77FF048E">
      <w:pPr>
        <w:pStyle w:val="53"/>
        <w:spacing w:line="560" w:lineRule="exact"/>
        <w:ind w:left="3" w:right="3" w:firstLine="560"/>
        <w:rPr>
          <w:rFonts w:ascii="仿宋_GB2312"/>
          <w:szCs w:val="32"/>
        </w:rPr>
      </w:pPr>
      <w:r>
        <w:rPr>
          <w:rFonts w:ascii="仿宋_GB2312"/>
          <w:szCs w:val="32"/>
        </w:rPr>
        <w:t>根据《自治区财政专项扶贫资金绩效管理操作指南》（新财预〔2019〕170号）的规定，结合项目具体情况，</w:t>
      </w:r>
      <w:r>
        <w:rPr>
          <w:rFonts w:hint="eastAsia" w:ascii="仿宋_GB2312"/>
          <w:szCs w:val="32"/>
        </w:rPr>
        <w:t>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16</w:t>
      </w:r>
      <w:r>
        <w:rPr>
          <w:rFonts w:hint="eastAsia" w:ascii="仿宋_GB2312"/>
          <w:szCs w:val="32"/>
        </w:rPr>
        <w:t>个。</w:t>
      </w:r>
    </w:p>
    <w:p w14:paraId="484DE238">
      <w:pPr>
        <w:pStyle w:val="30"/>
        <w:spacing w:before="120"/>
        <w:ind w:left="0" w:leftChars="0" w:right="3" w:firstLine="562" w:firstLineChars="200"/>
        <w:rPr>
          <w:rFonts w:eastAsia="宋体"/>
          <w:sz w:val="21"/>
        </w:rPr>
      </w:pPr>
      <w:r>
        <w:rPr>
          <w:rFonts w:hint="eastAsia"/>
        </w:rPr>
        <w:t>二、绩效自评工作开展情况</w:t>
      </w:r>
    </w:p>
    <w:p w14:paraId="1E3C53B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（一）绩效自评工作开展范围</w:t>
      </w:r>
    </w:p>
    <w:p w14:paraId="73AC4208">
      <w:pPr>
        <w:pStyle w:val="53"/>
        <w:spacing w:line="560" w:lineRule="exact"/>
        <w:ind w:left="3" w:right="3" w:firstLine="560"/>
      </w:pPr>
      <w:r>
        <w:t>本次自评范围涵盖项目总体绩效目标、各项绩效指标完成情况以及预算执行情况。</w:t>
      </w:r>
    </w:p>
    <w:p w14:paraId="4FF17995">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（二）绩效自评工作对象</w:t>
      </w:r>
    </w:p>
    <w:p w14:paraId="4AEDAFFF">
      <w:pPr>
        <w:pStyle w:val="53"/>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sz w:val="28"/>
          <w:szCs w:val="32"/>
          <w:lang w:val="en-US" w:eastAsia="zh-CN"/>
        </w:rPr>
        <w:t>于田县阿热勒乡也台克孜勒村村集体门面房建设项目</w:t>
      </w:r>
      <w:r>
        <w:t>资金的使用管理、项目产出、综合效益等进行评价。</w:t>
      </w:r>
    </w:p>
    <w:p w14:paraId="0AF0C0A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11F349B1">
      <w:pPr>
        <w:pStyle w:val="34"/>
      </w:pPr>
      <w:r>
        <w:rPr>
          <w:rFonts w:hint="eastAsia"/>
        </w:rPr>
        <w:t>1.前期准备</w:t>
      </w:r>
    </w:p>
    <w:p w14:paraId="1D20E09D">
      <w:pPr>
        <w:pStyle w:val="53"/>
        <w:spacing w:line="560" w:lineRule="exact"/>
        <w:ind w:left="3" w:right="0" w:rightChars="0" w:firstLine="560"/>
      </w:pPr>
      <w:r>
        <w:t>202</w:t>
      </w:r>
      <w:r>
        <w:rPr>
          <w:rFonts w:hint="eastAsia"/>
          <w:lang w:val="en-US" w:eastAsia="zh-CN"/>
        </w:rPr>
        <w:t>4</w:t>
      </w:r>
      <w:r>
        <w:t>年，认真学习相关要求与规定，成立绩效自评工作组，作为绩效自评工作具体实施机构。成员构成如下：</w:t>
      </w:r>
    </w:p>
    <w:p w14:paraId="5FE1A5C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组  长</w:t>
      </w:r>
      <w:r>
        <w:rPr>
          <w:rFonts w:hint="eastAsia"/>
          <w:highlight w:val="none"/>
          <w:lang w:eastAsia="zh-CN"/>
        </w:rPr>
        <w:t>：</w:t>
      </w:r>
      <w:r>
        <w:rPr>
          <w:rFonts w:hint="eastAsia"/>
          <w:highlight w:val="none"/>
          <w:lang w:val="en-US" w:eastAsia="zh-CN"/>
        </w:rPr>
        <w:t xml:space="preserve">吾麦尔江·赛提瓦                   </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w:t>
      </w:r>
      <w:r>
        <w:rPr>
          <w:rFonts w:hint="eastAsia"/>
          <w:highlight w:val="none"/>
          <w:lang w:val="en-US" w:eastAsia="zh-CN"/>
        </w:rPr>
        <w:t>副</w:t>
      </w:r>
      <w:r>
        <w:rPr>
          <w:rFonts w:hint="eastAsia"/>
          <w:highlight w:val="none"/>
          <w:lang w:eastAsia="zh-CN"/>
        </w:rPr>
        <w:t>书记、</w:t>
      </w:r>
      <w:r>
        <w:rPr>
          <w:rFonts w:hint="eastAsia"/>
          <w:highlight w:val="none"/>
          <w:lang w:val="en-US" w:eastAsia="zh-CN"/>
        </w:rPr>
        <w:t>乡长</w:t>
      </w:r>
    </w:p>
    <w:p w14:paraId="3D2D0493">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default"/>
          <w:highlight w:val="none"/>
          <w:lang w:val="en-US" w:eastAsia="zh-CN"/>
        </w:rPr>
      </w:pPr>
      <w:r>
        <w:rPr>
          <w:rFonts w:hint="eastAsia"/>
          <w:highlight w:val="none"/>
        </w:rPr>
        <w:t>副组长：</w:t>
      </w:r>
      <w:r>
        <w:rPr>
          <w:rFonts w:hint="eastAsia"/>
          <w:highlight w:val="none"/>
          <w:lang w:val="en-US" w:eastAsia="zh-CN"/>
        </w:rPr>
        <w:t>刘栋                          党委委员、武装部长</w:t>
      </w:r>
    </w:p>
    <w:p w14:paraId="6B9FE95C">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eastAsia"/>
          <w:highlight w:val="none"/>
          <w:lang w:eastAsia="zh-CN"/>
        </w:rPr>
      </w:pPr>
      <w:r>
        <w:rPr>
          <w:rFonts w:hint="eastAsia"/>
          <w:highlight w:val="none"/>
          <w:lang w:eastAsia="zh-CN"/>
        </w:rPr>
        <w:t>罗震</w:t>
      </w:r>
      <w:r>
        <w:rPr>
          <w:rFonts w:hint="eastAsia"/>
          <w:highlight w:val="none"/>
        </w:rPr>
        <w:t xml:space="preserve">         </w:t>
      </w:r>
      <w:r>
        <w:rPr>
          <w:highlight w:val="none"/>
        </w:rPr>
        <w:t xml:space="preserve">                     </w:t>
      </w:r>
      <w:r>
        <w:rPr>
          <w:rFonts w:hint="eastAsia"/>
          <w:highlight w:val="none"/>
          <w:lang w:val="en-US" w:eastAsia="zh-CN"/>
        </w:rPr>
        <w:t xml:space="preserve">              </w:t>
      </w:r>
      <w:r>
        <w:rPr>
          <w:rFonts w:hint="eastAsia"/>
          <w:highlight w:val="none"/>
          <w:lang w:eastAsia="zh-CN"/>
        </w:rPr>
        <w:t>党委委员、纪委书记、监察办主任</w:t>
      </w:r>
    </w:p>
    <w:p w14:paraId="7DC35531">
      <w:pPr>
        <w:pStyle w:val="53"/>
        <w:keepNext w:val="0"/>
        <w:keepLines w:val="0"/>
        <w:pageBreakBefore w:val="0"/>
        <w:kinsoku/>
        <w:wordWrap/>
        <w:overflowPunct/>
        <w:topLinePunct w:val="0"/>
        <w:autoSpaceDE/>
        <w:autoSpaceDN/>
        <w:bidi w:val="0"/>
        <w:adjustRightInd/>
        <w:spacing w:line="560" w:lineRule="exact"/>
        <w:ind w:left="3" w:right="3" w:firstLine="560"/>
        <w:textAlignment w:val="auto"/>
        <w:rPr>
          <w:rFonts w:hint="eastAsia"/>
          <w:highlight w:val="none"/>
        </w:rPr>
      </w:pPr>
      <w:r>
        <w:rPr>
          <w:rFonts w:hint="eastAsia"/>
          <w:highlight w:val="none"/>
        </w:rPr>
        <w:t>成  员：</w:t>
      </w:r>
    </w:p>
    <w:p w14:paraId="700131ED">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rFonts w:hint="default"/>
          <w:highlight w:val="none"/>
          <w:lang w:val="en-US" w:eastAsia="zh-CN"/>
        </w:rPr>
      </w:pPr>
      <w:r>
        <w:rPr>
          <w:rFonts w:hint="eastAsia"/>
          <w:highlight w:val="none"/>
          <w:lang w:eastAsia="zh-CN"/>
        </w:rPr>
        <w:t>艾力</w:t>
      </w:r>
      <w:r>
        <w:rPr>
          <w:rFonts w:hint="eastAsia"/>
          <w:highlight w:val="none"/>
          <w:lang w:val="en-US" w:eastAsia="zh-CN"/>
        </w:rPr>
        <w:t>·喀哈尔                                                                             财政所所长</w:t>
      </w:r>
    </w:p>
    <w:p w14:paraId="541004A5">
      <w:pPr>
        <w:pStyle w:val="53"/>
        <w:keepNext w:val="0"/>
        <w:keepLines w:val="0"/>
        <w:pageBreakBefore w:val="0"/>
        <w:kinsoku/>
        <w:wordWrap/>
        <w:overflowPunct/>
        <w:topLinePunct w:val="0"/>
        <w:autoSpaceDE/>
        <w:autoSpaceDN/>
        <w:bidi w:val="0"/>
        <w:adjustRightInd/>
        <w:spacing w:line="560" w:lineRule="exact"/>
        <w:ind w:left="0" w:leftChars="0" w:right="3" w:firstLine="560" w:firstLineChars="200"/>
        <w:textAlignment w:val="auto"/>
        <w:rPr>
          <w:highlight w:val="none"/>
        </w:rPr>
      </w:pPr>
      <w:r>
        <w:rPr>
          <w:rFonts w:hint="eastAsia"/>
          <w:highlight w:val="none"/>
          <w:lang w:eastAsia="zh-CN"/>
        </w:rPr>
        <w:t>阿米娜</w:t>
      </w:r>
      <w:r>
        <w:rPr>
          <w:rFonts w:hint="eastAsia"/>
          <w:highlight w:val="none"/>
          <w:lang w:val="en-US" w:eastAsia="zh-CN"/>
        </w:rPr>
        <w:t>·买合木提</w:t>
      </w:r>
      <w:r>
        <w:rPr>
          <w:rFonts w:hint="eastAsia"/>
          <w:highlight w:val="none"/>
        </w:rPr>
        <w:t xml:space="preserve"> </w:t>
      </w:r>
      <w:r>
        <w:rPr>
          <w:rFonts w:hint="eastAsia"/>
          <w:highlight w:val="none"/>
          <w:lang w:val="en-US" w:eastAsia="zh-CN"/>
        </w:rPr>
        <w:t xml:space="preserve">                                                    </w:t>
      </w:r>
      <w:r>
        <w:rPr>
          <w:highlight w:val="none"/>
        </w:rPr>
        <w:t xml:space="preserve">                </w:t>
      </w:r>
      <w:r>
        <w:rPr>
          <w:rFonts w:hint="eastAsia"/>
          <w:highlight w:val="none"/>
          <w:lang w:eastAsia="zh-CN"/>
        </w:rPr>
        <w:t>财政所</w:t>
      </w:r>
      <w:r>
        <w:rPr>
          <w:rFonts w:hint="eastAsia"/>
          <w:highlight w:val="none"/>
        </w:rPr>
        <w:t>科员</w:t>
      </w:r>
    </w:p>
    <w:p w14:paraId="1F3D7B02">
      <w:pPr>
        <w:pStyle w:val="53"/>
        <w:spacing w:line="560" w:lineRule="exact"/>
        <w:ind w:left="3" w:right="3" w:firstLine="560"/>
        <w:rPr>
          <w:rFonts w:hint="eastAsia"/>
          <w:highlight w:val="none"/>
          <w:lang w:val="en-US" w:eastAsia="zh-CN"/>
        </w:rPr>
      </w:pPr>
      <w:r>
        <w:rPr>
          <w:rFonts w:hint="eastAsia"/>
          <w:highlight w:val="none"/>
          <w:lang w:val="en-US" w:eastAsia="zh-CN"/>
        </w:rPr>
        <w:t>耿新娟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四级主任科员</w:t>
      </w:r>
    </w:p>
    <w:p w14:paraId="10F73A35">
      <w:pPr>
        <w:pStyle w:val="53"/>
        <w:spacing w:line="560" w:lineRule="exact"/>
        <w:ind w:left="3" w:right="3" w:firstLine="560"/>
        <w:rPr>
          <w:rFonts w:hint="eastAsia"/>
          <w:highlight w:val="none"/>
          <w:lang w:val="en-US" w:eastAsia="zh-CN"/>
        </w:rPr>
      </w:pPr>
      <w:r>
        <w:rPr>
          <w:rFonts w:hint="eastAsia"/>
          <w:highlight w:val="none"/>
        </w:rPr>
        <w:t xml:space="preserve"> </w:t>
      </w:r>
      <w:r>
        <w:rPr>
          <w:rFonts w:hint="eastAsia"/>
          <w:highlight w:val="none"/>
          <w:lang w:val="en-US" w:eastAsia="zh-CN"/>
        </w:rPr>
        <w:t>刘建涛</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 xml:space="preserve">                                    四级主任科员</w:t>
      </w:r>
    </w:p>
    <w:p w14:paraId="5511F1D6">
      <w:pPr>
        <w:pStyle w:val="53"/>
        <w:spacing w:line="560" w:lineRule="exact"/>
        <w:ind w:left="282" w:leftChars="88" w:right="3" w:firstLine="280" w:firstLineChars="100"/>
      </w:pPr>
      <w:r>
        <w:rPr>
          <w:rFonts w:hint="eastAsia"/>
        </w:rPr>
        <w:t>办公室负责项目的计划制定、实施，督查、指导相关单位共同做好项目管理工作。切实把该项目作为生态健康建设的重要举措来抓，加强领导，明确分工，落实责任，密切配合，形成合力，推动该项目顺利实施。由</w:t>
      </w:r>
      <w:r>
        <w:rPr>
          <w:rFonts w:hint="eastAsia"/>
          <w:lang w:val="en-US" w:eastAsia="zh-CN"/>
        </w:rPr>
        <w:t>于田县阿热勒乡人民政府</w:t>
      </w:r>
      <w:r>
        <w:rPr>
          <w:rFonts w:hint="eastAsia"/>
        </w:rPr>
        <w:t>单位牵头，负责整个项目的统筹安排和经费使用管理工作，实现分级管理制度。</w:t>
      </w:r>
    </w:p>
    <w:p w14:paraId="0F1F935A">
      <w:pPr>
        <w:pStyle w:val="34"/>
      </w:pPr>
      <w:r>
        <w:rPr>
          <w:rFonts w:hint="eastAsia"/>
        </w:rPr>
        <w:t>2.组织实施</w:t>
      </w:r>
    </w:p>
    <w:p w14:paraId="17F4A421">
      <w:pPr>
        <w:pStyle w:val="53"/>
        <w:spacing w:line="560" w:lineRule="exact"/>
        <w:ind w:left="3" w:right="3" w:firstLine="560"/>
      </w:pPr>
      <w:r>
        <w:t>成立绩效自评工作组后，经评价组通过实地调研等方式，采用综合分析法对项目的决策、管理、绩效进行的综合评价分析。</w:t>
      </w:r>
    </w:p>
    <w:p w14:paraId="68C93C48">
      <w:pPr>
        <w:pStyle w:val="34"/>
      </w:pPr>
      <w:r>
        <w:rPr>
          <w:rFonts w:hint="eastAsia"/>
        </w:rPr>
        <w:t>3.分析评价。</w:t>
      </w:r>
    </w:p>
    <w:p w14:paraId="54495EA5">
      <w:pPr>
        <w:pStyle w:val="53"/>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2C3F49EE">
      <w:pPr>
        <w:pStyle w:val="53"/>
        <w:spacing w:line="560" w:lineRule="exact"/>
        <w:ind w:left="3" w:right="3" w:firstLine="560"/>
      </w:pPr>
      <w:r>
        <w:t>（1）绩效自评指标体系</w:t>
      </w:r>
    </w:p>
    <w:p w14:paraId="505E9F8F">
      <w:pPr>
        <w:pStyle w:val="53"/>
        <w:spacing w:line="560" w:lineRule="exact"/>
        <w:ind w:left="3" w:right="3" w:firstLine="560"/>
      </w:pPr>
      <w:r>
        <w:t>按照《自治区财政专项扶贫资金绩效管理操作指南》（新财预〔2019〕170号）文件要求，并根据项目各项指标重要程度确定二级指标的分值，并对核心指标赋予更高的权重。其中：数量指标</w:t>
      </w:r>
      <w:r>
        <w:rPr>
          <w:rFonts w:hint="eastAsia"/>
          <w:lang w:val="en-US" w:eastAsia="zh-CN"/>
        </w:rPr>
        <w:t>24</w:t>
      </w:r>
      <w:r>
        <w:t>分、质量指标</w:t>
      </w:r>
      <w:r>
        <w:rPr>
          <w:rFonts w:hint="eastAsia"/>
          <w:lang w:val="en-US" w:eastAsia="zh-CN"/>
        </w:rPr>
        <w:t>8</w:t>
      </w:r>
      <w:r>
        <w:t>分，时效指标</w:t>
      </w:r>
      <w:r>
        <w:rPr>
          <w:rFonts w:hint="eastAsia"/>
          <w:lang w:val="en-US" w:eastAsia="zh-CN"/>
        </w:rPr>
        <w:t>10</w:t>
      </w:r>
      <w:r>
        <w:t>分、成本指标</w:t>
      </w:r>
      <w:r>
        <w:rPr>
          <w:rFonts w:hint="eastAsia"/>
          <w:lang w:val="en-US" w:eastAsia="zh-CN"/>
        </w:rPr>
        <w:t>8</w:t>
      </w:r>
      <w:r>
        <w:t>分、社会效益指标</w:t>
      </w:r>
      <w:r>
        <w:rPr>
          <w:rFonts w:hint="eastAsia"/>
          <w:lang w:val="en-US" w:eastAsia="zh-CN"/>
        </w:rPr>
        <w:t>30</w:t>
      </w:r>
      <w:r>
        <w:t>分</w:t>
      </w:r>
      <w:r>
        <w:rPr>
          <w:rFonts w:hint="eastAsia"/>
          <w:lang w:val="en-US" w:eastAsia="zh-CN"/>
        </w:rPr>
        <w:t>，服务对象</w:t>
      </w:r>
      <w:r>
        <w:rPr>
          <w:rFonts w:hint="eastAsia"/>
        </w:rPr>
        <w:t>满意度指标</w:t>
      </w:r>
      <w:r>
        <w:t>10分、预算资金执行率10分，满分100分。</w:t>
      </w:r>
    </w:p>
    <w:p w14:paraId="57841B21">
      <w:pPr>
        <w:pStyle w:val="53"/>
        <w:spacing w:line="560" w:lineRule="exact"/>
        <w:ind w:left="3" w:right="3" w:firstLine="560"/>
      </w:pPr>
      <w:r>
        <w:t>（2）绩效自评方法</w:t>
      </w:r>
    </w:p>
    <w:p w14:paraId="2D1261B5">
      <w:pPr>
        <w:pStyle w:val="53"/>
        <w:spacing w:line="560" w:lineRule="exact"/>
        <w:ind w:left="3" w:right="3" w:firstLine="560"/>
      </w:pPr>
      <w:r>
        <w:t>本次绩效自评采用比较法和综合分析法对项目资金的使用管理、项目产出、综合效益等进行评价。</w:t>
      </w:r>
    </w:p>
    <w:p w14:paraId="778BAEC7">
      <w:pPr>
        <w:pStyle w:val="53"/>
        <w:spacing w:line="560" w:lineRule="exact"/>
        <w:ind w:left="3" w:right="3" w:firstLine="560"/>
      </w:pPr>
      <w:r>
        <w:t>（3）绩效自评标准</w:t>
      </w:r>
    </w:p>
    <w:p w14:paraId="3D5E1778">
      <w:pPr>
        <w:pStyle w:val="53"/>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4E2DFA9E">
      <w:pPr>
        <w:pStyle w:val="53"/>
        <w:spacing w:line="560" w:lineRule="exact"/>
        <w:ind w:left="3" w:right="3" w:firstLine="560"/>
      </w:pPr>
      <w:r>
        <w:t>（4）绩效自评等级</w:t>
      </w:r>
    </w:p>
    <w:p w14:paraId="7523E4E0">
      <w:pPr>
        <w:pStyle w:val="53"/>
        <w:spacing w:line="560" w:lineRule="exact"/>
        <w:ind w:left="3" w:right="3" w:firstLine="560"/>
      </w:pPr>
      <w:r>
        <w:t>绩效自评总分值100分，根据评分结果，90（含）-100分为优、80（含）-90分为良、60（含）-80分为中、60分以下为差。</w:t>
      </w:r>
    </w:p>
    <w:p w14:paraId="73C1DD68">
      <w:pPr>
        <w:pStyle w:val="30"/>
        <w:spacing w:before="120"/>
        <w:ind w:leftChars="0" w:right="3" w:firstLine="562" w:firstLineChars="200"/>
      </w:pPr>
      <w:r>
        <w:rPr>
          <w:rFonts w:hint="eastAsia"/>
        </w:rPr>
        <w:t>三、绩效目标自评完成情况分析</w:t>
      </w:r>
    </w:p>
    <w:p w14:paraId="245D5ED7">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4EF98A14">
      <w:pPr>
        <w:pStyle w:val="34"/>
      </w:pPr>
      <w:r>
        <w:rPr>
          <w:rFonts w:hint="eastAsia"/>
        </w:rPr>
        <w:t>1.项目资金到位情况分析</w:t>
      </w:r>
    </w:p>
    <w:p w14:paraId="092B1623">
      <w:pPr>
        <w:pStyle w:val="53"/>
        <w:spacing w:line="560" w:lineRule="exact"/>
        <w:ind w:left="0" w:leftChars="0" w:right="3" w:firstLine="560"/>
        <w:rPr>
          <w:rFonts w:hint="eastAsia"/>
          <w:lang w:val="en-US" w:eastAsia="zh-CN"/>
        </w:rPr>
      </w:pPr>
      <w:r>
        <w:rPr>
          <w:rFonts w:hint="eastAsia"/>
          <w:lang w:val="en-US" w:eastAsia="zh-CN"/>
        </w:rPr>
        <w:t>于田县阿热勒乡也台克孜勒村村集体门面房建设项目</w:t>
      </w:r>
      <w:r>
        <w:rPr>
          <w:rFonts w:hint="eastAsia"/>
        </w:rPr>
        <w:t>预算安排总额为</w:t>
      </w:r>
      <w:r>
        <w:rPr>
          <w:rFonts w:hint="eastAsia"/>
          <w:lang w:val="en-US" w:eastAsia="zh-CN"/>
        </w:rPr>
        <w:t>371万元，其中：乡村振兴衔接资金371万元。预算资金到位率为100.00%。</w:t>
      </w:r>
    </w:p>
    <w:p w14:paraId="11BEE088">
      <w:pPr>
        <w:pStyle w:val="53"/>
        <w:spacing w:line="560" w:lineRule="exact"/>
        <w:ind w:left="0" w:leftChars="0" w:right="3" w:firstLine="562"/>
        <w:rPr>
          <w:b/>
        </w:rPr>
      </w:pPr>
      <w:r>
        <w:rPr>
          <w:rFonts w:hint="eastAsia"/>
          <w:b/>
        </w:rPr>
        <w:t>2.项目资金执行情况分析</w:t>
      </w:r>
    </w:p>
    <w:p w14:paraId="54F3A9B3">
      <w:pPr>
        <w:pStyle w:val="53"/>
        <w:spacing w:line="560" w:lineRule="exact"/>
        <w:ind w:left="0" w:leftChars="0" w:right="3" w:firstLine="560"/>
        <w:rPr>
          <w:rFonts w:hint="eastAsia"/>
          <w:lang w:val="en-US" w:eastAsia="zh-CN"/>
        </w:rPr>
      </w:pPr>
      <w:r>
        <w:rPr>
          <w:rFonts w:hint="eastAsia"/>
          <w:lang w:val="en-US" w:eastAsia="zh-CN"/>
        </w:rPr>
        <w:t>于田县阿热勒乡也台克孜勒村村集体门面房建设项目，</w:t>
      </w:r>
      <w:r>
        <w:rPr>
          <w:rFonts w:hint="eastAsia"/>
        </w:rPr>
        <w:t>预算投入资金</w:t>
      </w:r>
      <w:r>
        <w:rPr>
          <w:rFonts w:hint="eastAsia"/>
          <w:lang w:val="en-US" w:eastAsia="zh-CN"/>
        </w:rPr>
        <w:t>371万元，经财务决算，项目实际完成投资共367.76万元，其中：工程费用325.99万元，工程建设其他费用41.77万元，实际工程节概资金3.24万元。截至2024年12月31日，项目实际支出367.76万元，预算资金执行率99.13%。</w:t>
      </w:r>
    </w:p>
    <w:p w14:paraId="6C48FA51">
      <w:pPr>
        <w:pStyle w:val="34"/>
      </w:pPr>
      <w:r>
        <w:rPr>
          <w:rFonts w:hint="eastAsia"/>
        </w:rPr>
        <w:t>3.项目资金管理情况分析</w:t>
      </w:r>
    </w:p>
    <w:p w14:paraId="66FA3C27">
      <w:pPr>
        <w:pStyle w:val="53"/>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CE3B718">
      <w:pPr>
        <w:pStyle w:val="53"/>
        <w:spacing w:line="560" w:lineRule="exact"/>
        <w:ind w:leftChars="0" w:right="3" w:firstLine="562"/>
        <w:rPr>
          <w:b/>
        </w:rPr>
      </w:pPr>
      <w:r>
        <w:rPr>
          <w:rFonts w:hint="eastAsia"/>
          <w:b/>
        </w:rPr>
        <w:t>4.项目管理情况分析</w:t>
      </w:r>
    </w:p>
    <w:p w14:paraId="4455BB3F">
      <w:pPr>
        <w:pStyle w:val="53"/>
        <w:spacing w:line="580" w:lineRule="exact"/>
        <w:ind w:left="0" w:leftChars="0" w:right="3" w:firstLine="560"/>
      </w:pPr>
      <w:r>
        <w:rPr>
          <w:rFonts w:hint="eastAsia"/>
        </w:rPr>
        <w:t>在项目实施中，</w:t>
      </w:r>
      <w:r>
        <w:rPr>
          <w:rFonts w:hint="eastAsia"/>
          <w:lang w:val="en-US" w:eastAsia="zh-CN"/>
        </w:rPr>
        <w:t>于田县阿热勒乡人民政府</w:t>
      </w:r>
      <w:r>
        <w:rPr>
          <w:rFonts w:hint="eastAsia"/>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1EB2A922">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53E67CEB">
      <w:pPr>
        <w:pStyle w:val="53"/>
        <w:spacing w:line="560" w:lineRule="exact"/>
        <w:ind w:left="3" w:right="3" w:firstLine="560"/>
        <w:rPr>
          <w:rFonts w:hint="eastAsia" w:ascii="仿宋_GB2312"/>
          <w:szCs w:val="32"/>
        </w:rPr>
      </w:pPr>
      <w:r>
        <w:rPr>
          <w:rFonts w:hint="eastAsia" w:ascii="仿宋_GB2312"/>
          <w:szCs w:val="32"/>
        </w:rPr>
        <w:t>本项目在</w:t>
      </w:r>
      <w:r>
        <w:rPr>
          <w:rFonts w:hint="eastAsia" w:ascii="仿宋_GB2312"/>
          <w:szCs w:val="32"/>
          <w:lang w:val="en-US" w:eastAsia="zh-CN"/>
        </w:rPr>
        <w:t>2024年</w:t>
      </w:r>
      <w:r>
        <w:rPr>
          <w:rFonts w:hint="eastAsia" w:ascii="仿宋_GB2312"/>
          <w:szCs w:val="32"/>
        </w:rPr>
        <w:t>截止1</w:t>
      </w:r>
      <w:r>
        <w:rPr>
          <w:rFonts w:hint="eastAsia" w:ascii="仿宋_GB2312"/>
          <w:szCs w:val="32"/>
          <w:lang w:val="en-US" w:eastAsia="zh-CN"/>
        </w:rPr>
        <w:t>2</w:t>
      </w:r>
      <w:r>
        <w:rPr>
          <w:rFonts w:hint="eastAsia" w:ascii="仿宋_GB2312"/>
          <w:szCs w:val="32"/>
        </w:rPr>
        <w:t>月底，工</w:t>
      </w:r>
      <w:r>
        <w:rPr>
          <w:rFonts w:hint="eastAsia" w:ascii="仿宋_GB2312"/>
          <w:color w:val="000000" w:themeColor="text1"/>
          <w:szCs w:val="32"/>
          <w14:textFill>
            <w14:solidFill>
              <w14:schemeClr w14:val="tx1"/>
            </w14:solidFill>
          </w14:textFill>
        </w:rPr>
        <w:t>程实际</w:t>
      </w:r>
      <w:r>
        <w:rPr>
          <w:rFonts w:hint="eastAsia" w:ascii="仿宋_GB2312"/>
          <w:szCs w:val="32"/>
        </w:rPr>
        <w:t>完成</w:t>
      </w:r>
      <w:r>
        <w:rPr>
          <w:rFonts w:hint="eastAsia" w:ascii="仿宋_GB2312" w:cs="Times New Roman"/>
          <w:color w:val="000000"/>
          <w:sz w:val="28"/>
          <w:szCs w:val="32"/>
          <w:lang w:eastAsia="zh-CN"/>
        </w:rPr>
        <w:t>拟建于田县阿热勒乡也台克孜勒村村集体门面房1栋，总建筑面积1200㎡，地上二层框架结构形式，室外给水管网40m,室外排水管网50m,室外电网150m，200KVA变压器1台，硬化地面462m。</w:t>
      </w:r>
      <w:r>
        <w:rPr>
          <w:rFonts w:hint="eastAsia" w:ascii="仿宋_GB2312"/>
          <w:szCs w:val="32"/>
        </w:rPr>
        <w:t>该工程已完成竣工验收，资产</w:t>
      </w:r>
      <w:r>
        <w:rPr>
          <w:rFonts w:hint="eastAsia" w:ascii="仿宋_GB2312"/>
          <w:szCs w:val="32"/>
          <w:lang w:val="en-US" w:eastAsia="zh-CN"/>
        </w:rPr>
        <w:t>由于田县阿热勒乡人民政府</w:t>
      </w:r>
      <w:r>
        <w:rPr>
          <w:rFonts w:hint="eastAsia" w:ascii="仿宋_GB2312"/>
          <w:szCs w:val="32"/>
        </w:rPr>
        <w:t>负责运行，维护。本项目共设置一级指标3个，二级指标</w:t>
      </w:r>
      <w:r>
        <w:rPr>
          <w:rFonts w:hint="eastAsia" w:ascii="仿宋_GB2312"/>
          <w:szCs w:val="32"/>
          <w:lang w:val="en-US" w:eastAsia="zh-CN"/>
        </w:rPr>
        <w:t>6</w:t>
      </w:r>
      <w:r>
        <w:rPr>
          <w:rFonts w:hint="eastAsia" w:ascii="仿宋_GB2312"/>
          <w:szCs w:val="32"/>
        </w:rPr>
        <w:t>个，三级指标</w:t>
      </w:r>
      <w:r>
        <w:rPr>
          <w:rFonts w:hint="eastAsia" w:ascii="仿宋_GB2312"/>
          <w:szCs w:val="32"/>
          <w:lang w:val="en-US" w:eastAsia="zh-CN"/>
        </w:rPr>
        <w:t>16</w:t>
      </w:r>
      <w:r>
        <w:rPr>
          <w:rFonts w:hint="eastAsia" w:ascii="仿宋_GB2312"/>
          <w:szCs w:val="32"/>
        </w:rPr>
        <w:t>个，其中已完成三级指标</w:t>
      </w:r>
      <w:r>
        <w:rPr>
          <w:rFonts w:hint="eastAsia" w:ascii="仿宋_GB2312"/>
          <w:szCs w:val="32"/>
          <w:lang w:val="en-US" w:eastAsia="zh-CN"/>
        </w:rPr>
        <w:t>12</w:t>
      </w:r>
      <w:r>
        <w:rPr>
          <w:rFonts w:hint="eastAsia" w:ascii="仿宋_GB2312"/>
          <w:szCs w:val="32"/>
        </w:rPr>
        <w:t>个，指标完成率为</w:t>
      </w:r>
      <w:r>
        <w:rPr>
          <w:rFonts w:hint="eastAsia" w:ascii="仿宋_GB2312"/>
          <w:szCs w:val="32"/>
          <w:lang w:val="en-US" w:eastAsia="zh-CN"/>
        </w:rPr>
        <w:t>98.04</w:t>
      </w:r>
      <w:r>
        <w:rPr>
          <w:rFonts w:hint="eastAsia" w:ascii="仿宋_GB2312"/>
          <w:szCs w:val="32"/>
        </w:rPr>
        <w:t>%，指标完成情况分析如下：</w:t>
      </w:r>
    </w:p>
    <w:p w14:paraId="6F2AACC9">
      <w:pPr>
        <w:pStyle w:val="53"/>
        <w:spacing w:line="580" w:lineRule="exact"/>
        <w:ind w:left="0" w:leftChars="0" w:right="0" w:rightChars="0" w:firstLine="562"/>
        <w:rPr>
          <w:b/>
        </w:rPr>
      </w:pPr>
      <w:r>
        <w:rPr>
          <w:rFonts w:hint="eastAsia"/>
          <w:b/>
        </w:rPr>
        <w:t>1.产出指标完成情况分析</w:t>
      </w:r>
    </w:p>
    <w:p w14:paraId="131E2865">
      <w:pPr>
        <w:pStyle w:val="53"/>
        <w:spacing w:line="580" w:lineRule="exact"/>
        <w:ind w:left="0" w:leftChars="0" w:right="0" w:rightChars="0" w:firstLine="560"/>
        <w:rPr>
          <w:rFonts w:ascii="仿宋_GB2312"/>
        </w:rPr>
      </w:pPr>
      <w:r>
        <w:rPr>
          <w:rFonts w:hint="eastAsia" w:ascii="仿宋_GB2312"/>
        </w:rPr>
        <w:t>1.1项目完成数量</w:t>
      </w:r>
    </w:p>
    <w:p w14:paraId="110E896E">
      <w:pPr>
        <w:pStyle w:val="53"/>
        <w:spacing w:line="560" w:lineRule="exact"/>
        <w:ind w:left="0" w:leftChars="0" w:right="0" w:rightChars="0" w:firstLine="560"/>
        <w:rPr>
          <w:rFonts w:hint="eastAsia"/>
        </w:rPr>
      </w:pPr>
      <w:r>
        <w:rPr>
          <w:rFonts w:hint="eastAsia"/>
        </w:rPr>
        <w:t>“</w:t>
      </w:r>
      <w:r>
        <w:rPr>
          <w:rFonts w:hint="eastAsia"/>
          <w:lang w:val="en-US" w:eastAsia="zh-CN"/>
        </w:rPr>
        <w:t>新建门面房数量</w:t>
      </w:r>
      <w:r>
        <w:rPr>
          <w:rFonts w:hint="eastAsia"/>
        </w:rPr>
        <w:t>”指标，预期指标值为</w:t>
      </w:r>
      <w:r>
        <w:rPr>
          <w:rFonts w:hint="eastAsia"/>
          <w:lang w:eastAsia="zh-CN"/>
        </w:rPr>
        <w:t>大于等于</w:t>
      </w:r>
      <w:r>
        <w:rPr>
          <w:rFonts w:hint="eastAsia"/>
          <w:lang w:val="en-US" w:eastAsia="zh-CN"/>
        </w:rPr>
        <w:t>1栋</w:t>
      </w:r>
      <w:r>
        <w:rPr>
          <w:rFonts w:hint="eastAsia"/>
        </w:rPr>
        <w:t>,全年实际值为</w:t>
      </w:r>
      <w:r>
        <w:rPr>
          <w:rFonts w:hint="eastAsia"/>
          <w:lang w:val="en-US" w:eastAsia="zh-CN"/>
        </w:rPr>
        <w:t>1栋</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2941B6A3">
      <w:pPr>
        <w:pStyle w:val="53"/>
        <w:spacing w:line="560" w:lineRule="exact"/>
        <w:ind w:left="0" w:leftChars="0" w:right="0" w:rightChars="0" w:firstLine="560"/>
        <w:rPr>
          <w:rFonts w:hint="eastAsia"/>
        </w:rPr>
      </w:pPr>
      <w:r>
        <w:rPr>
          <w:rFonts w:hint="eastAsia"/>
        </w:rPr>
        <w:t>“</w:t>
      </w:r>
      <w:r>
        <w:rPr>
          <w:rFonts w:hint="eastAsia"/>
          <w:lang w:val="en-US" w:eastAsia="zh-CN"/>
        </w:rPr>
        <w:t>建筑面积</w:t>
      </w:r>
      <w:r>
        <w:rPr>
          <w:rFonts w:hint="eastAsia"/>
        </w:rPr>
        <w:t>”指标，预期指标值为</w:t>
      </w:r>
      <w:r>
        <w:rPr>
          <w:rFonts w:hint="eastAsia"/>
          <w:lang w:eastAsia="zh-CN"/>
        </w:rPr>
        <w:t>大于等于</w:t>
      </w:r>
      <w:r>
        <w:rPr>
          <w:rFonts w:hint="eastAsia"/>
          <w:lang w:val="en-US" w:eastAsia="zh-CN"/>
        </w:rPr>
        <w:t>1200平方米</w:t>
      </w:r>
      <w:r>
        <w:rPr>
          <w:rFonts w:hint="eastAsia"/>
        </w:rPr>
        <w:t>,全年实际值为</w:t>
      </w:r>
      <w:r>
        <w:rPr>
          <w:rFonts w:hint="eastAsia"/>
          <w:lang w:val="en-US" w:eastAsia="zh-CN"/>
        </w:rPr>
        <w:t>1200平方米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59484F34">
      <w:pPr>
        <w:pStyle w:val="53"/>
        <w:spacing w:line="560" w:lineRule="exact"/>
        <w:ind w:left="0" w:leftChars="0" w:right="0" w:rightChars="0" w:firstLine="560"/>
        <w:rPr>
          <w:rFonts w:hint="eastAsia"/>
        </w:rPr>
      </w:pPr>
      <w:r>
        <w:rPr>
          <w:rFonts w:hint="eastAsia"/>
        </w:rPr>
        <w:t>“</w:t>
      </w:r>
      <w:r>
        <w:rPr>
          <w:rFonts w:hint="eastAsia"/>
          <w:lang w:val="en-US" w:eastAsia="zh-CN"/>
        </w:rPr>
        <w:t>新建管网长度</w:t>
      </w:r>
      <w:r>
        <w:rPr>
          <w:rFonts w:hint="eastAsia"/>
        </w:rPr>
        <w:t>”指标，预期指标值为</w:t>
      </w:r>
      <w:r>
        <w:rPr>
          <w:rFonts w:hint="eastAsia"/>
          <w:lang w:eastAsia="zh-CN"/>
        </w:rPr>
        <w:t>大于等于</w:t>
      </w:r>
      <w:r>
        <w:rPr>
          <w:rFonts w:hint="eastAsia"/>
          <w:lang w:val="en-US" w:eastAsia="zh-CN"/>
        </w:rPr>
        <w:t>90米</w:t>
      </w:r>
      <w:r>
        <w:rPr>
          <w:rFonts w:hint="eastAsia"/>
        </w:rPr>
        <w:t>,全年实际值为</w:t>
      </w:r>
      <w:r>
        <w:rPr>
          <w:rFonts w:hint="eastAsia"/>
          <w:lang w:val="en-US" w:eastAsia="zh-CN"/>
        </w:rPr>
        <w:t>90米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753287DB">
      <w:pPr>
        <w:pStyle w:val="53"/>
        <w:spacing w:line="560" w:lineRule="exact"/>
        <w:ind w:left="0" w:leftChars="0" w:right="0" w:rightChars="0" w:firstLine="560"/>
        <w:rPr>
          <w:rFonts w:hint="eastAsia"/>
        </w:rPr>
      </w:pPr>
      <w:r>
        <w:rPr>
          <w:rFonts w:hint="eastAsia"/>
        </w:rPr>
        <w:t>“</w:t>
      </w:r>
      <w:r>
        <w:rPr>
          <w:rFonts w:hint="eastAsia"/>
          <w:lang w:val="en-US" w:eastAsia="zh-CN"/>
        </w:rPr>
        <w:t>铺设室外管电网长度</w:t>
      </w:r>
      <w:r>
        <w:rPr>
          <w:rFonts w:hint="eastAsia"/>
        </w:rPr>
        <w:t>”指标，预期指标值为</w:t>
      </w:r>
      <w:r>
        <w:rPr>
          <w:rFonts w:hint="eastAsia"/>
          <w:lang w:eastAsia="zh-CN"/>
        </w:rPr>
        <w:t>大于等于</w:t>
      </w:r>
      <w:r>
        <w:rPr>
          <w:rFonts w:hint="eastAsia"/>
          <w:lang w:val="en-US" w:eastAsia="zh-CN"/>
        </w:rPr>
        <w:t>150米</w:t>
      </w:r>
      <w:r>
        <w:rPr>
          <w:rFonts w:hint="eastAsia"/>
        </w:rPr>
        <w:t>,全年实际值为</w:t>
      </w:r>
      <w:r>
        <w:rPr>
          <w:rFonts w:hint="eastAsia"/>
          <w:lang w:val="en-US" w:eastAsia="zh-CN"/>
        </w:rPr>
        <w:t>150米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5E45D53C">
      <w:pPr>
        <w:pStyle w:val="53"/>
        <w:spacing w:line="560" w:lineRule="exact"/>
        <w:ind w:left="0" w:leftChars="0" w:right="0" w:rightChars="0" w:firstLine="560"/>
        <w:rPr>
          <w:rFonts w:hint="eastAsia"/>
        </w:rPr>
      </w:pPr>
      <w:r>
        <w:rPr>
          <w:rFonts w:hint="eastAsia"/>
        </w:rPr>
        <w:t>“</w:t>
      </w:r>
      <w:r>
        <w:rPr>
          <w:rFonts w:hint="eastAsia"/>
          <w:lang w:val="en-US" w:eastAsia="zh-CN"/>
        </w:rPr>
        <w:t>安装变压器数量</w:t>
      </w:r>
      <w:r>
        <w:rPr>
          <w:rFonts w:hint="eastAsia"/>
        </w:rPr>
        <w:t>”指标，预期指标值为</w:t>
      </w:r>
      <w:r>
        <w:rPr>
          <w:rFonts w:hint="eastAsia"/>
          <w:lang w:eastAsia="zh-CN"/>
        </w:rPr>
        <w:t>大于等于</w:t>
      </w:r>
      <w:r>
        <w:rPr>
          <w:rFonts w:hint="eastAsia"/>
          <w:lang w:val="en-US" w:eastAsia="zh-CN"/>
        </w:rPr>
        <w:t>1台</w:t>
      </w:r>
      <w:r>
        <w:rPr>
          <w:rFonts w:hint="eastAsia"/>
        </w:rPr>
        <w:t>,全年实际值为</w:t>
      </w:r>
      <w:r>
        <w:rPr>
          <w:rFonts w:hint="eastAsia"/>
          <w:lang w:val="en-US" w:eastAsia="zh-CN"/>
        </w:rPr>
        <w:t>1台</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35BA3E82">
      <w:pPr>
        <w:pStyle w:val="53"/>
        <w:spacing w:line="560" w:lineRule="exact"/>
        <w:ind w:left="0" w:leftChars="0" w:right="0" w:rightChars="0" w:firstLine="560"/>
        <w:rPr>
          <w:rFonts w:hint="eastAsia"/>
        </w:rPr>
      </w:pPr>
      <w:r>
        <w:rPr>
          <w:rFonts w:hint="eastAsia"/>
        </w:rPr>
        <w:t>“</w:t>
      </w:r>
      <w:r>
        <w:rPr>
          <w:rFonts w:hint="eastAsia"/>
          <w:lang w:val="en-US" w:eastAsia="zh-CN"/>
        </w:rPr>
        <w:t>硬化地面面积</w:t>
      </w:r>
      <w:r>
        <w:rPr>
          <w:rFonts w:hint="eastAsia"/>
        </w:rPr>
        <w:t>”指标，预期指标值为</w:t>
      </w:r>
      <w:r>
        <w:rPr>
          <w:rFonts w:hint="eastAsia"/>
          <w:lang w:eastAsia="zh-CN"/>
        </w:rPr>
        <w:t>大于等于</w:t>
      </w:r>
      <w:r>
        <w:rPr>
          <w:rFonts w:hint="eastAsia"/>
          <w:lang w:val="en-US" w:eastAsia="zh-CN"/>
        </w:rPr>
        <w:t>462平方米</w:t>
      </w:r>
      <w:r>
        <w:rPr>
          <w:rFonts w:hint="eastAsia"/>
        </w:rPr>
        <w:t>,全年实际值为</w:t>
      </w:r>
      <w:r>
        <w:rPr>
          <w:rFonts w:hint="eastAsia"/>
          <w:lang w:val="en-US" w:eastAsia="zh-CN"/>
        </w:rPr>
        <w:t>462平方米</w:t>
      </w:r>
      <w:r>
        <w:rPr>
          <w:rFonts w:hint="eastAsia"/>
        </w:rPr>
        <w:t>，指标完成率为100.00%。所设分值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69C24D3">
      <w:pPr>
        <w:pStyle w:val="53"/>
        <w:spacing w:line="560" w:lineRule="exact"/>
        <w:ind w:left="0" w:leftChars="0" w:right="0" w:rightChars="0" w:firstLine="560"/>
      </w:pPr>
      <w:r>
        <w:rPr>
          <w:rFonts w:ascii="仿宋_GB2312"/>
        </w:rPr>
        <w:t>1.2项目完成质量</w:t>
      </w:r>
    </w:p>
    <w:p w14:paraId="04F407A0">
      <w:pPr>
        <w:pStyle w:val="53"/>
        <w:spacing w:line="560" w:lineRule="exact"/>
        <w:ind w:left="0" w:leftChars="0" w:right="0" w:rightChars="0" w:firstLine="560"/>
      </w:pPr>
      <w:r>
        <w:rPr>
          <w:rFonts w:hint="eastAsia"/>
        </w:rPr>
        <w:t>“项目验收合格率”指标，预期指标值为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77A2F082">
      <w:pPr>
        <w:pStyle w:val="53"/>
        <w:spacing w:line="560" w:lineRule="exact"/>
        <w:ind w:left="0" w:leftChars="0" w:right="0" w:rightChars="0" w:firstLine="560"/>
      </w:pPr>
      <w:r>
        <w:rPr>
          <w:rFonts w:hint="eastAsia"/>
        </w:rPr>
        <w:t>“</w:t>
      </w:r>
      <w:r>
        <w:rPr>
          <w:rFonts w:hint="eastAsia"/>
          <w:lang w:val="en-US" w:eastAsia="zh-CN"/>
        </w:rPr>
        <w:t>资金支付</w:t>
      </w:r>
      <w:r>
        <w:rPr>
          <w:rFonts w:hint="eastAsia"/>
        </w:rPr>
        <w:t>合</w:t>
      </w:r>
      <w:r>
        <w:rPr>
          <w:rFonts w:hint="eastAsia"/>
          <w:lang w:val="en-US" w:eastAsia="zh-CN"/>
        </w:rPr>
        <w:t>规</w:t>
      </w:r>
      <w:r>
        <w:rPr>
          <w:rFonts w:hint="eastAsia"/>
        </w:rPr>
        <w:t>率”指标，预期指标值为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E58A8C0">
      <w:pPr>
        <w:pStyle w:val="53"/>
        <w:spacing w:line="560" w:lineRule="exact"/>
        <w:ind w:left="0" w:leftChars="0" w:right="0" w:rightChars="0" w:firstLine="560"/>
      </w:pPr>
      <w:r>
        <w:t>1.3项目完成时效</w:t>
      </w:r>
    </w:p>
    <w:p w14:paraId="73E19345">
      <w:pPr>
        <w:pStyle w:val="53"/>
        <w:spacing w:line="560" w:lineRule="exact"/>
        <w:ind w:left="0" w:leftChars="0" w:right="0" w:rightChars="0" w:firstLine="560"/>
        <w:rPr>
          <w:rFonts w:hint="eastAsia" w:eastAsia="仿宋_GB2312"/>
          <w:lang w:val="en-US" w:eastAsia="zh-CN"/>
        </w:rPr>
      </w:pPr>
      <w:r>
        <w:rPr>
          <w:rFonts w:hint="eastAsia"/>
        </w:rPr>
        <w:t>“</w:t>
      </w:r>
      <w:r>
        <w:rPr>
          <w:rFonts w:hint="eastAsia"/>
          <w:lang w:val="en-US" w:eastAsia="zh-CN"/>
        </w:rPr>
        <w:t>资金支付及时率</w:t>
      </w:r>
      <w:r>
        <w:rPr>
          <w:rFonts w:hint="eastAsia"/>
        </w:rPr>
        <w:t>”</w:t>
      </w:r>
      <w:r>
        <w:rPr>
          <w:rFonts w:hint="eastAsia"/>
          <w:lang w:val="en-US" w:eastAsia="zh-CN"/>
        </w:rPr>
        <w:t>指标，</w:t>
      </w:r>
      <w:r>
        <w:rPr>
          <w:rFonts w:hint="eastAsia"/>
        </w:rPr>
        <w:t>预期指标值为</w:t>
      </w:r>
      <w:r>
        <w:rPr>
          <w:rFonts w:hint="eastAsia"/>
          <w:lang w:eastAsia="zh-CN"/>
        </w:rPr>
        <w:t>等于</w:t>
      </w:r>
      <w:r>
        <w:rPr>
          <w:rFonts w:hint="eastAsia"/>
        </w:rPr>
        <w:t>100.00%,全年实际值为100.00%，指标完成率为100.00%。所设分值</w:t>
      </w:r>
      <w:r>
        <w:rPr>
          <w:rFonts w:hint="eastAsia"/>
          <w:lang w:val="en-US" w:eastAsia="zh-CN"/>
        </w:rPr>
        <w:t>4</w:t>
      </w:r>
      <w:r>
        <w:rPr>
          <w:rFonts w:hint="eastAsia"/>
        </w:rPr>
        <w:t>分，实际得分</w:t>
      </w:r>
      <w:r>
        <w:rPr>
          <w:rFonts w:hint="eastAsia"/>
          <w:lang w:val="en-US" w:eastAsia="zh-CN"/>
        </w:rPr>
        <w:t>4</w:t>
      </w:r>
      <w:r>
        <w:rPr>
          <w:rFonts w:hint="eastAsia"/>
        </w:rPr>
        <w:t>分。</w:t>
      </w:r>
    </w:p>
    <w:p w14:paraId="6C06E7FD">
      <w:pPr>
        <w:pStyle w:val="53"/>
        <w:spacing w:line="560" w:lineRule="exact"/>
        <w:ind w:left="0" w:leftChars="0" w:right="0" w:rightChars="0" w:firstLine="560"/>
        <w:rPr>
          <w:rFonts w:hint="eastAsia"/>
        </w:rPr>
      </w:pP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2024年3月</w:t>
      </w:r>
      <w:r>
        <w:rPr>
          <w:rFonts w:hint="eastAsia"/>
        </w:rPr>
        <w:t>，指标完成率为</w:t>
      </w:r>
      <w:r>
        <w:rPr>
          <w:rFonts w:hint="eastAsia"/>
          <w:lang w:val="en-US" w:eastAsia="zh-CN"/>
        </w:rPr>
        <w:t>98</w:t>
      </w:r>
      <w:r>
        <w:rPr>
          <w:rFonts w:hint="eastAsia"/>
        </w:rPr>
        <w:t>%。所设分值</w:t>
      </w:r>
      <w:r>
        <w:rPr>
          <w:rFonts w:hint="eastAsia"/>
          <w:lang w:val="en-US" w:eastAsia="zh-CN"/>
        </w:rPr>
        <w:t>3</w:t>
      </w:r>
      <w:r>
        <w:rPr>
          <w:rFonts w:hint="eastAsia"/>
        </w:rPr>
        <w:t>分，实际得分</w:t>
      </w:r>
      <w:r>
        <w:rPr>
          <w:rFonts w:hint="eastAsia"/>
          <w:lang w:val="en-US" w:eastAsia="zh-CN"/>
        </w:rPr>
        <w:t>2.94</w:t>
      </w:r>
      <w:r>
        <w:rPr>
          <w:rFonts w:hint="eastAsia"/>
        </w:rPr>
        <w:t>分。</w:t>
      </w:r>
    </w:p>
    <w:p w14:paraId="010A84F9">
      <w:pPr>
        <w:pStyle w:val="53"/>
        <w:spacing w:line="560" w:lineRule="exact"/>
        <w:ind w:left="0" w:leftChars="0" w:right="0" w:rightChars="0" w:firstLine="560"/>
        <w:rPr>
          <w:rFonts w:hint="eastAsia"/>
          <w:lang w:eastAsia="zh-CN"/>
        </w:rPr>
      </w:pPr>
      <w:r>
        <w:rPr>
          <w:rFonts w:hint="eastAsia"/>
        </w:rPr>
        <w:t>偏离原因：项目2月招投标，3月开工</w:t>
      </w:r>
      <w:r>
        <w:rPr>
          <w:rFonts w:hint="eastAsia"/>
          <w:lang w:eastAsia="zh-CN"/>
        </w:rPr>
        <w:t>。</w:t>
      </w:r>
    </w:p>
    <w:p w14:paraId="6830E0AB">
      <w:pPr>
        <w:pStyle w:val="53"/>
        <w:spacing w:line="560" w:lineRule="exact"/>
        <w:ind w:left="0" w:leftChars="0" w:right="0" w:rightChars="0" w:firstLine="560"/>
        <w:rPr>
          <w:rFonts w:hint="eastAsia" w:eastAsia="仿宋_GB2312"/>
          <w:lang w:eastAsia="zh-CN"/>
        </w:rPr>
      </w:pPr>
      <w:r>
        <w:rPr>
          <w:rFonts w:hint="eastAsia"/>
        </w:rPr>
        <w:t>改进措施：加强项目前期管理</w:t>
      </w:r>
      <w:r>
        <w:rPr>
          <w:rFonts w:hint="eastAsia"/>
          <w:lang w:eastAsia="zh-CN"/>
        </w:rPr>
        <w:t>。</w:t>
      </w:r>
    </w:p>
    <w:p w14:paraId="3E143D0F">
      <w:pPr>
        <w:pStyle w:val="53"/>
        <w:spacing w:line="560" w:lineRule="exact"/>
        <w:ind w:left="0" w:leftChars="0" w:right="0" w:rightChars="0" w:firstLine="560"/>
        <w:rPr>
          <w:rFonts w:hint="eastAsia"/>
        </w:rPr>
      </w:pPr>
      <w:r>
        <w:rPr>
          <w:rFonts w:hint="eastAsia"/>
        </w:rPr>
        <w:t>“项目完工时间”指标，预期指标值为</w:t>
      </w:r>
      <w:r>
        <w:rPr>
          <w:rFonts w:hint="eastAsia"/>
          <w:lang w:val="en-US" w:eastAsia="zh-CN"/>
        </w:rPr>
        <w:t>2024年9</w:t>
      </w:r>
      <w:r>
        <w:rPr>
          <w:rFonts w:hint="eastAsia"/>
        </w:rPr>
        <w:t>月,全年实际值为</w:t>
      </w:r>
      <w:r>
        <w:rPr>
          <w:rFonts w:hint="eastAsia"/>
          <w:lang w:val="en-US" w:eastAsia="zh-CN"/>
        </w:rPr>
        <w:t>2024年6</w:t>
      </w:r>
      <w:r>
        <w:rPr>
          <w:rFonts w:hint="eastAsia"/>
        </w:rPr>
        <w:t>月，指标完成率为</w:t>
      </w:r>
      <w:r>
        <w:rPr>
          <w:rFonts w:hint="eastAsia"/>
          <w:lang w:val="en-US" w:eastAsia="zh-CN"/>
        </w:rPr>
        <w:t>98</w:t>
      </w:r>
      <w:r>
        <w:rPr>
          <w:rFonts w:hint="eastAsia"/>
        </w:rPr>
        <w:t>%。所设分值</w:t>
      </w:r>
      <w:r>
        <w:rPr>
          <w:rFonts w:hint="eastAsia"/>
          <w:lang w:val="en-US" w:eastAsia="zh-CN"/>
        </w:rPr>
        <w:t>3</w:t>
      </w:r>
      <w:r>
        <w:rPr>
          <w:rFonts w:hint="eastAsia"/>
        </w:rPr>
        <w:t>分，实际得分</w:t>
      </w:r>
      <w:r>
        <w:rPr>
          <w:rFonts w:hint="eastAsia"/>
          <w:lang w:val="en-US" w:eastAsia="zh-CN"/>
        </w:rPr>
        <w:t>2.94</w:t>
      </w:r>
      <w:r>
        <w:rPr>
          <w:rFonts w:hint="eastAsia"/>
        </w:rPr>
        <w:t>分。</w:t>
      </w:r>
    </w:p>
    <w:p w14:paraId="2641037C">
      <w:pPr>
        <w:pStyle w:val="53"/>
        <w:spacing w:line="560" w:lineRule="exact"/>
        <w:ind w:left="0" w:leftChars="0" w:right="0" w:rightChars="0" w:firstLine="560"/>
        <w:rPr>
          <w:rFonts w:hint="eastAsia"/>
        </w:rPr>
      </w:pPr>
      <w:r>
        <w:rPr>
          <w:rFonts w:hint="eastAsia"/>
        </w:rPr>
        <w:t xml:space="preserve"> 偏差原因：项目6月提前完工。</w:t>
      </w:r>
    </w:p>
    <w:p w14:paraId="51C0BD40">
      <w:pPr>
        <w:pStyle w:val="53"/>
        <w:spacing w:line="560" w:lineRule="exact"/>
        <w:ind w:left="0" w:leftChars="0" w:right="0" w:rightChars="0" w:firstLine="560"/>
        <w:rPr>
          <w:rFonts w:hint="eastAsia"/>
        </w:rPr>
      </w:pPr>
      <w:r>
        <w:rPr>
          <w:rFonts w:hint="eastAsia"/>
        </w:rPr>
        <w:t xml:space="preserve">改进措施：加强项目管理。       </w:t>
      </w:r>
    </w:p>
    <w:p w14:paraId="2D7CFEC9">
      <w:pPr>
        <w:pStyle w:val="53"/>
        <w:spacing w:line="560" w:lineRule="exact"/>
        <w:ind w:left="0" w:leftChars="0" w:right="0" w:rightChars="0" w:firstLine="560"/>
        <w:rPr>
          <w:rFonts w:hint="eastAsia"/>
        </w:rPr>
      </w:pPr>
      <w:r>
        <w:rPr>
          <w:rFonts w:hint="eastAsia"/>
        </w:rPr>
        <w:t>1.4项目成本节约情况</w:t>
      </w:r>
    </w:p>
    <w:p w14:paraId="51A503D3">
      <w:pPr>
        <w:pStyle w:val="53"/>
        <w:spacing w:line="560" w:lineRule="exact"/>
        <w:ind w:left="0" w:leftChars="0" w:right="0" w:rightChars="0" w:firstLine="560"/>
        <w:rPr>
          <w:rFonts w:hint="eastAsia"/>
        </w:rPr>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44D91BD7">
      <w:pPr>
        <w:pStyle w:val="34"/>
        <w:rPr>
          <w:rFonts w:hint="eastAsia"/>
        </w:rPr>
      </w:pPr>
      <w:r>
        <w:rPr>
          <w:rFonts w:hint="eastAsia"/>
        </w:rPr>
        <w:t>“工程</w:t>
      </w:r>
      <w:r>
        <w:rPr>
          <w:rFonts w:hint="eastAsia"/>
          <w:lang w:val="en-US" w:eastAsia="zh-CN"/>
        </w:rPr>
        <w:t>费用</w:t>
      </w:r>
      <w:r>
        <w:rPr>
          <w:rFonts w:hint="eastAsia"/>
        </w:rPr>
        <w:t>”指标，预期指标值为</w:t>
      </w:r>
      <w:r>
        <w:rPr>
          <w:rFonts w:hint="eastAsia"/>
          <w:lang w:eastAsia="zh-CN"/>
        </w:rPr>
        <w:t>小于等于</w:t>
      </w:r>
      <w:r>
        <w:rPr>
          <w:rFonts w:hint="eastAsia"/>
          <w:lang w:val="en-US" w:eastAsia="zh-CN"/>
        </w:rPr>
        <w:t>315.79万</w:t>
      </w:r>
      <w:r>
        <w:rPr>
          <w:rFonts w:hint="eastAsia"/>
        </w:rPr>
        <w:t>元, 全年实际值为</w:t>
      </w:r>
      <w:r>
        <w:rPr>
          <w:rFonts w:hint="eastAsia"/>
          <w:lang w:val="en-US" w:eastAsia="zh-CN"/>
        </w:rPr>
        <w:t>325.99</w:t>
      </w:r>
      <w:r>
        <w:rPr>
          <w:rFonts w:hint="eastAsia"/>
        </w:rPr>
        <w:t>万元，指标完成率为</w:t>
      </w:r>
      <w:r>
        <w:rPr>
          <w:rFonts w:hint="eastAsia"/>
          <w:lang w:val="en-US" w:eastAsia="zh-CN"/>
        </w:rPr>
        <w:t>97</w:t>
      </w:r>
      <w:r>
        <w:rPr>
          <w:rFonts w:hint="eastAsia"/>
        </w:rPr>
        <w:t>%。所设分值</w:t>
      </w:r>
      <w:r>
        <w:rPr>
          <w:rFonts w:hint="eastAsia"/>
          <w:lang w:val="en-US" w:eastAsia="zh-CN"/>
        </w:rPr>
        <w:t>4</w:t>
      </w:r>
      <w:r>
        <w:rPr>
          <w:rFonts w:hint="eastAsia"/>
        </w:rPr>
        <w:t>分，实际得分</w:t>
      </w:r>
      <w:r>
        <w:rPr>
          <w:rFonts w:hint="eastAsia"/>
          <w:lang w:val="en-US" w:eastAsia="zh-CN"/>
        </w:rPr>
        <w:t>3.88</w:t>
      </w:r>
      <w:r>
        <w:rPr>
          <w:rFonts w:hint="eastAsia"/>
        </w:rPr>
        <w:t>分。</w:t>
      </w:r>
    </w:p>
    <w:p w14:paraId="5FD005CB">
      <w:pPr>
        <w:pStyle w:val="34"/>
        <w:rPr>
          <w:rFonts w:hint="eastAsia"/>
        </w:rPr>
      </w:pPr>
      <w:r>
        <w:rPr>
          <w:rFonts w:hint="eastAsia"/>
        </w:rPr>
        <w:t>偏差原因：项目已完工，经过财务决算审定，最终审定项目总投资367.76万元，剩余资金结余财政收回。</w:t>
      </w:r>
    </w:p>
    <w:p w14:paraId="44092AE8">
      <w:pPr>
        <w:pStyle w:val="34"/>
        <w:rPr>
          <w:rFonts w:hint="eastAsia"/>
          <w:lang w:eastAsia="zh-CN"/>
        </w:rPr>
      </w:pPr>
      <w:r>
        <w:rPr>
          <w:rFonts w:hint="eastAsia"/>
        </w:rPr>
        <w:t>改进措施：加强项目前期管理，合理编制工程建设费用。</w:t>
      </w:r>
    </w:p>
    <w:p w14:paraId="56255C8A">
      <w:pPr>
        <w:pStyle w:val="34"/>
        <w:rPr>
          <w:rFonts w:hint="eastAsia"/>
          <w:lang w:val="en-US" w:eastAsia="zh-CN"/>
        </w:rPr>
      </w:pPr>
      <w:r>
        <w:rPr>
          <w:rFonts w:hint="eastAsia"/>
          <w:lang w:eastAsia="zh-CN"/>
        </w:rPr>
        <w:t>“</w:t>
      </w:r>
      <w:r>
        <w:rPr>
          <w:rFonts w:hint="eastAsia"/>
          <w:lang w:val="en-US" w:eastAsia="zh-CN"/>
        </w:rPr>
        <w:t>工程建设其他费用”指标，预期指标值为</w:t>
      </w:r>
      <w:r>
        <w:rPr>
          <w:rFonts w:hint="eastAsia"/>
          <w:lang w:eastAsia="zh-CN"/>
        </w:rPr>
        <w:t>小于等于</w:t>
      </w:r>
      <w:r>
        <w:rPr>
          <w:rFonts w:hint="eastAsia"/>
          <w:lang w:val="en-US" w:eastAsia="zh-CN"/>
        </w:rPr>
        <w:t>55.21</w:t>
      </w:r>
      <w:r>
        <w:rPr>
          <w:rFonts w:hint="eastAsia"/>
        </w:rPr>
        <w:t>万元</w:t>
      </w:r>
      <w:r>
        <w:rPr>
          <w:rFonts w:hint="eastAsia"/>
          <w:lang w:eastAsia="zh-CN"/>
        </w:rPr>
        <w:t>，</w:t>
      </w:r>
      <w:r>
        <w:rPr>
          <w:rFonts w:hint="eastAsia"/>
          <w:lang w:val="en-US" w:eastAsia="zh-CN"/>
        </w:rPr>
        <w:t>全年实际值41.77万元，指标完成率为75.66%;所设分值4分，实际得分3.03分。</w:t>
      </w:r>
    </w:p>
    <w:p w14:paraId="3B84B73D">
      <w:pPr>
        <w:pStyle w:val="34"/>
        <w:rPr>
          <w:rFonts w:hint="eastAsia"/>
          <w:lang w:val="en-US" w:eastAsia="zh-CN"/>
        </w:rPr>
      </w:pPr>
      <w:r>
        <w:rPr>
          <w:rFonts w:hint="eastAsia"/>
          <w:lang w:val="en-US" w:eastAsia="zh-CN"/>
        </w:rPr>
        <w:t>偏差原因：项目已完工，经过财务决算审定，最终审定项目总投资367.76万元，剩余资金结余财政收回。</w:t>
      </w:r>
    </w:p>
    <w:p w14:paraId="5DB68057">
      <w:pPr>
        <w:pStyle w:val="34"/>
        <w:rPr>
          <w:rFonts w:hint="eastAsia"/>
          <w:lang w:val="en-US" w:eastAsia="zh-CN"/>
        </w:rPr>
      </w:pPr>
      <w:r>
        <w:rPr>
          <w:rFonts w:hint="eastAsia"/>
          <w:lang w:val="en-US" w:eastAsia="zh-CN"/>
        </w:rPr>
        <w:t>改进措施：加强项目前期管理，合理编制工程建设费用。</w:t>
      </w:r>
    </w:p>
    <w:p w14:paraId="73637491">
      <w:pPr>
        <w:pStyle w:val="34"/>
      </w:pPr>
      <w:r>
        <w:rPr>
          <w:rFonts w:hint="eastAsia"/>
        </w:rPr>
        <w:t>2.效益指标完成情况分析</w:t>
      </w:r>
    </w:p>
    <w:p w14:paraId="0ADE8159">
      <w:pPr>
        <w:pStyle w:val="53"/>
        <w:spacing w:line="560" w:lineRule="exact"/>
        <w:ind w:left="0" w:leftChars="0" w:right="0" w:rightChars="0" w:firstLine="560"/>
      </w:pPr>
      <w:r>
        <w:t>2.1项目实施的</w:t>
      </w:r>
      <w:r>
        <w:rPr>
          <w:rFonts w:hint="eastAsia"/>
          <w:lang w:val="en-US" w:eastAsia="zh-CN"/>
        </w:rPr>
        <w:t>社会</w:t>
      </w:r>
      <w:r>
        <w:t>效益分析</w:t>
      </w:r>
    </w:p>
    <w:p w14:paraId="11FA13BC">
      <w:pPr>
        <w:pStyle w:val="53"/>
        <w:spacing w:line="560" w:lineRule="exact"/>
        <w:ind w:left="0" w:leftChars="0" w:right="0" w:rightChars="0" w:firstLine="560"/>
        <w:rPr>
          <w:rFonts w:hint="eastAsia"/>
        </w:rPr>
      </w:pPr>
      <w:r>
        <w:rPr>
          <w:rFonts w:hint="eastAsia"/>
        </w:rPr>
        <w:t>“</w:t>
      </w:r>
      <w:r>
        <w:rPr>
          <w:rFonts w:hint="eastAsia"/>
          <w:lang w:val="en-US" w:eastAsia="zh-CN"/>
        </w:rPr>
        <w:t>提高村庄形象和生活环境</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达成年度指标</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bookmarkStart w:id="0" w:name="_GoBack"/>
      <w:bookmarkEnd w:id="0"/>
    </w:p>
    <w:p w14:paraId="1DB5C0F1">
      <w:pPr>
        <w:pStyle w:val="53"/>
        <w:spacing w:line="560" w:lineRule="exact"/>
        <w:ind w:left="0" w:leftChars="0" w:right="0" w:rightChars="0" w:firstLine="560"/>
        <w:rPr>
          <w:rFonts w:hint="default"/>
          <w:lang w:val="en-US" w:eastAsia="zh-CN"/>
        </w:rPr>
      </w:pPr>
      <w:r>
        <w:rPr>
          <w:rFonts w:hint="eastAsia"/>
        </w:rPr>
        <w:t>“</w:t>
      </w:r>
      <w:r>
        <w:rPr>
          <w:rFonts w:hint="eastAsia"/>
          <w:lang w:val="en-US" w:eastAsia="zh-CN"/>
        </w:rPr>
        <w:t>改善村民生活现状</w:t>
      </w:r>
      <w:r>
        <w:rPr>
          <w:rFonts w:hint="eastAsia"/>
        </w:rPr>
        <w:t>”指标，指标预期值为</w:t>
      </w:r>
      <w:r>
        <w:rPr>
          <w:rFonts w:hint="eastAsia"/>
          <w:lang w:val="en-US" w:eastAsia="zh-CN"/>
        </w:rPr>
        <w:t>有效提高</w:t>
      </w:r>
      <w:r>
        <w:rPr>
          <w:rFonts w:hint="eastAsia"/>
        </w:rPr>
        <w:t>，实际完成值为</w:t>
      </w:r>
      <w:r>
        <w:rPr>
          <w:rFonts w:hint="eastAsia"/>
          <w:lang w:val="en-US" w:eastAsia="zh-CN"/>
        </w:rPr>
        <w:t>达成年度指标</w:t>
      </w:r>
      <w:r>
        <w:rPr>
          <w:rFonts w:hint="eastAsia"/>
        </w:rPr>
        <w:t>，指标完成率为100.00%。所设分值</w:t>
      </w:r>
      <w:r>
        <w:rPr>
          <w:rFonts w:hint="eastAsia"/>
          <w:lang w:val="en-US" w:eastAsia="zh-CN"/>
        </w:rPr>
        <w:t>15</w:t>
      </w:r>
      <w:r>
        <w:rPr>
          <w:rFonts w:hint="eastAsia"/>
        </w:rPr>
        <w:t>分，实际得分</w:t>
      </w:r>
      <w:r>
        <w:rPr>
          <w:rFonts w:hint="eastAsia"/>
          <w:lang w:val="en-US" w:eastAsia="zh-CN"/>
        </w:rPr>
        <w:t>15</w:t>
      </w:r>
      <w:r>
        <w:rPr>
          <w:rFonts w:hint="eastAsia"/>
        </w:rPr>
        <w:t>分。</w:t>
      </w:r>
    </w:p>
    <w:p w14:paraId="63094898">
      <w:pPr>
        <w:pStyle w:val="34"/>
      </w:pPr>
      <w:r>
        <w:rPr>
          <w:rFonts w:hint="eastAsia"/>
        </w:rPr>
        <w:t>3.满意度指标完成情况分析</w:t>
      </w:r>
    </w:p>
    <w:p w14:paraId="72CCE668">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w:t>
      </w:r>
      <w:r>
        <w:rPr>
          <w:rFonts w:hint="eastAsia" w:ascii="仿宋_GB2312" w:hAnsi="Times New Roman" w:eastAsia="仿宋_GB2312" w:cs="Times New Roman"/>
          <w:bCs/>
          <w:spacing w:val="-4"/>
          <w:sz w:val="28"/>
          <w:szCs w:val="28"/>
          <w:lang w:val="en-US" w:eastAsia="zh-CN"/>
        </w:rPr>
        <w:t>村民</w:t>
      </w:r>
      <w:r>
        <w:rPr>
          <w:rFonts w:hint="eastAsia" w:ascii="仿宋_GB2312" w:hAnsi="Times New Roman" w:eastAsia="仿宋_GB2312" w:cs="Times New Roman"/>
          <w:bCs/>
          <w:spacing w:val="-4"/>
          <w:sz w:val="28"/>
          <w:szCs w:val="28"/>
        </w:rPr>
        <w:t>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4D5DA957">
      <w:pPr>
        <w:pStyle w:val="30"/>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项目实施完成后我单位就该项目的满意度采取抽样发放调查问卷的方式开展调查，通过对调查问卷的梳理和统计，项目覆盖区</w:t>
      </w:r>
      <w:r>
        <w:rPr>
          <w:rFonts w:hint="eastAsia" w:ascii="仿宋_GB2312" w:hAnsi="Times New Roman" w:eastAsia="仿宋_GB2312" w:cs="Times New Roman"/>
          <w:b w:val="0"/>
          <w:color w:val="auto"/>
          <w:spacing w:val="-4"/>
          <w:szCs w:val="28"/>
          <w:lang w:val="en-US" w:eastAsia="zh-CN"/>
        </w:rPr>
        <w:t>村民</w:t>
      </w:r>
      <w:r>
        <w:rPr>
          <w:rFonts w:hint="eastAsia" w:ascii="仿宋_GB2312" w:hAnsi="Times New Roman" w:eastAsia="仿宋_GB2312" w:cs="Times New Roman"/>
          <w:b w:val="0"/>
          <w:color w:val="auto"/>
          <w:spacing w:val="-4"/>
          <w:szCs w:val="28"/>
        </w:rPr>
        <w:t>满意度指标综合满意率为95.00%。</w:t>
      </w:r>
    </w:p>
    <w:p w14:paraId="6F98587D">
      <w:pPr>
        <w:pStyle w:val="30"/>
        <w:spacing w:before="120"/>
        <w:ind w:left="0" w:leftChars="0" w:right="3" w:firstLine="562" w:firstLineChars="200"/>
      </w:pPr>
      <w:r>
        <w:rPr>
          <w:rFonts w:hint="eastAsia"/>
        </w:rPr>
        <w:t>四、偏离绩效目标的原因和下一步改进措施</w:t>
      </w:r>
    </w:p>
    <w:p w14:paraId="11BA2BBF">
      <w:pPr>
        <w:pStyle w:val="53"/>
        <w:spacing w:line="560" w:lineRule="exact"/>
        <w:ind w:left="0" w:leftChars="0" w:right="0" w:rightChars="0" w:firstLine="560"/>
        <w:rPr>
          <w:rFonts w:hint="eastAsia"/>
        </w:rPr>
      </w:pPr>
      <w:r>
        <w:rPr>
          <w:rFonts w:hint="eastAsia"/>
          <w:lang w:val="en-US" w:eastAsia="zh-CN"/>
        </w:rPr>
        <w:t>1.时效指标-</w:t>
      </w:r>
      <w:r>
        <w:rPr>
          <w:rFonts w:hint="eastAsia"/>
        </w:rPr>
        <w:t>“项目开工时间”指标，预期指标值为</w:t>
      </w:r>
      <w:r>
        <w:rPr>
          <w:rFonts w:hint="eastAsia"/>
          <w:lang w:val="en-US" w:eastAsia="zh-CN"/>
        </w:rPr>
        <w:t>2024年1月</w:t>
      </w:r>
      <w:r>
        <w:rPr>
          <w:rFonts w:hint="eastAsia"/>
        </w:rPr>
        <w:t>,全年实际值为</w:t>
      </w:r>
      <w:r>
        <w:rPr>
          <w:rFonts w:hint="eastAsia"/>
          <w:lang w:val="en-US" w:eastAsia="zh-CN"/>
        </w:rPr>
        <w:t>2024年3月</w:t>
      </w:r>
      <w:r>
        <w:rPr>
          <w:rFonts w:hint="eastAsia"/>
        </w:rPr>
        <w:t>。</w:t>
      </w:r>
    </w:p>
    <w:p w14:paraId="4BA10FB4">
      <w:pPr>
        <w:pStyle w:val="53"/>
        <w:spacing w:line="560" w:lineRule="exact"/>
        <w:ind w:left="0" w:leftChars="0" w:right="0" w:rightChars="0" w:firstLine="560"/>
        <w:rPr>
          <w:rFonts w:hint="eastAsia"/>
          <w:lang w:eastAsia="zh-CN"/>
        </w:rPr>
      </w:pPr>
      <w:r>
        <w:rPr>
          <w:rFonts w:hint="eastAsia"/>
        </w:rPr>
        <w:t>偏离原因：项目2月招投标，3月开工</w:t>
      </w:r>
      <w:r>
        <w:rPr>
          <w:rFonts w:hint="eastAsia"/>
          <w:lang w:eastAsia="zh-CN"/>
        </w:rPr>
        <w:t>。</w:t>
      </w:r>
    </w:p>
    <w:p w14:paraId="334CC290">
      <w:pPr>
        <w:pStyle w:val="53"/>
        <w:spacing w:line="560" w:lineRule="exact"/>
        <w:ind w:left="0" w:leftChars="0" w:right="0" w:rightChars="0" w:firstLine="560"/>
        <w:rPr>
          <w:rFonts w:hint="eastAsia" w:eastAsia="仿宋_GB2312"/>
          <w:lang w:eastAsia="zh-CN"/>
        </w:rPr>
      </w:pPr>
      <w:r>
        <w:rPr>
          <w:rFonts w:hint="eastAsia"/>
        </w:rPr>
        <w:t>改进措施：加强项目前期管理</w:t>
      </w:r>
      <w:r>
        <w:rPr>
          <w:rFonts w:hint="eastAsia"/>
          <w:lang w:eastAsia="zh-CN"/>
        </w:rPr>
        <w:t>。</w:t>
      </w:r>
    </w:p>
    <w:p w14:paraId="5135D95E">
      <w:pPr>
        <w:pStyle w:val="34"/>
        <w:rPr>
          <w:rFonts w:hint="default" w:eastAsia="仿宋_GB2312"/>
          <w:lang w:val="en-US" w:eastAsia="zh-CN"/>
        </w:rPr>
      </w:pPr>
      <w:r>
        <w:rPr>
          <w:rFonts w:hint="eastAsia"/>
          <w:lang w:val="en-US" w:eastAsia="zh-CN"/>
        </w:rPr>
        <w:t>2..时效指标-</w:t>
      </w:r>
      <w:r>
        <w:rPr>
          <w:rFonts w:hint="eastAsia"/>
        </w:rPr>
        <w:t>“项目</w:t>
      </w:r>
      <w:r>
        <w:rPr>
          <w:rFonts w:hint="eastAsia"/>
          <w:lang w:val="en-US" w:eastAsia="zh-CN"/>
        </w:rPr>
        <w:t>完</w:t>
      </w:r>
      <w:r>
        <w:rPr>
          <w:rFonts w:hint="eastAsia"/>
        </w:rPr>
        <w:t>工时间”指标，预期指标值为</w:t>
      </w:r>
      <w:r>
        <w:rPr>
          <w:rFonts w:hint="eastAsia"/>
          <w:lang w:val="en-US" w:eastAsia="zh-CN"/>
        </w:rPr>
        <w:t>2024年8月</w:t>
      </w:r>
      <w:r>
        <w:rPr>
          <w:rFonts w:hint="eastAsia"/>
        </w:rPr>
        <w:t>,全年实际值为</w:t>
      </w:r>
      <w:r>
        <w:rPr>
          <w:rFonts w:hint="eastAsia"/>
          <w:lang w:val="en-US" w:eastAsia="zh-CN"/>
        </w:rPr>
        <w:t>2024年6月。</w:t>
      </w:r>
    </w:p>
    <w:p w14:paraId="0E1D633D">
      <w:pPr>
        <w:pStyle w:val="34"/>
        <w:rPr>
          <w:rFonts w:hint="eastAsia"/>
        </w:rPr>
      </w:pPr>
      <w:r>
        <w:rPr>
          <w:rFonts w:hint="eastAsia"/>
        </w:rPr>
        <w:t>偏差原因：项目6月提前完工。</w:t>
      </w:r>
    </w:p>
    <w:p w14:paraId="05F922FA">
      <w:pPr>
        <w:pStyle w:val="34"/>
        <w:rPr>
          <w:rFonts w:hint="eastAsia"/>
        </w:rPr>
      </w:pPr>
      <w:r>
        <w:rPr>
          <w:rFonts w:hint="eastAsia"/>
        </w:rPr>
        <w:t>改进措施：加强项目管理。</w:t>
      </w:r>
    </w:p>
    <w:p w14:paraId="5C488560">
      <w:pPr>
        <w:pStyle w:val="34"/>
        <w:rPr>
          <w:rFonts w:hint="eastAsia" w:eastAsia="仿宋_GB2312"/>
          <w:lang w:eastAsia="zh-CN"/>
        </w:rPr>
      </w:pPr>
      <w:r>
        <w:rPr>
          <w:rFonts w:hint="eastAsia"/>
          <w:lang w:val="en-US" w:eastAsia="zh-CN"/>
        </w:rPr>
        <w:t>3.成本指标-</w:t>
      </w:r>
      <w:r>
        <w:rPr>
          <w:rFonts w:hint="eastAsia"/>
        </w:rPr>
        <w:t>“</w:t>
      </w:r>
      <w:r>
        <w:rPr>
          <w:rFonts w:hint="eastAsia"/>
          <w:lang w:val="en-US" w:eastAsia="zh-CN"/>
        </w:rPr>
        <w:t>建筑</w:t>
      </w:r>
      <w:r>
        <w:rPr>
          <w:rFonts w:hint="eastAsia"/>
        </w:rPr>
        <w:t>工程</w:t>
      </w:r>
      <w:r>
        <w:rPr>
          <w:rFonts w:hint="eastAsia"/>
          <w:lang w:val="en-US" w:eastAsia="zh-CN"/>
        </w:rPr>
        <w:t>安装费用</w:t>
      </w:r>
      <w:r>
        <w:rPr>
          <w:rFonts w:hint="eastAsia"/>
        </w:rPr>
        <w:t>”指标，预期指标值为</w:t>
      </w:r>
      <w:r>
        <w:rPr>
          <w:rFonts w:hint="eastAsia"/>
          <w:lang w:eastAsia="zh-CN"/>
        </w:rPr>
        <w:t>小于等于</w:t>
      </w:r>
      <w:r>
        <w:rPr>
          <w:rFonts w:hint="eastAsia"/>
          <w:lang w:val="en-US" w:eastAsia="zh-CN"/>
        </w:rPr>
        <w:t>315.79万</w:t>
      </w:r>
      <w:r>
        <w:rPr>
          <w:rFonts w:hint="eastAsia"/>
        </w:rPr>
        <w:t>元, 全年实际值为</w:t>
      </w:r>
      <w:r>
        <w:rPr>
          <w:rFonts w:hint="eastAsia"/>
          <w:lang w:val="en-US" w:eastAsia="zh-CN"/>
        </w:rPr>
        <w:t>325.99</w:t>
      </w:r>
      <w:r>
        <w:rPr>
          <w:rFonts w:hint="eastAsia"/>
        </w:rPr>
        <w:t>万元</w:t>
      </w:r>
      <w:r>
        <w:rPr>
          <w:rFonts w:hint="eastAsia"/>
          <w:lang w:eastAsia="zh-CN"/>
        </w:rPr>
        <w:t>。</w:t>
      </w:r>
    </w:p>
    <w:p w14:paraId="5E59E876">
      <w:pPr>
        <w:pStyle w:val="34"/>
        <w:rPr>
          <w:rFonts w:hint="eastAsia"/>
        </w:rPr>
      </w:pPr>
      <w:r>
        <w:rPr>
          <w:rFonts w:hint="eastAsia"/>
        </w:rPr>
        <w:t>偏差原因：项目已完工，经过财务决算审定，最终审定项目总投资367.76万元，剩余资金结余财政收回。</w:t>
      </w:r>
    </w:p>
    <w:p w14:paraId="5E810CA2">
      <w:pPr>
        <w:pStyle w:val="34"/>
        <w:rPr>
          <w:rFonts w:hint="eastAsia"/>
          <w:lang w:eastAsia="zh-CN"/>
        </w:rPr>
      </w:pPr>
      <w:r>
        <w:rPr>
          <w:rFonts w:hint="eastAsia"/>
        </w:rPr>
        <w:t>改进措施：加强项目前期管理，合理编制工程建设费用</w:t>
      </w:r>
      <w:r>
        <w:rPr>
          <w:rFonts w:hint="eastAsia"/>
          <w:lang w:eastAsia="zh-CN"/>
        </w:rPr>
        <w:t>。</w:t>
      </w:r>
    </w:p>
    <w:p w14:paraId="7297025B">
      <w:pPr>
        <w:pStyle w:val="34"/>
        <w:rPr>
          <w:rFonts w:hint="eastAsia" w:eastAsia="仿宋_GB2312"/>
          <w:lang w:eastAsia="zh-CN"/>
        </w:rPr>
      </w:pPr>
      <w:r>
        <w:rPr>
          <w:rFonts w:hint="eastAsia"/>
          <w:lang w:val="en-US" w:eastAsia="zh-CN"/>
        </w:rPr>
        <w:t>4.成本指标-</w:t>
      </w:r>
      <w:r>
        <w:rPr>
          <w:rFonts w:hint="eastAsia"/>
        </w:rPr>
        <w:t>“</w:t>
      </w:r>
      <w:r>
        <w:rPr>
          <w:rFonts w:hint="eastAsia"/>
          <w:lang w:val="en-US" w:eastAsia="zh-CN"/>
        </w:rPr>
        <w:t>其他费用</w:t>
      </w:r>
      <w:r>
        <w:rPr>
          <w:rFonts w:hint="eastAsia"/>
        </w:rPr>
        <w:t>”指标，预期指标值为</w:t>
      </w:r>
      <w:r>
        <w:rPr>
          <w:rFonts w:hint="eastAsia"/>
          <w:lang w:eastAsia="zh-CN"/>
        </w:rPr>
        <w:t>小于等于</w:t>
      </w:r>
      <w:r>
        <w:rPr>
          <w:rFonts w:hint="eastAsia"/>
          <w:lang w:val="en-US" w:eastAsia="zh-CN"/>
        </w:rPr>
        <w:t>55.21万</w:t>
      </w:r>
      <w:r>
        <w:rPr>
          <w:rFonts w:hint="eastAsia"/>
        </w:rPr>
        <w:t>元, 全年实际值为</w:t>
      </w:r>
      <w:r>
        <w:rPr>
          <w:rFonts w:hint="eastAsia"/>
          <w:lang w:val="en-US" w:eastAsia="zh-CN"/>
        </w:rPr>
        <w:t>41.77</w:t>
      </w:r>
      <w:r>
        <w:rPr>
          <w:rFonts w:hint="eastAsia"/>
        </w:rPr>
        <w:t>万元</w:t>
      </w:r>
      <w:r>
        <w:rPr>
          <w:rFonts w:hint="eastAsia"/>
          <w:lang w:eastAsia="zh-CN"/>
        </w:rPr>
        <w:t>。</w:t>
      </w:r>
    </w:p>
    <w:p w14:paraId="47D5E401">
      <w:pPr>
        <w:pStyle w:val="34"/>
        <w:rPr>
          <w:rFonts w:hint="eastAsia"/>
        </w:rPr>
      </w:pPr>
      <w:r>
        <w:rPr>
          <w:rFonts w:hint="eastAsia"/>
        </w:rPr>
        <w:t>偏差原因：项目已完工，经过财务决算审定，最终审定项目总投资367.76万元，剩余资金结余财政收回。</w:t>
      </w:r>
    </w:p>
    <w:p w14:paraId="56DDEB00">
      <w:pPr>
        <w:pStyle w:val="34"/>
        <w:rPr>
          <w:rFonts w:hint="eastAsia" w:eastAsia="仿宋_GB2312"/>
          <w:lang w:val="en-US" w:eastAsia="zh-CN"/>
        </w:rPr>
      </w:pPr>
      <w:r>
        <w:rPr>
          <w:rFonts w:hint="eastAsia"/>
        </w:rPr>
        <w:t>改进措施：加强项目前期管理，合理编制工程建设费用</w:t>
      </w:r>
      <w:r>
        <w:rPr>
          <w:rFonts w:hint="eastAsia"/>
          <w:lang w:eastAsia="zh-CN"/>
        </w:rPr>
        <w:t>。</w:t>
      </w:r>
    </w:p>
    <w:p w14:paraId="59B22642">
      <w:pPr>
        <w:pStyle w:val="30"/>
        <w:spacing w:before="120"/>
        <w:ind w:left="0" w:leftChars="0" w:right="3" w:firstLine="562" w:firstLineChars="200"/>
      </w:pPr>
      <w:r>
        <w:rPr>
          <w:rFonts w:hint="eastAsia"/>
        </w:rPr>
        <w:t>五、绩效自评结果拟应用和公开情况</w:t>
      </w:r>
    </w:p>
    <w:p w14:paraId="6360CBC9">
      <w:pPr>
        <w:pStyle w:val="53"/>
        <w:spacing w:line="560" w:lineRule="exact"/>
        <w:ind w:left="3" w:right="3" w:firstLine="560"/>
        <w:rPr>
          <w:rFonts w:hint="eastAsia" w:ascii="仿宋_GB2312"/>
        </w:rPr>
      </w:pPr>
      <w:r>
        <w:rPr>
          <w:rFonts w:hint="eastAsia" w:ascii="仿宋_GB2312"/>
        </w:rPr>
        <w:t>项目本次评价通过文件研读、实地调研、数据采集、问卷调查方式下，全面了解</w:t>
      </w:r>
      <w:r>
        <w:rPr>
          <w:rFonts w:hint="eastAsia" w:ascii="仿宋_GB2312"/>
          <w:lang w:val="en-US" w:eastAsia="zh-CN"/>
        </w:rPr>
        <w:t>于田县阿热勒乡也台克孜勒村村集体门面房建设项目</w:t>
      </w:r>
      <w:r>
        <w:rPr>
          <w:rFonts w:hint="eastAsia" w:ascii="仿宋_GB2312"/>
        </w:rPr>
        <w:t>资金的使用效率和效果，从而得出以下综合评价结论：在绩效目标方面，本项目共设置一级指标3个，二级指标</w:t>
      </w:r>
      <w:r>
        <w:rPr>
          <w:rFonts w:hint="eastAsia" w:ascii="仿宋_GB2312"/>
          <w:lang w:val="en-US" w:eastAsia="zh-CN"/>
        </w:rPr>
        <w:t>6</w:t>
      </w:r>
      <w:r>
        <w:rPr>
          <w:rFonts w:hint="eastAsia" w:ascii="仿宋_GB2312"/>
        </w:rPr>
        <w:t>个，三级指标</w:t>
      </w:r>
      <w:r>
        <w:rPr>
          <w:rFonts w:hint="eastAsia" w:ascii="仿宋_GB2312"/>
          <w:lang w:val="en-US" w:eastAsia="zh-CN"/>
        </w:rPr>
        <w:t>16</w:t>
      </w:r>
      <w:r>
        <w:rPr>
          <w:rFonts w:hint="eastAsia" w:ascii="仿宋_GB2312"/>
        </w:rPr>
        <w:t>个，其中已完成三级指标</w:t>
      </w:r>
      <w:r>
        <w:rPr>
          <w:rFonts w:hint="eastAsia" w:ascii="仿宋_GB2312"/>
          <w:lang w:val="en-US" w:eastAsia="zh-CN"/>
        </w:rPr>
        <w:t>12</w:t>
      </w:r>
      <w:r>
        <w:rPr>
          <w:rFonts w:hint="eastAsia" w:ascii="仿宋_GB2312"/>
        </w:rPr>
        <w:t>个，指标完成率为</w:t>
      </w:r>
      <w:r>
        <w:rPr>
          <w:rFonts w:hint="eastAsia" w:ascii="仿宋_GB2312"/>
          <w:lang w:val="en-US" w:eastAsia="zh-CN"/>
        </w:rPr>
        <w:t>98.04</w:t>
      </w:r>
      <w:r>
        <w:rPr>
          <w:rFonts w:hint="eastAsia" w:ascii="仿宋_GB2312"/>
        </w:rPr>
        <w:t>%；在资金使用方面，严格按照《于田县扶贫资金财务管理制度》、《</w:t>
      </w:r>
      <w:r>
        <w:rPr>
          <w:rFonts w:hint="eastAsia" w:ascii="仿宋_GB2312"/>
          <w:lang w:val="en-US" w:eastAsia="zh-CN"/>
        </w:rPr>
        <w:t>于田县阿热勒乡人民政府</w:t>
      </w:r>
      <w:r>
        <w:rPr>
          <w:rFonts w:hint="eastAsia" w:ascii="仿宋_GB2312"/>
        </w:rPr>
        <w:t>财务管理制度》执行，保障了资金使用规范、安全，无挪用、截留资金的情况发生。在项目管理方面，制定了《</w:t>
      </w:r>
      <w:r>
        <w:rPr>
          <w:rFonts w:hint="eastAsia" w:ascii="仿宋_GB2312"/>
          <w:lang w:val="en-US" w:eastAsia="zh-CN"/>
        </w:rPr>
        <w:t>于田县阿热勒乡也台克孜勒村村集体门面房建设项目</w:t>
      </w:r>
      <w:r>
        <w:rPr>
          <w:rFonts w:hint="eastAsia" w:ascii="仿宋_GB2312"/>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3400F72A">
      <w:pPr>
        <w:pStyle w:val="53"/>
        <w:spacing w:line="560" w:lineRule="exact"/>
        <w:ind w:left="3" w:right="3" w:firstLine="560"/>
        <w:rPr>
          <w:rFonts w:hint="eastAsia" w:ascii="仿宋_GB2312"/>
        </w:rPr>
      </w:pPr>
      <w:r>
        <w:rPr>
          <w:rFonts w:hint="eastAsia" w:ascii="仿宋_GB2312"/>
        </w:rPr>
        <w:t>项目最终得分为</w:t>
      </w:r>
      <w:r>
        <w:rPr>
          <w:rFonts w:hint="eastAsia" w:ascii="仿宋_GB2312"/>
          <w:lang w:val="en-US" w:eastAsia="zh-CN"/>
        </w:rPr>
        <w:t>98.70</w:t>
      </w:r>
      <w:r>
        <w:rPr>
          <w:rFonts w:hint="eastAsia" w:ascii="仿宋_GB2312"/>
        </w:rPr>
        <w:t>分，评价等级为</w:t>
      </w:r>
      <w:r>
        <w:rPr>
          <w:rFonts w:hint="eastAsia" w:ascii="仿宋_GB2312"/>
          <w:lang w:val="en-US" w:eastAsia="zh-CN"/>
        </w:rPr>
        <w:t>优</w:t>
      </w:r>
      <w:r>
        <w:rPr>
          <w:rFonts w:hint="eastAsia" w:ascii="仿宋_GB2312"/>
        </w:rPr>
        <w:t>。</w:t>
      </w:r>
    </w:p>
    <w:p w14:paraId="1723D8F3">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0FF6CC91">
      <w:pPr>
        <w:pStyle w:val="53"/>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6277485D">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59618F14">
      <w:pPr>
        <w:pStyle w:val="53"/>
        <w:spacing w:line="560" w:lineRule="exact"/>
        <w:ind w:left="3" w:right="3" w:firstLine="560"/>
        <w:rPr>
          <w:rFonts w:hint="default"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pPr>
      <w:r>
        <w:rPr>
          <w:rFonts w:hint="eastAsia" w:ascii="仿宋_GB2312"/>
        </w:rPr>
        <w:t>项目状况：</w:t>
      </w:r>
      <w:r>
        <w:rPr>
          <w:rFonts w:hint="eastAsia" w:ascii="仿宋_GB2312"/>
          <w:szCs w:val="32"/>
        </w:rPr>
        <w:t>根据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于田县阿热勒乡也台克孜勒村村集体门面房建设项目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于发改项目（2024）70号</w:t>
      </w:r>
      <w:r>
        <w:rPr>
          <w:rFonts w:hint="eastAsia" w:ascii="仿宋_GB2312"/>
          <w:szCs w:val="32"/>
          <w:lang w:eastAsia="zh-CN"/>
        </w:rPr>
        <w:t>）</w:t>
      </w:r>
      <w:r>
        <w:rPr>
          <w:rFonts w:hint="eastAsia" w:ascii="仿宋_GB2312"/>
          <w:szCs w:val="32"/>
        </w:rPr>
        <w:t>立</w:t>
      </w:r>
      <w:r>
        <w:rPr>
          <w:rFonts w:hint="eastAsia" w:ascii="仿宋_GB2312" w:hAnsi="Times New Roman" w:eastAsia="仿宋_GB2312" w:cs="Times New Roman"/>
          <w:color w:val="000000" w:themeColor="text1"/>
          <w:kern w:val="2"/>
          <w:sz w:val="28"/>
          <w:szCs w:val="32"/>
          <w:highlight w:val="none"/>
          <w:lang w:val="en-US" w:eastAsia="zh-CN" w:bidi="ar-SA"/>
          <w14:textFill>
            <w14:solidFill>
              <w14:schemeClr w14:val="tx1"/>
            </w14:solidFill>
          </w14:textFill>
        </w:rPr>
        <w:t>项实施</w:t>
      </w:r>
      <w:r>
        <w:rPr>
          <w:rFonts w:hint="eastAsia" w:ascii="仿宋_GB2312" w:cs="Times New Roman"/>
          <w:color w:val="000000" w:themeColor="text1"/>
          <w:kern w:val="2"/>
          <w:sz w:val="28"/>
          <w:szCs w:val="32"/>
          <w:highlight w:val="none"/>
          <w:lang w:val="en-US" w:eastAsia="zh-CN" w:bidi="ar-SA"/>
          <w14:textFill>
            <w14:solidFill>
              <w14:schemeClr w14:val="tx1"/>
            </w14:solidFill>
          </w14:textFill>
        </w:rPr>
        <w:t>。</w:t>
      </w:r>
    </w:p>
    <w:p w14:paraId="6DA91A63">
      <w:pPr>
        <w:pStyle w:val="53"/>
        <w:spacing w:line="560" w:lineRule="exact"/>
        <w:ind w:left="3" w:right="3" w:firstLine="560"/>
        <w:rPr>
          <w:rFonts w:hint="eastAsia" w:ascii="仿宋_GB2312"/>
          <w:szCs w:val="32"/>
          <w:lang w:val="en-US" w:eastAsia="zh-CN"/>
        </w:rPr>
      </w:pPr>
      <w:r>
        <w:rPr>
          <w:rFonts w:hint="eastAsia" w:ascii="仿宋_GB2312"/>
        </w:rPr>
        <w:t>资金状况：预算资金来源为</w:t>
      </w:r>
      <w:r>
        <w:rPr>
          <w:rFonts w:hint="eastAsia" w:ascii="仿宋_GB2312"/>
          <w:lang w:val="en-US" w:eastAsia="zh-CN"/>
        </w:rPr>
        <w:t>乡村振兴衔接资金</w:t>
      </w:r>
      <w:r>
        <w:rPr>
          <w:rFonts w:hint="eastAsia" w:ascii="仿宋_GB2312"/>
        </w:rPr>
        <w:t>，文件依据</w:t>
      </w:r>
      <w:r>
        <w:rPr>
          <w:rFonts w:hint="eastAsia" w:ascii="仿宋_GB2312"/>
          <w:szCs w:val="32"/>
          <w:lang w:val="en-US" w:eastAsia="zh-CN"/>
        </w:rPr>
        <w:t>于田县发展和改革委员会</w:t>
      </w:r>
      <w:r>
        <w:rPr>
          <w:rFonts w:hint="eastAsia" w:ascii="仿宋_GB2312"/>
          <w:szCs w:val="32"/>
        </w:rPr>
        <w:t>下发的《</w:t>
      </w:r>
      <w:r>
        <w:rPr>
          <w:rFonts w:hint="eastAsia" w:ascii="仿宋_GB2312"/>
          <w:szCs w:val="32"/>
          <w:lang w:val="en-US" w:eastAsia="zh-CN"/>
        </w:rPr>
        <w:t>关于对</w:t>
      </w:r>
      <w:r>
        <w:rPr>
          <w:rFonts w:hint="eastAsia" w:ascii="仿宋" w:hAnsi="仿宋" w:eastAsia="仿宋" w:cs="仿宋"/>
          <w:bCs/>
          <w:color w:val="000000" w:themeColor="text1"/>
          <w:kern w:val="0"/>
          <w:lang w:val="en-US" w:eastAsia="zh-CN"/>
          <w14:textFill>
            <w14:solidFill>
              <w14:schemeClr w14:val="tx1"/>
            </w14:solidFill>
          </w14:textFill>
        </w:rPr>
        <w:t>于田县阿热勒乡也台克孜勒村村集体门面房建设项目</w:t>
      </w:r>
      <w:r>
        <w:rPr>
          <w:rFonts w:hint="eastAsia" w:ascii="仿宋_GB2312"/>
          <w:szCs w:val="32"/>
        </w:rPr>
        <w:t>实施方案的批复》</w:t>
      </w:r>
      <w:r>
        <w:rPr>
          <w:rFonts w:hint="eastAsia" w:ascii="仿宋_GB2312"/>
          <w:szCs w:val="32"/>
          <w:lang w:eastAsia="zh-CN"/>
        </w:rPr>
        <w:t>（</w:t>
      </w:r>
      <w:r>
        <w:rPr>
          <w:rFonts w:hint="eastAsia" w:ascii="仿宋_GB2312"/>
          <w:szCs w:val="32"/>
          <w:lang w:val="en-US" w:eastAsia="zh-CN"/>
        </w:rPr>
        <w:t>于发改项目（2024）70号</w:t>
      </w:r>
      <w:r>
        <w:rPr>
          <w:rFonts w:hint="eastAsia" w:ascii="仿宋_GB2312"/>
          <w:szCs w:val="32"/>
          <w:lang w:eastAsia="zh-CN"/>
        </w:rPr>
        <w:t>）。</w:t>
      </w:r>
    </w:p>
    <w:p w14:paraId="6BF1C41D">
      <w:pPr>
        <w:pStyle w:val="53"/>
        <w:spacing w:line="560" w:lineRule="exact"/>
        <w:ind w:left="3" w:right="3" w:firstLine="560"/>
        <w:rPr>
          <w:rFonts w:hint="eastAsia" w:ascii="仿宋_GB2312"/>
          <w:szCs w:val="32"/>
        </w:rPr>
      </w:pPr>
      <w:r>
        <w:rPr>
          <w:rFonts w:hint="eastAsia" w:ascii="仿宋_GB2312"/>
          <w:szCs w:val="32"/>
        </w:rPr>
        <w:t>过程状况：该项目于20</w:t>
      </w:r>
      <w:r>
        <w:rPr>
          <w:rFonts w:hint="eastAsia" w:ascii="仿宋_GB2312"/>
          <w:szCs w:val="32"/>
          <w:lang w:val="en-US" w:eastAsia="zh-CN"/>
        </w:rPr>
        <w:t>24</w:t>
      </w:r>
      <w:r>
        <w:rPr>
          <w:rFonts w:hint="eastAsia" w:ascii="仿宋_GB2312"/>
          <w:szCs w:val="32"/>
        </w:rPr>
        <w:t>年</w:t>
      </w:r>
      <w:r>
        <w:rPr>
          <w:rFonts w:hint="eastAsia" w:ascii="仿宋_GB2312"/>
          <w:szCs w:val="32"/>
          <w:lang w:val="en-US" w:eastAsia="zh-CN"/>
        </w:rPr>
        <w:t>3</w:t>
      </w:r>
      <w:r>
        <w:rPr>
          <w:rFonts w:hint="eastAsia" w:ascii="仿宋_GB2312"/>
          <w:szCs w:val="32"/>
        </w:rPr>
        <w:t>月制订</w:t>
      </w:r>
      <w:r>
        <w:rPr>
          <w:rFonts w:hint="eastAsia" w:ascii="仿宋_GB2312"/>
          <w:szCs w:val="32"/>
          <w:lang w:val="en-US" w:eastAsia="zh-CN"/>
        </w:rPr>
        <w:t>实施方案</w:t>
      </w:r>
      <w:r>
        <w:rPr>
          <w:rFonts w:hint="eastAsia" w:ascii="仿宋_GB2312"/>
          <w:szCs w:val="32"/>
        </w:rPr>
        <w:t>并得到批复，</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3月开工</w:t>
      </w:r>
      <w:r>
        <w:rPr>
          <w:rFonts w:hint="eastAsia" w:ascii="仿宋_GB2312"/>
          <w:szCs w:val="32"/>
        </w:rPr>
        <w:t>，</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6月</w:t>
      </w:r>
      <w:r>
        <w:rPr>
          <w:rFonts w:hint="eastAsia" w:ascii="仿宋_GB2312"/>
          <w:szCs w:val="32"/>
        </w:rPr>
        <w:t>完工。</w:t>
      </w:r>
    </w:p>
    <w:p w14:paraId="5C0FFDC1">
      <w:pPr>
        <w:pStyle w:val="53"/>
        <w:spacing w:line="560" w:lineRule="exact"/>
        <w:ind w:left="3" w:right="3" w:firstLine="560"/>
        <w:rPr>
          <w:rFonts w:hint="eastAsia" w:ascii="仿宋_GB2312"/>
          <w:szCs w:val="32"/>
        </w:rPr>
      </w:pPr>
      <w:r>
        <w:rPr>
          <w:rFonts w:hint="eastAsia" w:ascii="仿宋_GB2312"/>
          <w:szCs w:val="32"/>
        </w:rPr>
        <w:t>结果状况：</w:t>
      </w:r>
      <w:r>
        <w:rPr>
          <w:rFonts w:hint="eastAsia" w:ascii="仿宋_GB2312"/>
          <w:szCs w:val="32"/>
          <w:lang w:val="en-US" w:eastAsia="zh-CN"/>
        </w:rPr>
        <w:t>该项目完工后由建设单位与</w:t>
      </w:r>
      <w:r>
        <w:rPr>
          <w:rFonts w:hint="eastAsia" w:ascii="仿宋_GB2312"/>
          <w:szCs w:val="32"/>
        </w:rPr>
        <w:t>于田县</w:t>
      </w:r>
      <w:r>
        <w:rPr>
          <w:rFonts w:hint="eastAsia" w:ascii="仿宋_GB2312"/>
          <w:szCs w:val="32"/>
          <w:lang w:val="en-US" w:eastAsia="zh-CN"/>
        </w:rPr>
        <w:t>发展和改革委员会、中共于田县委员会组织部、于田县乡村振兴局、于田县</w:t>
      </w:r>
      <w:r>
        <w:rPr>
          <w:rFonts w:hint="eastAsia" w:ascii="仿宋_GB2312"/>
          <w:szCs w:val="32"/>
        </w:rPr>
        <w:t>财政局</w:t>
      </w:r>
      <w:r>
        <w:rPr>
          <w:rFonts w:hint="eastAsia" w:ascii="仿宋_GB2312"/>
          <w:szCs w:val="32"/>
          <w:lang w:eastAsia="zh-CN"/>
        </w:rPr>
        <w:t>、</w:t>
      </w:r>
      <w:r>
        <w:rPr>
          <w:rFonts w:hint="eastAsia" w:ascii="仿宋_GB2312"/>
          <w:szCs w:val="32"/>
          <w:lang w:val="en-US" w:eastAsia="zh-CN"/>
        </w:rPr>
        <w:t>于田县</w:t>
      </w:r>
      <w:r>
        <w:rPr>
          <w:rFonts w:hint="eastAsia" w:ascii="仿宋_GB2312"/>
          <w:szCs w:val="32"/>
        </w:rPr>
        <w:t>档案局联合竣工验收</w:t>
      </w:r>
      <w:r>
        <w:rPr>
          <w:rFonts w:hint="eastAsia" w:ascii="仿宋_GB2312"/>
          <w:szCs w:val="32"/>
          <w:lang w:eastAsia="zh-CN"/>
        </w:rPr>
        <w:t>，</w:t>
      </w:r>
      <w:r>
        <w:rPr>
          <w:rFonts w:hint="eastAsia" w:ascii="仿宋_GB2312"/>
          <w:szCs w:val="32"/>
        </w:rPr>
        <w:t>结果状况：合格。</w:t>
      </w:r>
    </w:p>
    <w:p w14:paraId="4480E8B7">
      <w:pPr>
        <w:pStyle w:val="53"/>
        <w:spacing w:line="560" w:lineRule="exact"/>
        <w:ind w:left="3" w:right="3" w:firstLine="560"/>
        <w:rPr>
          <w:rFonts w:hint="eastAsia" w:ascii="仿宋_GB2312"/>
          <w:b/>
          <w:bCs/>
          <w:szCs w:val="32"/>
        </w:rPr>
      </w:pPr>
      <w:r>
        <w:rPr>
          <w:rFonts w:hint="eastAsia" w:ascii="仿宋_GB2312"/>
          <w:b/>
          <w:bCs/>
          <w:szCs w:val="32"/>
        </w:rPr>
        <w:t>（三）主要经验及做法</w:t>
      </w:r>
    </w:p>
    <w:p w14:paraId="7BDB5349">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于田县阿热勒乡也台克孜勒村村集体门面房建设项目</w:t>
      </w:r>
      <w:r>
        <w:rPr>
          <w:rFonts w:hint="eastAsia" w:ascii="仿宋_GB2312"/>
          <w:szCs w:val="32"/>
        </w:rPr>
        <w:t>资金安排、使用过程中严格执行乡村振兴项目资金管理制度，确保乡村振兴项目正常运行为构建长效稳定奠定物质基础。</w:t>
      </w:r>
    </w:p>
    <w:p w14:paraId="5F656C8E">
      <w:pPr>
        <w:pStyle w:val="53"/>
        <w:spacing w:line="560" w:lineRule="exact"/>
        <w:ind w:left="3" w:right="3" w:firstLine="560"/>
        <w:rPr>
          <w:rFonts w:hint="eastAsia" w:ascii="仿宋_GB2312"/>
          <w:b/>
          <w:bCs/>
          <w:szCs w:val="32"/>
        </w:rPr>
      </w:pPr>
      <w:r>
        <w:rPr>
          <w:rFonts w:hint="eastAsia" w:ascii="仿宋_GB2312"/>
          <w:b/>
          <w:bCs/>
          <w:szCs w:val="32"/>
        </w:rPr>
        <w:t>（四）存在的问题</w:t>
      </w:r>
    </w:p>
    <w:p w14:paraId="330B8366">
      <w:pPr>
        <w:pStyle w:val="53"/>
        <w:spacing w:line="560" w:lineRule="exact"/>
        <w:ind w:left="3" w:right="3" w:firstLine="560"/>
        <w:rPr>
          <w:rFonts w:hint="eastAsia" w:ascii="仿宋_GB2312"/>
          <w:szCs w:val="32"/>
        </w:rPr>
      </w:pPr>
      <w:r>
        <w:rPr>
          <w:rFonts w:hint="eastAsia" w:ascii="仿宋_GB2312"/>
          <w:szCs w:val="32"/>
          <w:lang w:val="en-US" w:eastAsia="zh-CN"/>
        </w:rPr>
        <w:t>于田县阿热勒乡也台克孜勒村村集体门面房建设项目</w:t>
      </w:r>
      <w:r>
        <w:rPr>
          <w:rFonts w:hint="eastAsia" w:ascii="仿宋_GB2312"/>
          <w:szCs w:val="32"/>
        </w:rPr>
        <w:t>资金安排、使用过程中存在一些问题，主要是资金申报，审批，发放过程中存在对资金拨付缓慢问题。</w:t>
      </w:r>
    </w:p>
    <w:p w14:paraId="1FA22359">
      <w:pPr>
        <w:pStyle w:val="53"/>
        <w:spacing w:line="560" w:lineRule="exact"/>
        <w:ind w:left="3" w:right="3" w:firstLine="560"/>
        <w:rPr>
          <w:rFonts w:hint="eastAsia" w:ascii="仿宋_GB2312"/>
          <w:b/>
          <w:bCs/>
          <w:szCs w:val="32"/>
        </w:rPr>
      </w:pPr>
      <w:r>
        <w:rPr>
          <w:rFonts w:hint="eastAsia" w:ascii="仿宋_GB2312"/>
          <w:b/>
          <w:bCs/>
          <w:szCs w:val="32"/>
        </w:rPr>
        <w:t>（五）建议</w:t>
      </w:r>
    </w:p>
    <w:p w14:paraId="7B801076">
      <w:pPr>
        <w:pStyle w:val="53"/>
        <w:spacing w:line="560" w:lineRule="exact"/>
        <w:ind w:left="3" w:right="3" w:firstLine="560"/>
        <w:rPr>
          <w:rFonts w:hint="eastAsia" w:ascii="仿宋_GB2312"/>
          <w:szCs w:val="32"/>
        </w:rPr>
      </w:pPr>
      <w:r>
        <w:rPr>
          <w:rFonts w:hint="eastAsia" w:ascii="仿宋_GB2312"/>
          <w:szCs w:val="32"/>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32E8E38">
      <w:pPr>
        <w:pStyle w:val="53"/>
        <w:spacing w:line="560" w:lineRule="exact"/>
        <w:ind w:left="3" w:right="3" w:firstLine="560"/>
        <w:rPr>
          <w:rFonts w:hint="eastAsia" w:ascii="仿宋_GB2312"/>
          <w:b/>
          <w:bCs/>
          <w:szCs w:val="32"/>
        </w:rPr>
      </w:pPr>
      <w:r>
        <w:rPr>
          <w:rFonts w:hint="eastAsia" w:ascii="仿宋_GB2312"/>
          <w:b/>
          <w:bCs/>
          <w:szCs w:val="32"/>
        </w:rPr>
        <w:t>（六）项目绩效公告公示情况</w:t>
      </w:r>
    </w:p>
    <w:p w14:paraId="6160CFC0">
      <w:pPr>
        <w:pStyle w:val="53"/>
        <w:spacing w:line="560" w:lineRule="exact"/>
        <w:ind w:left="3" w:right="3" w:firstLine="560"/>
        <w:rPr>
          <w:rFonts w:hint="eastAsia" w:ascii="仿宋_GB2312"/>
          <w:szCs w:val="32"/>
        </w:rPr>
      </w:pPr>
      <w:r>
        <w:rPr>
          <w:rFonts w:hint="eastAsia" w:ascii="仿宋_GB2312"/>
          <w:szCs w:val="3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68C00555">
        <w:pPr>
          <w:pStyle w:val="14"/>
          <w:jc w:val="center"/>
        </w:pPr>
        <w:r>
          <w:fldChar w:fldCharType="begin"/>
        </w:r>
        <w:r>
          <w:instrText xml:space="preserve">PAGE   \* MERGEFORMAT</w:instrText>
        </w:r>
        <w:r>
          <w:fldChar w:fldCharType="separate"/>
        </w:r>
        <w:r>
          <w:rPr>
            <w:lang w:val="zh-CN"/>
          </w:rPr>
          <w:t>1</w:t>
        </w:r>
        <w:r>
          <w:fldChar w:fldCharType="end"/>
        </w:r>
      </w:p>
    </w:sdtContent>
  </w:sdt>
  <w:p w14:paraId="384BE77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85B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8D138C"/>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B454D12"/>
    <w:rsid w:val="1C5F19D6"/>
    <w:rsid w:val="1E545693"/>
    <w:rsid w:val="1F9E2BED"/>
    <w:rsid w:val="231217D6"/>
    <w:rsid w:val="2E931E1B"/>
    <w:rsid w:val="38326354"/>
    <w:rsid w:val="390B7921"/>
    <w:rsid w:val="3E982E81"/>
    <w:rsid w:val="41505AA9"/>
    <w:rsid w:val="45965EED"/>
    <w:rsid w:val="479518B4"/>
    <w:rsid w:val="53001712"/>
    <w:rsid w:val="5CC07040"/>
    <w:rsid w:val="5D5B4D73"/>
    <w:rsid w:val="5D81225E"/>
    <w:rsid w:val="6F4A25DE"/>
    <w:rsid w:val="736A5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8"/>
    <w:semiHidden/>
    <w:unhideWhenUsed/>
    <w:qFormat/>
    <w:uiPriority w:val="99"/>
    <w:pPr>
      <w:jc w:val="left"/>
    </w:pPr>
  </w:style>
  <w:style w:type="paragraph" w:styleId="12">
    <w:name w:val="Body Text"/>
    <w:basedOn w:val="1"/>
    <w:next w:val="1"/>
    <w:qFormat/>
    <w:uiPriority w:val="0"/>
    <w:pPr>
      <w:spacing w:after="120"/>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1"/>
    <w:next w:val="11"/>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1"/>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6151</Words>
  <Characters>6667</Characters>
  <Lines>9</Lines>
  <Paragraphs>15</Paragraphs>
  <TotalTime>0</TotalTime>
  <ScaleCrop>false</ScaleCrop>
  <LinksUpToDate>false</LinksUpToDate>
  <CharactersWithSpaces>7095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七安</cp:lastModifiedBy>
  <dcterms:modified xsi:type="dcterms:W3CDTF">2025-03-03T11:17:45Z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E33A5C8EDB1F4F48AFE51C461C3E8531_13</vt:lpwstr>
  </property>
  <property fmtid="{D5CDD505-2E9C-101B-9397-08002B2CF9AE}" pid="4" name="KSOTemplateDocerSaveRecord">
    <vt:lpwstr>eyJoZGlkIjoiY2RlOGExMTJjOWFmYjNiZTJjMWUwNDM2NWFmZTM5NmEiLCJ1c2VySWQiOiIxMTAwNDE5NzU4In0=</vt:lpwstr>
  </property>
</Properties>
</file>