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4FBBB21">
      <w:pPr>
        <w:spacing w:before="120" w:after="120" w:line="480" w:lineRule="auto"/>
        <w:ind w:firstLine="883" w:firstLineChars="200"/>
        <w:jc w:val="center"/>
        <w:outlineLvl w:val="0"/>
        <w:rPr>
          <w:rFonts w:ascii="仿宋_GB2312" w:hAnsi="Arial"/>
          <w:b/>
          <w:color w:val="auto"/>
          <w:sz w:val="44"/>
          <w:szCs w:val="44"/>
          <w:highlight w:val="none"/>
        </w:rPr>
      </w:pPr>
    </w:p>
    <w:p w14:paraId="5B31CF73">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79A98A22">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2567E076">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5A93002D">
      <w:pPr>
        <w:spacing w:line="540" w:lineRule="exact"/>
        <w:ind w:firstLine="600" w:firstLineChars="200"/>
        <w:jc w:val="center"/>
        <w:rPr>
          <w:rFonts w:hAnsi="宋体" w:cs="宋体"/>
          <w:color w:val="auto"/>
          <w:kern w:val="0"/>
          <w:sz w:val="30"/>
          <w:szCs w:val="30"/>
          <w:highlight w:val="none"/>
        </w:rPr>
      </w:pPr>
    </w:p>
    <w:p w14:paraId="29BF0C57">
      <w:pPr>
        <w:spacing w:line="540" w:lineRule="exact"/>
        <w:ind w:firstLine="600" w:firstLineChars="200"/>
        <w:jc w:val="center"/>
        <w:rPr>
          <w:rFonts w:hAnsi="宋体" w:cs="宋体"/>
          <w:color w:val="auto"/>
          <w:kern w:val="0"/>
          <w:sz w:val="30"/>
          <w:szCs w:val="30"/>
          <w:highlight w:val="none"/>
        </w:rPr>
      </w:pPr>
    </w:p>
    <w:p w14:paraId="1CABDB3C">
      <w:pPr>
        <w:spacing w:line="540" w:lineRule="exact"/>
        <w:ind w:firstLine="600" w:firstLineChars="200"/>
        <w:jc w:val="center"/>
        <w:rPr>
          <w:rFonts w:hAnsi="宋体" w:cs="宋体"/>
          <w:color w:val="auto"/>
          <w:kern w:val="0"/>
          <w:sz w:val="30"/>
          <w:szCs w:val="30"/>
          <w:highlight w:val="none"/>
        </w:rPr>
      </w:pPr>
    </w:p>
    <w:p w14:paraId="06982B61">
      <w:pPr>
        <w:spacing w:line="540" w:lineRule="exact"/>
        <w:ind w:firstLine="600" w:firstLineChars="200"/>
        <w:jc w:val="center"/>
        <w:rPr>
          <w:rFonts w:hAnsi="宋体" w:cs="宋体"/>
          <w:color w:val="auto"/>
          <w:kern w:val="0"/>
          <w:sz w:val="30"/>
          <w:szCs w:val="30"/>
          <w:highlight w:val="none"/>
        </w:rPr>
      </w:pPr>
    </w:p>
    <w:p w14:paraId="0E6DE111">
      <w:pPr>
        <w:spacing w:line="540" w:lineRule="exact"/>
        <w:ind w:firstLine="600" w:firstLineChars="200"/>
        <w:rPr>
          <w:rFonts w:hAnsi="宋体" w:cs="宋体"/>
          <w:color w:val="auto"/>
          <w:kern w:val="0"/>
          <w:sz w:val="30"/>
          <w:szCs w:val="30"/>
          <w:highlight w:val="none"/>
        </w:rPr>
      </w:pPr>
    </w:p>
    <w:p w14:paraId="7FF260CE">
      <w:pPr>
        <w:spacing w:line="540" w:lineRule="exact"/>
        <w:ind w:firstLine="600" w:firstLineChars="200"/>
        <w:rPr>
          <w:rFonts w:hAnsi="宋体" w:cs="宋体"/>
          <w:color w:val="auto"/>
          <w:kern w:val="0"/>
          <w:sz w:val="30"/>
          <w:szCs w:val="30"/>
          <w:highlight w:val="none"/>
        </w:rPr>
      </w:pPr>
    </w:p>
    <w:p w14:paraId="7A746383">
      <w:pPr>
        <w:spacing w:line="360" w:lineRule="auto"/>
        <w:ind w:left="640" w:leftChars="200" w:firstLine="640" w:firstLineChars="200"/>
        <w:rPr>
          <w:rFonts w:ascii="仿宋" w:hAnsi="仿宋" w:eastAsia="仿宋" w:cs="仿宋"/>
          <w:color w:val="auto"/>
          <w:szCs w:val="32"/>
          <w:highlight w:val="none"/>
        </w:rPr>
      </w:pPr>
    </w:p>
    <w:p w14:paraId="11133432">
      <w:pPr>
        <w:spacing w:line="360" w:lineRule="auto"/>
        <w:ind w:left="640" w:leftChars="200" w:firstLine="640" w:firstLineChars="200"/>
        <w:rPr>
          <w:rFonts w:ascii="仿宋" w:hAnsi="仿宋" w:eastAsia="仿宋" w:cs="仿宋"/>
          <w:color w:val="auto"/>
          <w:szCs w:val="32"/>
          <w:highlight w:val="none"/>
        </w:rPr>
      </w:pPr>
    </w:p>
    <w:p w14:paraId="6B87DBA5">
      <w:pPr>
        <w:spacing w:line="560" w:lineRule="exact"/>
        <w:ind w:left="640" w:leftChars="200" w:firstLine="640" w:firstLineChars="200"/>
        <w:rPr>
          <w:rFonts w:ascii="仿宋" w:hAnsi="仿宋" w:eastAsia="仿宋" w:cs="仿宋"/>
          <w:color w:val="auto"/>
          <w:szCs w:val="32"/>
          <w:highlight w:val="none"/>
        </w:rPr>
      </w:pPr>
    </w:p>
    <w:p w14:paraId="3A41773B">
      <w:pPr>
        <w:spacing w:line="560" w:lineRule="exact"/>
        <w:ind w:left="3200" w:leftChars="200" w:hanging="2560" w:hangingChars="8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w:t>
      </w:r>
      <w:r>
        <w:rPr>
          <w:rFonts w:hint="eastAsia" w:ascii="仿宋" w:hAnsi="仿宋" w:eastAsia="仿宋" w:cs="仿宋"/>
          <w:color w:val="auto"/>
          <w:szCs w:val="32"/>
          <w:highlight w:val="none"/>
          <w:lang w:eastAsia="zh-CN"/>
        </w:rPr>
        <w:t>：木尕拉镇壮大村集体经济建设项目</w:t>
      </w:r>
    </w:p>
    <w:p w14:paraId="2E7E2184">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实施单位(公章):于田县木尕拉镇人民政府</w:t>
      </w:r>
    </w:p>
    <w:p w14:paraId="094A298E">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主管部门(公章):</w:t>
      </w:r>
      <w:r>
        <w:rPr>
          <w:rFonts w:hint="eastAsia" w:ascii="仿宋" w:hAnsi="仿宋" w:eastAsia="仿宋" w:cs="仿宋"/>
          <w:color w:val="auto"/>
          <w:szCs w:val="32"/>
          <w:highlight w:val="none"/>
          <w:lang w:val="en-US" w:eastAsia="zh-CN"/>
        </w:rPr>
        <w:t>于田县发展和改革委员会</w:t>
      </w:r>
    </w:p>
    <w:p w14:paraId="0A30AA6B">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项目负责人(签章):高云</w:t>
      </w:r>
    </w:p>
    <w:p w14:paraId="721601E4">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20</w:t>
      </w:r>
      <w:r>
        <w:rPr>
          <w:rFonts w:ascii="仿宋" w:hAnsi="仿宋" w:eastAsia="仿宋" w:cs="仿宋"/>
          <w:color w:val="auto"/>
          <w:szCs w:val="32"/>
          <w:highlight w:val="none"/>
        </w:rPr>
        <w:t>日</w:t>
      </w:r>
    </w:p>
    <w:p w14:paraId="083CAA94">
      <w:pPr>
        <w:spacing w:line="560" w:lineRule="exact"/>
        <w:ind w:firstLine="640" w:firstLineChars="200"/>
        <w:rPr>
          <w:rFonts w:ascii="仿宋_GB2312" w:hAnsi="仿宋_GB2312" w:cs="仿宋_GB2312"/>
          <w:kern w:val="0"/>
          <w:szCs w:val="32"/>
          <w:highlight w:val="none"/>
          <w:lang w:bidi="en-US"/>
        </w:rPr>
      </w:pPr>
    </w:p>
    <w:p w14:paraId="7D9D51C7">
      <w:pPr>
        <w:spacing w:line="560" w:lineRule="exact"/>
        <w:ind w:firstLine="640" w:firstLineChars="200"/>
        <w:rPr>
          <w:rFonts w:ascii="仿宋_GB2312" w:hAnsi="仿宋_GB2312" w:cs="仿宋_GB2312"/>
          <w:kern w:val="0"/>
          <w:szCs w:val="32"/>
          <w:highlight w:val="none"/>
          <w:lang w:bidi="en-US"/>
        </w:rPr>
      </w:pPr>
    </w:p>
    <w:p w14:paraId="7447F5E1">
      <w:pPr>
        <w:spacing w:line="360" w:lineRule="auto"/>
        <w:ind w:firstLine="627" w:firstLineChars="200"/>
        <w:rPr>
          <w:rStyle w:val="21"/>
          <w:rFonts w:ascii="黑体" w:hAnsi="黑体" w:eastAsia="黑体" w:cs="Times New Roman"/>
          <w:spacing w:val="-4"/>
          <w:szCs w:val="32"/>
          <w:highlight w:val="none"/>
        </w:rPr>
      </w:pPr>
    </w:p>
    <w:p w14:paraId="0D15F664">
      <w:pPr>
        <w:spacing w:line="360" w:lineRule="auto"/>
        <w:ind w:firstLine="627" w:firstLineChars="200"/>
        <w:rPr>
          <w:rStyle w:val="21"/>
          <w:rFonts w:ascii="黑体" w:hAnsi="黑体" w:eastAsia="黑体" w:cs="Times New Roman"/>
          <w:spacing w:val="-4"/>
          <w:szCs w:val="32"/>
          <w:highlight w:val="none"/>
        </w:rPr>
      </w:pPr>
      <w:r>
        <w:rPr>
          <w:rStyle w:val="21"/>
          <w:rFonts w:hint="eastAsia" w:ascii="黑体" w:hAnsi="黑体" w:eastAsia="黑体" w:cs="Times New Roman"/>
          <w:spacing w:val="-4"/>
          <w:szCs w:val="32"/>
          <w:highlight w:val="none"/>
        </w:rPr>
        <w:t>一、绩效目标分解下达情况</w:t>
      </w:r>
    </w:p>
    <w:p w14:paraId="243D235C">
      <w:pPr>
        <w:spacing w:line="360" w:lineRule="auto"/>
        <w:ind w:firstLine="546" w:firstLineChars="200"/>
        <w:rPr>
          <w:highlight w:val="none"/>
        </w:rPr>
      </w:pPr>
      <w:r>
        <w:rPr>
          <w:rFonts w:hint="eastAsia" w:ascii="楷体_GB2312" w:hAnsi="楷体" w:cs="Times New Roman"/>
          <w:b/>
          <w:spacing w:val="-4"/>
          <w:sz w:val="28"/>
          <w:szCs w:val="32"/>
          <w:highlight w:val="none"/>
        </w:rPr>
        <w:t>（一）财政专项乡村振兴衔接资金下达预算及项目情况</w:t>
      </w:r>
    </w:p>
    <w:p w14:paraId="077DFB9C">
      <w:pPr>
        <w:pStyle w:val="54"/>
        <w:ind w:left="3" w:right="3" w:firstLine="562"/>
        <w:rPr>
          <w:rFonts w:ascii="仿宋_GB2312"/>
          <w:b/>
          <w:color w:val="auto"/>
          <w:szCs w:val="32"/>
          <w:highlight w:val="none"/>
        </w:rPr>
      </w:pPr>
      <w:r>
        <w:rPr>
          <w:rFonts w:hint="eastAsia" w:ascii="仿宋_GB2312"/>
          <w:b/>
          <w:color w:val="auto"/>
          <w:szCs w:val="32"/>
          <w:highlight w:val="none"/>
        </w:rPr>
        <w:t>1.下达预算情况</w:t>
      </w:r>
    </w:p>
    <w:p w14:paraId="452DFE09">
      <w:pPr>
        <w:pStyle w:val="54"/>
        <w:ind w:left="3" w:right="3" w:firstLine="560"/>
        <w:rPr>
          <w:rFonts w:ascii="仿宋_GB2312"/>
          <w:color w:val="auto"/>
          <w:szCs w:val="32"/>
          <w:highlight w:val="none"/>
        </w:rPr>
      </w:pPr>
      <w:r>
        <w:rPr>
          <w:rFonts w:hint="eastAsia" w:ascii="仿宋_GB2312"/>
          <w:color w:val="auto"/>
          <w:szCs w:val="32"/>
          <w:highlight w:val="none"/>
        </w:rPr>
        <w:t>本项目根据</w:t>
      </w:r>
      <w:bookmarkStart w:id="0" w:name="OLE_LINK1"/>
      <w:r>
        <w:rPr>
          <w:rFonts w:hint="eastAsia" w:ascii="仿宋_GB2312"/>
          <w:color w:val="auto"/>
          <w:szCs w:val="32"/>
          <w:highlight w:val="none"/>
          <w:lang w:val="en-US" w:eastAsia="zh-CN"/>
        </w:rPr>
        <w:t>于田</w:t>
      </w:r>
      <w:bookmarkEnd w:id="0"/>
      <w:r>
        <w:rPr>
          <w:rFonts w:hint="eastAsia" w:ascii="仿宋_GB2312"/>
          <w:color w:val="auto"/>
          <w:szCs w:val="32"/>
          <w:highlight w:val="none"/>
          <w:lang w:val="en-US" w:eastAsia="zh-CN"/>
        </w:rPr>
        <w:t>县发展和改革委员会会</w:t>
      </w:r>
      <w:r>
        <w:rPr>
          <w:rFonts w:hint="eastAsia" w:ascii="仿宋_GB2312"/>
          <w:color w:val="auto"/>
          <w:szCs w:val="32"/>
          <w:highlight w:val="none"/>
        </w:rPr>
        <w:t>下发的《关于</w:t>
      </w:r>
      <w:r>
        <w:rPr>
          <w:rFonts w:hint="eastAsia" w:ascii="仿宋_GB2312"/>
          <w:color w:val="auto"/>
          <w:szCs w:val="32"/>
          <w:highlight w:val="none"/>
          <w:lang w:eastAsia="zh-CN"/>
        </w:rPr>
        <w:t>木尕拉镇壮大村集体经济建设项目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发改农经</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32</w:t>
      </w:r>
      <w:r>
        <w:rPr>
          <w:rFonts w:hint="eastAsia" w:ascii="仿宋_GB2312"/>
          <w:color w:val="auto"/>
          <w:szCs w:val="32"/>
          <w:highlight w:val="none"/>
        </w:rPr>
        <w:t>号）文批复立项实施，</w:t>
      </w:r>
      <w:r>
        <w:rPr>
          <w:rFonts w:hint="eastAsia" w:ascii="仿宋" w:hAnsi="仿宋" w:eastAsia="仿宋" w:cs="仿宋"/>
          <w:color w:val="auto"/>
          <w:szCs w:val="32"/>
          <w:highlight w:val="none"/>
          <w:lang w:eastAsia="zh-CN"/>
        </w:rPr>
        <w:t>木尕拉镇壮大村集体经济建设项目</w:t>
      </w:r>
      <w:r>
        <w:rPr>
          <w:rFonts w:hint="eastAsia" w:ascii="仿宋_GB2312"/>
          <w:color w:val="auto"/>
          <w:szCs w:val="32"/>
          <w:highlight w:val="none"/>
        </w:rPr>
        <w:t>预算安排总额为</w:t>
      </w:r>
      <w:r>
        <w:rPr>
          <w:rFonts w:hint="eastAsia" w:ascii="仿宋_GB2312"/>
          <w:color w:val="auto"/>
          <w:szCs w:val="32"/>
          <w:highlight w:val="none"/>
          <w:lang w:val="en-US" w:eastAsia="zh-CN"/>
        </w:rPr>
        <w:t>750</w:t>
      </w:r>
      <w:r>
        <w:rPr>
          <w:rFonts w:hint="eastAsia" w:ascii="仿宋_GB2312"/>
          <w:color w:val="auto"/>
          <w:szCs w:val="32"/>
          <w:highlight w:val="none"/>
        </w:rPr>
        <w:t>万元，其中：以乡村振兴衔接资金</w:t>
      </w:r>
      <w:r>
        <w:rPr>
          <w:rFonts w:hint="eastAsia" w:ascii="仿宋_GB2312" w:eastAsia="楷体_GB2312"/>
          <w:color w:val="auto"/>
          <w:szCs w:val="32"/>
          <w:highlight w:val="none"/>
          <w:lang w:val="en-US" w:eastAsia="zh-CN"/>
        </w:rPr>
        <w:t>750</w:t>
      </w:r>
      <w:r>
        <w:rPr>
          <w:rFonts w:hint="eastAsia" w:ascii="仿宋_GB2312"/>
          <w:color w:val="auto"/>
          <w:szCs w:val="32"/>
          <w:highlight w:val="none"/>
        </w:rPr>
        <w:t>万元。预算资金到位率为100.00%。</w:t>
      </w:r>
    </w:p>
    <w:p w14:paraId="4E04C579">
      <w:pPr>
        <w:pStyle w:val="54"/>
        <w:ind w:left="3" w:right="3" w:firstLine="562"/>
        <w:rPr>
          <w:rFonts w:hint="eastAsia" w:ascii="仿宋_GB2312"/>
          <w:b/>
          <w:color w:val="auto"/>
          <w:szCs w:val="32"/>
          <w:highlight w:val="none"/>
        </w:rPr>
      </w:pPr>
      <w:r>
        <w:rPr>
          <w:rFonts w:hint="eastAsia" w:ascii="仿宋_GB2312"/>
          <w:b/>
          <w:color w:val="auto"/>
          <w:szCs w:val="32"/>
          <w:highlight w:val="none"/>
        </w:rPr>
        <w:t>2.项目实施背景</w:t>
      </w:r>
    </w:p>
    <w:p w14:paraId="2BB3EB86">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深入贯彻习近平 新时代中国特色社会主义思想，深入贯彻党的十九大和十九届二中、三中全会精神， 贯彻落实习近平总书记关于新疆工作的重要讲话和重要指示精神，贯彻落实以习近 平同志为核心的党中央治疆方略，紧紧围绕社会稳定和长治久安总目标，加强党对 “三农”工作的全面领导，坚持稳中求进工作总基调，牢固树立新发展理念，落实 高质量发展要求，统筹推进“五位一体”总体布局和协调推进“四个全面”战略布 局，坚持把解决好“三农”问题作为重中之重，坚持农业农村优先发展，坚持一产 上水平，按照产业兴旺、生态宜居、乡风文明、治理有效、生活富裕的总要求，建立健全城乡融合发展体制机制和政策体系，推动乡村产业振兴、人才振兴、文化振兴、生态振兴、组织振兴，加快推进乡村治理体系和治理能力现代化，加快推进农 业农村现代化，走中国特色社会主义乡村振兴道路，让农业成为有奔头的产业，让农民成为有吸引力的职业，让农村成为安居乐业的美丽家园。随着农村经济的发展，人口向中心乡镇的聚集，于田县原有的商业体系已不符合乡镇发展规划，规模也已经不能适应整个社会发展的需要。市场管理只是停留在坐收管理费、摊位费、工商税收等初级市场管理水平上，无规范的市场，无向业主 和农民提供相关服务的配套设施和理念。本项目建成后，通过商铺的建立、设施的配套、管理水平的提高，将为农民和商户提供农产品供需、价格等方面的信息，保障市场交易的公平和公正</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且提升当地农牧民群众增收就业</w:t>
      </w:r>
      <w:r>
        <w:rPr>
          <w:rFonts w:hint="eastAsia" w:ascii="仿宋_GB2312" w:hAnsi="Times New Roman" w:eastAsia="仿宋_GB2312" w:cs="Times New Roman"/>
          <w:sz w:val="28"/>
          <w:szCs w:val="32"/>
          <w:highlight w:val="none"/>
        </w:rPr>
        <w:t>。</w:t>
      </w:r>
    </w:p>
    <w:p w14:paraId="2BB5F25C">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由于上述原因开展</w:t>
      </w:r>
      <w:r>
        <w:rPr>
          <w:rFonts w:hint="eastAsia" w:ascii="仿宋_GB2312" w:hAnsi="Times New Roman" w:eastAsia="仿宋_GB2312" w:cs="Times New Roman"/>
          <w:sz w:val="28"/>
          <w:szCs w:val="32"/>
          <w:highlight w:val="none"/>
          <w:lang w:eastAsia="zh-CN"/>
        </w:rPr>
        <w:t>木尕拉镇壮大村集体经济建设项目</w:t>
      </w:r>
      <w:r>
        <w:rPr>
          <w:rFonts w:hint="eastAsia" w:ascii="仿宋_GB2312" w:hAnsi="Times New Roman" w:eastAsia="仿宋_GB2312" w:cs="Times New Roman"/>
          <w:sz w:val="28"/>
          <w:szCs w:val="32"/>
          <w:highlight w:val="none"/>
        </w:rPr>
        <w:t>，本项目由于田县</w:t>
      </w:r>
      <w:r>
        <w:rPr>
          <w:rFonts w:hint="eastAsia" w:ascii="仿宋_GB2312" w:hAnsi="Times New Roman" w:eastAsia="仿宋_GB2312" w:cs="Times New Roman"/>
          <w:sz w:val="28"/>
          <w:szCs w:val="32"/>
          <w:highlight w:val="none"/>
          <w:lang w:val="en-US" w:eastAsia="zh-CN"/>
        </w:rPr>
        <w:t>乡村振兴局和于田</w:t>
      </w:r>
      <w:bookmarkStart w:id="5" w:name="_GoBack"/>
      <w:bookmarkEnd w:id="5"/>
      <w:r>
        <w:rPr>
          <w:rFonts w:hint="eastAsia" w:ascii="仿宋_GB2312" w:hAnsi="Times New Roman" w:eastAsia="仿宋_GB2312" w:cs="Times New Roman"/>
          <w:sz w:val="28"/>
          <w:szCs w:val="32"/>
          <w:highlight w:val="none"/>
          <w:lang w:val="en-US" w:eastAsia="zh-CN"/>
        </w:rPr>
        <w:t>县住房城乡建设局</w:t>
      </w:r>
      <w:r>
        <w:rPr>
          <w:rFonts w:hint="eastAsia" w:ascii="仿宋_GB2312" w:hAnsi="Times New Roman" w:eastAsia="仿宋_GB2312" w:cs="Times New Roman"/>
          <w:sz w:val="28"/>
          <w:szCs w:val="32"/>
          <w:highlight w:val="none"/>
        </w:rPr>
        <w:t>监管，于田县木尕拉镇人民政府负责实施，项目</w:t>
      </w:r>
      <w:r>
        <w:rPr>
          <w:rFonts w:hint="eastAsia" w:ascii="仿宋_GB2312" w:hAnsi="Times New Roman" w:eastAsia="仿宋_GB2312" w:cs="Times New Roman"/>
          <w:sz w:val="28"/>
          <w:szCs w:val="32"/>
          <w:highlight w:val="none"/>
          <w:lang w:val="en-US" w:eastAsia="zh-CN"/>
        </w:rPr>
        <w:t>预计划</w:t>
      </w:r>
      <w:r>
        <w:rPr>
          <w:rFonts w:hint="eastAsia" w:ascii="仿宋_GB2312" w:hAnsi="Times New Roman" w:eastAsia="仿宋_GB2312" w:cs="Times New Roman"/>
          <w:sz w:val="28"/>
          <w:szCs w:val="32"/>
          <w:highlight w:val="none"/>
        </w:rPr>
        <w:t>施工期为202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6</w:t>
      </w:r>
      <w:r>
        <w:rPr>
          <w:rFonts w:hint="eastAsia" w:ascii="仿宋_GB2312" w:hAnsi="Times New Roman" w:eastAsia="仿宋_GB2312" w:cs="Times New Roman"/>
          <w:sz w:val="28"/>
          <w:szCs w:val="32"/>
          <w:highlight w:val="none"/>
        </w:rPr>
        <w:t>月-2023年</w:t>
      </w:r>
      <w:r>
        <w:rPr>
          <w:rFonts w:hint="eastAsia" w:ascii="仿宋_GB2312" w:hAnsi="Times New Roman" w:eastAsia="仿宋_GB2312" w:cs="Times New Roman"/>
          <w:sz w:val="28"/>
          <w:szCs w:val="32"/>
          <w:highlight w:val="none"/>
          <w:lang w:val="en-US" w:eastAsia="zh-CN"/>
        </w:rPr>
        <w:t>8</w:t>
      </w:r>
      <w:r>
        <w:rPr>
          <w:rFonts w:hint="eastAsia" w:ascii="仿宋_GB2312" w:hAnsi="Times New Roman" w:eastAsia="仿宋_GB2312" w:cs="Times New Roman"/>
          <w:sz w:val="28"/>
          <w:szCs w:val="32"/>
          <w:highlight w:val="none"/>
        </w:rPr>
        <w:t>月。</w:t>
      </w:r>
    </w:p>
    <w:p w14:paraId="5CB9FB40">
      <w:pPr>
        <w:spacing w:line="560" w:lineRule="exact"/>
        <w:ind w:firstLine="560" w:firstLineChars="200"/>
        <w:rPr>
          <w:rFonts w:hint="default" w:ascii="仿宋_GB2312" w:hAnsi="Times New Roman" w:eastAsia="仿宋_GB2312" w:cs="Times New Roman"/>
          <w:sz w:val="28"/>
          <w:szCs w:val="32"/>
          <w:highlight w:val="none"/>
          <w:lang w:val="en-US" w:eastAsia="zh-CN"/>
        </w:rPr>
      </w:pPr>
      <w:r>
        <w:rPr>
          <w:rFonts w:hint="eastAsia" w:ascii="仿宋_GB2312" w:hAnsi="Times New Roman" w:eastAsia="仿宋_GB2312" w:cs="Times New Roman"/>
          <w:sz w:val="28"/>
          <w:szCs w:val="32"/>
          <w:highlight w:val="none"/>
        </w:rPr>
        <w:t>工程实施后，本项目通过</w:t>
      </w:r>
      <w:r>
        <w:rPr>
          <w:rFonts w:hint="eastAsia" w:ascii="仿宋_GB2312" w:hAnsi="Times New Roman" w:eastAsia="仿宋_GB2312" w:cs="Times New Roman"/>
          <w:sz w:val="28"/>
          <w:szCs w:val="32"/>
          <w:highlight w:val="none"/>
          <w:lang w:val="en-US" w:eastAsia="zh-CN"/>
        </w:rPr>
        <w:t>后期</w:t>
      </w:r>
      <w:r>
        <w:rPr>
          <w:rFonts w:hint="eastAsia" w:ascii="仿宋_GB2312" w:hAnsi="Times New Roman" w:eastAsia="仿宋_GB2312" w:cs="Times New Roman"/>
          <w:sz w:val="28"/>
          <w:szCs w:val="32"/>
          <w:highlight w:val="none"/>
        </w:rPr>
        <w:t>商铺的建立、设施的配套、管理水平的提高，将为</w:t>
      </w:r>
      <w:r>
        <w:rPr>
          <w:rFonts w:hint="eastAsia" w:ascii="仿宋_GB2312" w:hAnsi="Times New Roman" w:eastAsia="仿宋_GB2312" w:cs="Times New Roman"/>
          <w:sz w:val="28"/>
          <w:szCs w:val="32"/>
          <w:highlight w:val="none"/>
          <w:lang w:val="en-US" w:eastAsia="zh-CN"/>
        </w:rPr>
        <w:t>农牧民群众</w:t>
      </w:r>
      <w:r>
        <w:rPr>
          <w:rFonts w:hint="eastAsia" w:ascii="仿宋_GB2312" w:hAnsi="Times New Roman" w:eastAsia="仿宋_GB2312" w:cs="Times New Roman"/>
          <w:sz w:val="28"/>
          <w:szCs w:val="32"/>
          <w:highlight w:val="none"/>
        </w:rPr>
        <w:t>和商户提供</w:t>
      </w:r>
      <w:r>
        <w:rPr>
          <w:rFonts w:hint="eastAsia" w:ascii="仿宋_GB2312" w:hAnsi="Times New Roman" w:eastAsia="仿宋_GB2312" w:cs="Times New Roman"/>
          <w:sz w:val="28"/>
          <w:szCs w:val="32"/>
          <w:highlight w:val="none"/>
          <w:lang w:val="en-US" w:eastAsia="zh-CN"/>
        </w:rPr>
        <w:t>各类产商品的</w:t>
      </w:r>
      <w:r>
        <w:rPr>
          <w:rFonts w:hint="eastAsia" w:ascii="仿宋_GB2312" w:hAnsi="Times New Roman" w:eastAsia="仿宋_GB2312" w:cs="Times New Roman"/>
          <w:sz w:val="28"/>
          <w:szCs w:val="32"/>
          <w:highlight w:val="none"/>
        </w:rPr>
        <w:t>供需</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不仅可以让当地农牧民群众增收就业，还可以带动地方经济的高质量发展。所以建设该项目具有一定的必要性。</w:t>
      </w:r>
    </w:p>
    <w:p w14:paraId="77F15B27">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3</w:t>
      </w:r>
      <w:r>
        <w:rPr>
          <w:rFonts w:hint="eastAsia" w:ascii="仿宋_GB2312" w:hAnsi="Times New Roman" w:eastAsia="仿宋_GB2312" w:cs="Times New Roman"/>
          <w:b/>
          <w:bCs/>
          <w:sz w:val="28"/>
          <w:szCs w:val="32"/>
          <w:highlight w:val="none"/>
        </w:rPr>
        <w:t>、项目实施依据及范围</w:t>
      </w:r>
    </w:p>
    <w:p w14:paraId="0872F2F3">
      <w:pPr>
        <w:spacing w:line="560" w:lineRule="exact"/>
        <w:ind w:firstLine="560" w:firstLineChars="200"/>
        <w:rPr>
          <w:rFonts w:hint="default" w:ascii="仿宋_GB2312" w:hAnsi="Times New Roman" w:eastAsia="仿宋_GB2312" w:cs="Times New Roman"/>
          <w:sz w:val="28"/>
          <w:szCs w:val="32"/>
          <w:highlight w:val="none"/>
          <w:lang w:val="en-US"/>
        </w:rPr>
      </w:pPr>
      <w:r>
        <w:rPr>
          <w:rFonts w:hint="eastAsia" w:ascii="仿宋_GB2312" w:hAnsi="Times New Roman" w:eastAsia="仿宋_GB2312" w:cs="Times New Roman"/>
          <w:sz w:val="28"/>
          <w:szCs w:val="32"/>
          <w:highlight w:val="none"/>
          <w:lang w:eastAsia="zh-CN"/>
        </w:rPr>
        <w:t>木尕拉镇壮大村集体经济建设项目</w:t>
      </w:r>
      <w:r>
        <w:rPr>
          <w:rFonts w:hint="eastAsia" w:ascii="仿宋_GB2312" w:hAnsi="Times New Roman" w:eastAsia="仿宋_GB2312" w:cs="Times New Roman"/>
          <w:sz w:val="28"/>
          <w:szCs w:val="32"/>
          <w:highlight w:val="none"/>
        </w:rPr>
        <w:t>，根据</w:t>
      </w:r>
      <w:r>
        <w:rPr>
          <w:rFonts w:hint="eastAsia" w:ascii="仿宋_GB2312" w:hAnsi="Times New Roman" w:eastAsia="仿宋_GB2312" w:cs="Times New Roman"/>
          <w:sz w:val="28"/>
          <w:szCs w:val="32"/>
          <w:highlight w:val="none"/>
          <w:lang w:val="en-US" w:eastAsia="zh-CN"/>
        </w:rPr>
        <w:t>于田县发展和改革委员会会</w:t>
      </w:r>
      <w:r>
        <w:rPr>
          <w:rFonts w:hint="eastAsia" w:ascii="仿宋_GB2312" w:hAnsi="Times New Roman" w:eastAsia="仿宋_GB2312" w:cs="Times New Roman"/>
          <w:sz w:val="28"/>
          <w:szCs w:val="32"/>
          <w:highlight w:val="none"/>
        </w:rPr>
        <w:t>下发的《关于</w:t>
      </w:r>
      <w:r>
        <w:rPr>
          <w:rFonts w:hint="eastAsia" w:ascii="仿宋_GB2312" w:hAnsi="Times New Roman" w:eastAsia="仿宋_GB2312" w:cs="Times New Roman"/>
          <w:sz w:val="28"/>
          <w:szCs w:val="32"/>
          <w:highlight w:val="none"/>
          <w:lang w:eastAsia="zh-CN"/>
        </w:rPr>
        <w:t>木尕拉镇壮大村集体经济建设项目</w:t>
      </w:r>
      <w:r>
        <w:rPr>
          <w:rFonts w:hint="eastAsia" w:ascii="仿宋_GB2312" w:hAnsi="Times New Roman" w:eastAsia="仿宋_GB2312" w:cs="Times New Roman"/>
          <w:sz w:val="28"/>
          <w:szCs w:val="32"/>
          <w:highlight w:val="none"/>
        </w:rPr>
        <w:t>实施方案的批复》（于</w:t>
      </w:r>
      <w:r>
        <w:rPr>
          <w:rFonts w:hint="eastAsia" w:ascii="仿宋_GB2312" w:hAnsi="Times New Roman" w:eastAsia="仿宋_GB2312" w:cs="Times New Roman"/>
          <w:sz w:val="28"/>
          <w:szCs w:val="32"/>
          <w:highlight w:val="none"/>
          <w:lang w:val="en-US" w:eastAsia="zh-CN"/>
        </w:rPr>
        <w:t>发改农经</w:t>
      </w:r>
      <w:r>
        <w:rPr>
          <w:rFonts w:hint="eastAsia" w:ascii="仿宋_GB2312" w:hAnsi="Times New Roman" w:eastAsia="仿宋_GB2312" w:cs="Times New Roman"/>
          <w:sz w:val="28"/>
          <w:szCs w:val="32"/>
          <w:highlight w:val="none"/>
        </w:rPr>
        <w:t>[202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w:t>
      </w:r>
      <w:r>
        <w:rPr>
          <w:rFonts w:hint="eastAsia" w:ascii="仿宋_GB2312" w:hAnsi="Times New Roman" w:eastAsia="仿宋_GB2312" w:cs="Times New Roman"/>
          <w:sz w:val="28"/>
          <w:szCs w:val="32"/>
          <w:highlight w:val="none"/>
          <w:lang w:val="en-US" w:eastAsia="zh-CN"/>
        </w:rPr>
        <w:t>32</w:t>
      </w:r>
      <w:r>
        <w:rPr>
          <w:rFonts w:hint="eastAsia" w:ascii="仿宋_GB2312" w:hAnsi="Times New Roman" w:eastAsia="仿宋_GB2312" w:cs="Times New Roman"/>
          <w:sz w:val="28"/>
          <w:szCs w:val="32"/>
          <w:highlight w:val="none"/>
        </w:rPr>
        <w:t>号）</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项目</w:t>
      </w:r>
      <w:r>
        <w:rPr>
          <w:rFonts w:hint="eastAsia" w:ascii="仿宋_GB2312" w:hAnsi="Times New Roman" w:eastAsia="仿宋_GB2312" w:cs="Times New Roman"/>
          <w:sz w:val="28"/>
          <w:szCs w:val="32"/>
          <w:highlight w:val="none"/>
        </w:rPr>
        <w:t>建设内容：</w:t>
      </w:r>
      <w:r>
        <w:rPr>
          <w:rFonts w:hint="eastAsia" w:ascii="仿宋_GB2312" w:hAnsi="Times New Roman" w:eastAsia="仿宋_GB2312" w:cs="Times New Roman"/>
          <w:sz w:val="28"/>
          <w:szCs w:val="32"/>
          <w:highlight w:val="none"/>
          <w:lang w:val="en-US" w:eastAsia="zh-CN"/>
        </w:rPr>
        <w:t>新建1栋楼总建筑面积3554.11平方米，框架结构，地上五层，地下一层，首层层高4.5米，2-5层层高3.9米，室外高差0.15米，建筑高度24.75米，柱下独立基础。新建钢筋混凝土消防水池一座，有效容积300立方米，地下一层。</w:t>
      </w:r>
    </w:p>
    <w:p w14:paraId="30E83553">
      <w:pPr>
        <w:spacing w:line="560" w:lineRule="exact"/>
        <w:ind w:firstLine="562" w:firstLineChars="200"/>
        <w:rPr>
          <w:rFonts w:ascii="仿宋_GB2312" w:hAnsi="Times New Roman" w:eastAsia="仿宋_GB2312" w:cs="Times New Roman"/>
          <w:b/>
          <w:bCs/>
          <w:sz w:val="28"/>
          <w:szCs w:val="32"/>
          <w:highlight w:val="none"/>
        </w:rPr>
      </w:pPr>
      <w:r>
        <w:rPr>
          <w:rFonts w:ascii="仿宋_GB2312" w:hAnsi="Times New Roman" w:eastAsia="仿宋_GB2312" w:cs="Times New Roman"/>
          <w:b/>
          <w:bCs/>
          <w:sz w:val="28"/>
          <w:szCs w:val="32"/>
          <w:highlight w:val="none"/>
        </w:rPr>
        <w:t>4</w:t>
      </w:r>
      <w:r>
        <w:rPr>
          <w:rFonts w:hint="eastAsia" w:ascii="仿宋_GB2312" w:hAnsi="Times New Roman" w:eastAsia="仿宋_GB2312" w:cs="Times New Roman"/>
          <w:b/>
          <w:bCs/>
          <w:sz w:val="28"/>
          <w:szCs w:val="32"/>
          <w:highlight w:val="none"/>
        </w:rPr>
        <w:t>、项目基本性质及类别</w:t>
      </w:r>
    </w:p>
    <w:p w14:paraId="2F527FB9">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lang w:eastAsia="zh-CN"/>
        </w:rPr>
        <w:t>木尕拉镇壮大村集体经济建设项目</w:t>
      </w:r>
      <w:r>
        <w:rPr>
          <w:rFonts w:hint="eastAsia" w:ascii="仿宋_GB2312" w:hAnsi="Times New Roman" w:eastAsia="仿宋_GB2312" w:cs="Times New Roman"/>
          <w:sz w:val="28"/>
          <w:szCs w:val="32"/>
          <w:highlight w:val="none"/>
        </w:rPr>
        <w:t>性质为</w:t>
      </w:r>
      <w:r>
        <w:rPr>
          <w:rFonts w:hint="eastAsia" w:ascii="仿宋_GB2312" w:hAnsi="Times New Roman" w:eastAsia="仿宋_GB2312" w:cs="Times New Roman"/>
          <w:sz w:val="28"/>
          <w:szCs w:val="32"/>
          <w:highlight w:val="none"/>
          <w:lang w:val="en-US" w:eastAsia="zh-CN"/>
        </w:rPr>
        <w:t>房建基础设施</w:t>
      </w:r>
      <w:r>
        <w:rPr>
          <w:rFonts w:hint="eastAsia" w:ascii="仿宋_GB2312" w:hAnsi="Times New Roman" w:eastAsia="仿宋_GB2312" w:cs="Times New Roman"/>
          <w:sz w:val="28"/>
          <w:szCs w:val="32"/>
          <w:highlight w:val="none"/>
        </w:rPr>
        <w:t>建设项目，属于乡村振兴衔接资金项目。</w:t>
      </w:r>
    </w:p>
    <w:p w14:paraId="7A5F8018">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（二）财政专项乡村振兴衔接资金项目绩效目标设定情况</w:t>
      </w:r>
    </w:p>
    <w:p w14:paraId="27488233">
      <w:pPr>
        <w:spacing w:line="560" w:lineRule="exact"/>
        <w:ind w:firstLine="562" w:firstLineChars="200"/>
        <w:rPr>
          <w:rFonts w:ascii="仿宋_GB2312" w:hAnsi="Times New Roman" w:eastAsia="仿宋_GB2312" w:cs="Times New Roman"/>
          <w:b/>
          <w:bCs/>
          <w:sz w:val="28"/>
          <w:szCs w:val="32"/>
          <w:highlight w:val="none"/>
        </w:rPr>
      </w:pPr>
      <w:r>
        <w:rPr>
          <w:rFonts w:hint="eastAsia" w:ascii="仿宋_GB2312" w:hAnsi="Times New Roman" w:eastAsia="仿宋_GB2312" w:cs="Times New Roman"/>
          <w:b/>
          <w:bCs/>
          <w:sz w:val="28"/>
          <w:szCs w:val="32"/>
          <w:highlight w:val="none"/>
        </w:rPr>
        <w:t>1.项目绩效总体目标</w:t>
      </w:r>
    </w:p>
    <w:p w14:paraId="46F8B687">
      <w:pPr>
        <w:pStyle w:val="54"/>
        <w:spacing w:line="560" w:lineRule="exact"/>
        <w:ind w:left="3" w:right="3" w:firstLine="560"/>
        <w:rPr>
          <w:rFonts w:hint="default" w:ascii="仿宋_GB2312" w:eastAsia="仿宋_GB2312"/>
          <w:color w:val="auto"/>
          <w:szCs w:val="32"/>
          <w:highlight w:val="yellow"/>
          <w:lang w:val="en-US" w:eastAsia="zh-CN"/>
        </w:rPr>
      </w:pPr>
      <w:r>
        <w:rPr>
          <w:rFonts w:hint="eastAsia" w:ascii="仿宋_GB2312"/>
          <w:color w:val="auto"/>
          <w:szCs w:val="32"/>
          <w:highlight w:val="none"/>
          <w:lang w:eastAsia="zh-CN"/>
        </w:rPr>
        <w:t>木尕拉镇壮大村集体经济建设项目</w:t>
      </w:r>
      <w:r>
        <w:rPr>
          <w:rFonts w:hint="eastAsia" w:ascii="仿宋_GB2312"/>
          <w:color w:val="auto"/>
          <w:szCs w:val="32"/>
          <w:highlight w:val="none"/>
        </w:rPr>
        <w:t>总投资</w:t>
      </w:r>
      <w:r>
        <w:rPr>
          <w:rFonts w:hint="eastAsia" w:ascii="仿宋_GB2312"/>
          <w:color w:val="auto"/>
          <w:szCs w:val="32"/>
          <w:highlight w:val="none"/>
          <w:lang w:val="en-US" w:eastAsia="zh-CN"/>
        </w:rPr>
        <w:t>750</w:t>
      </w:r>
      <w:r>
        <w:rPr>
          <w:rFonts w:hint="eastAsia" w:ascii="仿宋_GB2312"/>
          <w:color w:val="auto"/>
          <w:szCs w:val="32"/>
          <w:highlight w:val="none"/>
        </w:rPr>
        <w:t>万元，全部申请以乡村振兴衔接资金。主要内容为：</w:t>
      </w:r>
      <w:r>
        <w:rPr>
          <w:rFonts w:hint="eastAsia" w:ascii="仿宋_GB2312" w:hAnsi="Times New Roman" w:eastAsia="仿宋_GB2312" w:cs="Times New Roman"/>
          <w:sz w:val="28"/>
          <w:szCs w:val="32"/>
          <w:highlight w:val="none"/>
          <w:lang w:val="en-US" w:eastAsia="zh-CN"/>
        </w:rPr>
        <w:t>新建1栋楼总建筑面积3554.11平方米，框架结构，地上五层，地下一层，首层层高4.5米，2-5层层高3.9米，室外高差0.15米，建筑高度24.75米，柱下独立基础。新建钢筋混凝土消防水池一座，有效容积300立方米，地下一层。</w:t>
      </w:r>
    </w:p>
    <w:p w14:paraId="2F932A11">
      <w:pPr>
        <w:pStyle w:val="54"/>
        <w:spacing w:line="560" w:lineRule="exact"/>
        <w:ind w:left="3" w:right="3" w:firstLine="560"/>
        <w:rPr>
          <w:rFonts w:ascii="仿宋_GB2312"/>
          <w:color w:val="auto"/>
          <w:szCs w:val="32"/>
          <w:highlight w:val="yellow"/>
        </w:rPr>
      </w:pPr>
      <w:r>
        <w:rPr>
          <w:rFonts w:hint="eastAsia" w:ascii="仿宋_GB2312"/>
          <w:color w:val="auto"/>
          <w:szCs w:val="32"/>
          <w:highlight w:val="none"/>
        </w:rPr>
        <w:t>通过</w:t>
      </w:r>
      <w:r>
        <w:rPr>
          <w:rFonts w:hint="eastAsia" w:ascii="仿宋_GB2312"/>
          <w:color w:val="auto"/>
          <w:szCs w:val="32"/>
          <w:highlight w:val="none"/>
          <w:lang w:eastAsia="zh-CN"/>
        </w:rPr>
        <w:t>木尕拉镇壮大村集体经济建设项目</w:t>
      </w:r>
      <w:r>
        <w:rPr>
          <w:rFonts w:hint="eastAsia" w:ascii="仿宋_GB2312"/>
          <w:color w:val="auto"/>
          <w:szCs w:val="32"/>
          <w:highlight w:val="none"/>
          <w:lang w:val="en-US" w:eastAsia="zh-CN"/>
        </w:rPr>
        <w:t>的</w:t>
      </w:r>
      <w:r>
        <w:rPr>
          <w:rFonts w:hint="eastAsia" w:ascii="仿宋_GB2312"/>
          <w:color w:val="auto"/>
          <w:szCs w:val="32"/>
          <w:highlight w:val="none"/>
        </w:rPr>
        <w:t>实施，完善于田县木尕拉镇创业就业园基础设施，解决木尕拉镇居民创业培训以及就业问题，增强群众幸福感。</w:t>
      </w:r>
      <w:r>
        <w:rPr>
          <w:rFonts w:hint="eastAsia" w:ascii="仿宋_GB2312" w:cs="Times New Roman"/>
          <w:sz w:val="28"/>
          <w:szCs w:val="32"/>
          <w:highlight w:val="none"/>
          <w:lang w:val="en-US" w:eastAsia="zh-CN"/>
        </w:rPr>
        <w:t>不仅涵盖</w:t>
      </w:r>
      <w:r>
        <w:rPr>
          <w:rFonts w:hint="eastAsia" w:ascii="仿宋_GB2312" w:hAnsi="Times New Roman" w:eastAsia="仿宋_GB2312" w:cs="Times New Roman"/>
          <w:sz w:val="28"/>
          <w:szCs w:val="32"/>
          <w:highlight w:val="none"/>
        </w:rPr>
        <w:t>商铺的建立、设施的配套、</w:t>
      </w:r>
      <w:r>
        <w:rPr>
          <w:rFonts w:hint="eastAsia" w:ascii="仿宋_GB2312" w:cs="Times New Roman"/>
          <w:sz w:val="28"/>
          <w:szCs w:val="32"/>
          <w:highlight w:val="none"/>
          <w:lang w:val="en-US" w:eastAsia="zh-CN"/>
        </w:rPr>
        <w:t>商业化</w:t>
      </w:r>
      <w:r>
        <w:rPr>
          <w:rFonts w:hint="eastAsia" w:ascii="仿宋_GB2312" w:hAnsi="Times New Roman" w:eastAsia="仿宋_GB2312" w:cs="Times New Roman"/>
          <w:sz w:val="28"/>
          <w:szCs w:val="32"/>
          <w:highlight w:val="none"/>
        </w:rPr>
        <w:t>管理水平的提高，</w:t>
      </w:r>
      <w:r>
        <w:rPr>
          <w:rFonts w:hint="eastAsia" w:ascii="仿宋_GB2312" w:cs="Times New Roman"/>
          <w:sz w:val="28"/>
          <w:szCs w:val="32"/>
          <w:highlight w:val="none"/>
          <w:lang w:val="en-US" w:eastAsia="zh-CN"/>
        </w:rPr>
        <w:t>同时可</w:t>
      </w:r>
      <w:r>
        <w:rPr>
          <w:rFonts w:hint="eastAsia" w:ascii="仿宋_GB2312" w:hAnsi="Times New Roman" w:eastAsia="仿宋_GB2312" w:cs="Times New Roman"/>
          <w:sz w:val="28"/>
          <w:szCs w:val="32"/>
          <w:highlight w:val="none"/>
        </w:rPr>
        <w:t>为农民和商户提供农产品供需、价格等方面的信息，保障市场交易的公平和公正</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且提升当地农牧民群众增收就业</w:t>
      </w:r>
      <w:r>
        <w:rPr>
          <w:rFonts w:hint="eastAsia" w:ascii="仿宋_GB2312" w:cs="Times New Roman"/>
          <w:sz w:val="28"/>
          <w:szCs w:val="32"/>
          <w:highlight w:val="none"/>
          <w:lang w:val="en-US" w:eastAsia="zh-CN"/>
        </w:rPr>
        <w:t>条件，创造商业经济体连带效益，扩大地域经济发展，增加收入来源等</w:t>
      </w:r>
      <w:r>
        <w:rPr>
          <w:rFonts w:hint="eastAsia" w:ascii="仿宋_GB2312"/>
          <w:color w:val="auto"/>
          <w:szCs w:val="32"/>
          <w:highlight w:val="none"/>
        </w:rPr>
        <w:t>。</w:t>
      </w:r>
    </w:p>
    <w:p w14:paraId="153FE8B5">
      <w:pPr>
        <w:pStyle w:val="54"/>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6D106378">
      <w:pPr>
        <w:pStyle w:val="54"/>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个，三级指标1</w:t>
      </w:r>
      <w:r>
        <w:rPr>
          <w:rFonts w:hint="eastAsia" w:ascii="仿宋_GB2312"/>
          <w:color w:val="auto"/>
          <w:szCs w:val="32"/>
          <w:highlight w:val="none"/>
          <w:lang w:val="en-US" w:eastAsia="zh-CN"/>
        </w:rPr>
        <w:t>4</w:t>
      </w:r>
      <w:r>
        <w:rPr>
          <w:rFonts w:hint="eastAsia" w:ascii="仿宋_GB2312"/>
          <w:color w:val="auto"/>
          <w:szCs w:val="32"/>
          <w:highlight w:val="none"/>
        </w:rPr>
        <w:t>个。</w:t>
      </w:r>
    </w:p>
    <w:p w14:paraId="23CF10DB">
      <w:pPr>
        <w:pStyle w:val="31"/>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206C62D1">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（一）绩效自评工作开展范围</w:t>
      </w:r>
    </w:p>
    <w:p w14:paraId="6B6E9326">
      <w:pPr>
        <w:pStyle w:val="54"/>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50153CCC">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（二）绩效自评工作对象</w:t>
      </w:r>
    </w:p>
    <w:p w14:paraId="710B30CD">
      <w:pPr>
        <w:pStyle w:val="54"/>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木尕拉镇壮大村集体经济建设项目</w:t>
      </w:r>
      <w:r>
        <w:rPr>
          <w:color w:val="auto"/>
          <w:highlight w:val="none"/>
        </w:rPr>
        <w:t>资金的使用管理、项目产出、综合效益等进行评价。</w:t>
      </w:r>
    </w:p>
    <w:p w14:paraId="25B8472D">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（三）绩效自评工作方式</w:t>
      </w:r>
    </w:p>
    <w:p w14:paraId="1850C872">
      <w:pPr>
        <w:pStyle w:val="35"/>
        <w:rPr>
          <w:color w:val="auto"/>
          <w:highlight w:val="none"/>
        </w:rPr>
      </w:pPr>
      <w:r>
        <w:rPr>
          <w:rFonts w:hint="eastAsia"/>
          <w:color w:val="auto"/>
          <w:highlight w:val="none"/>
        </w:rPr>
        <w:t>1.前期准备</w:t>
      </w:r>
    </w:p>
    <w:p w14:paraId="1AD06385">
      <w:pPr>
        <w:pStyle w:val="54"/>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2E9F1D9D">
      <w:pPr>
        <w:pStyle w:val="54"/>
        <w:spacing w:line="540" w:lineRule="exact"/>
        <w:ind w:left="3" w:right="3" w:firstLine="560"/>
        <w:rPr>
          <w:color w:val="auto"/>
          <w:highlight w:val="none"/>
        </w:rPr>
      </w:pPr>
      <w:r>
        <w:rPr>
          <w:rFonts w:hint="eastAsia"/>
          <w:color w:val="auto"/>
          <w:highlight w:val="none"/>
        </w:rPr>
        <w:t>组     长：</w:t>
      </w:r>
      <w:r>
        <w:rPr>
          <w:rFonts w:hint="eastAsia"/>
          <w:color w:val="auto"/>
          <w:highlight w:val="none"/>
          <w:lang w:val="en-US" w:eastAsia="zh-CN"/>
        </w:rPr>
        <w:t>张    磊</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木尕拉镇党委书记</w:t>
      </w:r>
    </w:p>
    <w:p w14:paraId="60760225">
      <w:pPr>
        <w:pStyle w:val="54"/>
        <w:spacing w:line="540" w:lineRule="exact"/>
        <w:ind w:left="3" w:right="3" w:firstLine="560"/>
        <w:rPr>
          <w:color w:val="auto"/>
          <w:highlight w:val="none"/>
        </w:rPr>
      </w:pPr>
      <w:r>
        <w:rPr>
          <w:rFonts w:hint="eastAsia"/>
          <w:color w:val="auto"/>
          <w:highlight w:val="none"/>
        </w:rPr>
        <w:t>副组长：麦托合提·麦麦提敏                    木尕拉镇政府镇长</w:t>
      </w:r>
    </w:p>
    <w:p w14:paraId="36CA9C35">
      <w:pPr>
        <w:pStyle w:val="54"/>
        <w:spacing w:line="540" w:lineRule="exact"/>
        <w:ind w:left="3080" w:leftChars="175" w:right="3" w:hanging="2520" w:hangingChars="900"/>
        <w:rPr>
          <w:rFonts w:hint="default" w:eastAsia="仿宋_GB2312"/>
          <w:color w:val="auto"/>
          <w:highlight w:val="none"/>
          <w:lang w:val="en-US" w:eastAsia="zh-CN"/>
        </w:rPr>
      </w:pPr>
      <w:r>
        <w:rPr>
          <w:rFonts w:hint="eastAsia"/>
          <w:color w:val="auto"/>
          <w:highlight w:val="none"/>
        </w:rPr>
        <w:t>成    员：</w:t>
      </w:r>
      <w:r>
        <w:rPr>
          <w:rFonts w:hint="eastAsia"/>
          <w:color w:val="auto"/>
          <w:highlight w:val="none"/>
          <w:lang w:val="en-US" w:eastAsia="zh-CN"/>
        </w:rPr>
        <w:t>买买提艾莎·如孜</w:t>
      </w:r>
      <w:r>
        <w:rPr>
          <w:rFonts w:hint="eastAsia"/>
          <w:color w:val="auto"/>
          <w:highlight w:val="none"/>
        </w:rPr>
        <w:t xml:space="preserve">          </w:t>
      </w:r>
      <w:r>
        <w:rPr>
          <w:rFonts w:hint="eastAsia"/>
          <w:color w:val="auto"/>
          <w:highlight w:val="none"/>
          <w:lang w:val="en-US" w:eastAsia="zh-CN"/>
        </w:rPr>
        <w:t xml:space="preserve">              木尕拉镇人大主席</w:t>
      </w:r>
    </w:p>
    <w:p w14:paraId="235891EE">
      <w:pPr>
        <w:pStyle w:val="54"/>
        <w:spacing w:line="540" w:lineRule="exact"/>
        <w:ind w:right="3" w:firstLine="1680" w:firstLineChars="600"/>
        <w:rPr>
          <w:rFonts w:hint="eastAsia" w:eastAsia="仿宋_GB2312"/>
          <w:color w:val="auto"/>
          <w:highlight w:val="none"/>
          <w:lang w:val="en-US" w:eastAsia="zh-CN"/>
        </w:rPr>
      </w:pPr>
      <w:r>
        <w:rPr>
          <w:rFonts w:hint="eastAsia"/>
          <w:color w:val="auto"/>
          <w:highlight w:val="none"/>
        </w:rPr>
        <w:t xml:space="preserve">左 鹏                                   </w:t>
      </w:r>
      <w:r>
        <w:rPr>
          <w:rFonts w:hint="eastAsia"/>
          <w:color w:val="auto"/>
          <w:highlight w:val="none"/>
          <w:lang w:val="en-US" w:eastAsia="zh-CN"/>
        </w:rPr>
        <w:t xml:space="preserve">            木尕拉镇党委</w:t>
      </w:r>
      <w:r>
        <w:rPr>
          <w:rFonts w:hint="eastAsia"/>
          <w:color w:val="auto"/>
          <w:highlight w:val="none"/>
        </w:rPr>
        <w:t>副书记</w:t>
      </w:r>
      <w:r>
        <w:rPr>
          <w:rFonts w:hint="eastAsia"/>
          <w:color w:val="auto"/>
          <w:highlight w:val="none"/>
          <w:lang w:val="en-US" w:eastAsia="zh-CN"/>
        </w:rPr>
        <w:t xml:space="preserve"> </w:t>
      </w:r>
    </w:p>
    <w:p w14:paraId="0AC75387">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郑昕元</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纪检书记</w:t>
      </w:r>
    </w:p>
    <w:p w14:paraId="3B911DE2">
      <w:pPr>
        <w:pStyle w:val="54"/>
        <w:spacing w:line="540" w:lineRule="exact"/>
        <w:ind w:left="0" w:leftChars="0" w:right="3" w:firstLine="1680" w:firstLineChars="600"/>
        <w:rPr>
          <w:rFonts w:hint="default" w:eastAsia="仿宋_GB2312"/>
          <w:color w:val="auto"/>
          <w:highlight w:val="none"/>
          <w:lang w:val="en-US" w:eastAsia="zh-CN"/>
        </w:rPr>
      </w:pPr>
      <w:r>
        <w:rPr>
          <w:rFonts w:hint="eastAsia"/>
          <w:color w:val="auto"/>
          <w:highlight w:val="none"/>
          <w:lang w:val="en-US" w:eastAsia="zh-CN"/>
        </w:rPr>
        <w:t xml:space="preserve">阿力木江·买吐送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14:paraId="336289F3">
      <w:pPr>
        <w:pStyle w:val="54"/>
        <w:spacing w:line="540" w:lineRule="exact"/>
        <w:ind w:left="0" w:leftChars="0" w:right="3" w:firstLine="1680" w:firstLineChars="600"/>
        <w:rPr>
          <w:rFonts w:hint="eastAsia"/>
          <w:color w:val="auto"/>
          <w:highlight w:val="none"/>
        </w:rPr>
      </w:pPr>
      <w:r>
        <w:rPr>
          <w:rFonts w:hint="eastAsia"/>
          <w:color w:val="auto"/>
          <w:highlight w:val="none"/>
        </w:rPr>
        <w:t xml:space="preserve">高 云                                            </w:t>
      </w:r>
      <w:r>
        <w:rPr>
          <w:rFonts w:hint="eastAsia"/>
          <w:color w:val="auto"/>
          <w:highlight w:val="none"/>
          <w:lang w:val="en-US" w:eastAsia="zh-CN"/>
        </w:rPr>
        <w:t xml:space="preserve">   </w:t>
      </w:r>
      <w:r>
        <w:rPr>
          <w:rFonts w:hint="eastAsia"/>
          <w:color w:val="auto"/>
          <w:highlight w:val="none"/>
        </w:rPr>
        <w:t>木尕拉镇</w:t>
      </w:r>
      <w:r>
        <w:rPr>
          <w:rFonts w:hint="eastAsia"/>
          <w:color w:val="auto"/>
          <w:highlight w:val="none"/>
          <w:lang w:val="en-US" w:eastAsia="zh-CN"/>
        </w:rPr>
        <w:t>政府</w:t>
      </w:r>
      <w:r>
        <w:rPr>
          <w:rFonts w:hint="eastAsia"/>
          <w:color w:val="auto"/>
          <w:highlight w:val="none"/>
        </w:rPr>
        <w:t>副镇长</w:t>
      </w:r>
    </w:p>
    <w:p w14:paraId="729D4F9B">
      <w:pPr>
        <w:pStyle w:val="54"/>
        <w:spacing w:line="540" w:lineRule="exact"/>
        <w:ind w:left="0" w:leftChars="0" w:right="3" w:firstLine="1680" w:firstLineChars="600"/>
        <w:rPr>
          <w:color w:val="auto"/>
          <w:highlight w:val="none"/>
        </w:rPr>
      </w:pPr>
      <w:r>
        <w:rPr>
          <w:rFonts w:hint="eastAsia"/>
          <w:color w:val="auto"/>
          <w:highlight w:val="none"/>
          <w:lang w:val="en-US" w:eastAsia="zh-CN"/>
        </w:rPr>
        <w:t xml:space="preserve">帕提古丽·伊敏                            </w:t>
      </w:r>
      <w:r>
        <w:rPr>
          <w:rFonts w:hint="eastAsia"/>
          <w:color w:val="auto"/>
          <w:highlight w:val="none"/>
        </w:rPr>
        <w:t>木尕拉镇</w:t>
      </w:r>
      <w:r>
        <w:rPr>
          <w:rFonts w:hint="eastAsia"/>
          <w:color w:val="auto"/>
          <w:highlight w:val="none"/>
          <w:lang w:val="en-US" w:eastAsia="zh-CN"/>
        </w:rPr>
        <w:t>财政所所长</w:t>
      </w:r>
    </w:p>
    <w:p w14:paraId="5B6DCD8E">
      <w:pPr>
        <w:pStyle w:val="54"/>
        <w:spacing w:line="560" w:lineRule="exact"/>
        <w:ind w:left="3" w:right="3" w:firstLine="560"/>
        <w:rPr>
          <w:color w:val="auto"/>
          <w:highlight w:val="none"/>
        </w:rPr>
      </w:pPr>
      <w:r>
        <w:rPr>
          <w:rFonts w:hint="eastAsia"/>
          <w:color w:val="auto"/>
          <w:highlight w:val="none"/>
          <w:lang w:val="en-US" w:eastAsia="zh-CN"/>
        </w:rPr>
        <w:t>项目</w:t>
      </w:r>
      <w:r>
        <w:rPr>
          <w:rFonts w:hint="eastAsia"/>
          <w:color w:val="auto"/>
          <w:highlight w:val="none"/>
        </w:rPr>
        <w:t>办负责项目的计划制定、实施，督查、指导相关单位共同做好项目管理工作。切实把该项目作为基础设施建设的重要举措来抓，加强领导，明确分工，落实责任，密切配合，形成合力，推动该项目顺利实施。由木尕拉镇人民政府牵头，负责整个项目的统筹安排和经费使用管理工作，实现分级管理制度。</w:t>
      </w:r>
    </w:p>
    <w:p w14:paraId="62BF99D6">
      <w:pPr>
        <w:pStyle w:val="35"/>
        <w:rPr>
          <w:color w:val="auto"/>
          <w:highlight w:val="none"/>
        </w:rPr>
      </w:pPr>
      <w:r>
        <w:rPr>
          <w:rFonts w:hint="eastAsia"/>
          <w:color w:val="auto"/>
          <w:highlight w:val="none"/>
        </w:rPr>
        <w:t>2.组织实施</w:t>
      </w:r>
    </w:p>
    <w:p w14:paraId="0E5C801F">
      <w:pPr>
        <w:pStyle w:val="54"/>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4E47871A">
      <w:pPr>
        <w:pStyle w:val="35"/>
        <w:rPr>
          <w:color w:val="auto"/>
          <w:highlight w:val="none"/>
        </w:rPr>
      </w:pPr>
      <w:r>
        <w:rPr>
          <w:rFonts w:hint="eastAsia"/>
          <w:color w:val="auto"/>
          <w:highlight w:val="none"/>
        </w:rPr>
        <w:t>3.分析评价。</w:t>
      </w:r>
    </w:p>
    <w:p w14:paraId="1EA780FE">
      <w:pPr>
        <w:pStyle w:val="54"/>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1568B814">
      <w:pPr>
        <w:pStyle w:val="54"/>
        <w:spacing w:line="560" w:lineRule="exact"/>
        <w:ind w:left="3" w:right="3" w:firstLine="560"/>
        <w:rPr>
          <w:color w:val="auto"/>
          <w:highlight w:val="none"/>
        </w:rPr>
      </w:pPr>
      <w:r>
        <w:rPr>
          <w:color w:val="auto"/>
          <w:highlight w:val="none"/>
        </w:rPr>
        <w:t>（1）绩效自评指标体系</w:t>
      </w:r>
    </w:p>
    <w:p w14:paraId="6C2F416F">
      <w:pPr>
        <w:pStyle w:val="54"/>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25</w:t>
      </w:r>
      <w:r>
        <w:rPr>
          <w:color w:val="auto"/>
          <w:highlight w:val="none"/>
        </w:rPr>
        <w:t>分、质量指标</w:t>
      </w:r>
      <w:r>
        <w:rPr>
          <w:rFonts w:hint="eastAsia"/>
          <w:color w:val="auto"/>
          <w:highlight w:val="none"/>
          <w:lang w:val="en-US" w:eastAsia="zh-CN"/>
        </w:rPr>
        <w:t>8</w:t>
      </w:r>
      <w:r>
        <w:rPr>
          <w:color w:val="auto"/>
          <w:highlight w:val="none"/>
        </w:rPr>
        <w:t>分，时效指标</w:t>
      </w:r>
      <w:r>
        <w:rPr>
          <w:rFonts w:hint="eastAsia"/>
          <w:color w:val="auto"/>
          <w:highlight w:val="none"/>
          <w:lang w:val="en-US" w:eastAsia="zh-CN"/>
        </w:rPr>
        <w:t>8</w:t>
      </w:r>
      <w:r>
        <w:rPr>
          <w:color w:val="auto"/>
          <w:highlight w:val="none"/>
        </w:rPr>
        <w:t>分、成本指标</w:t>
      </w:r>
      <w:r>
        <w:rPr>
          <w:rFonts w:hint="eastAsia"/>
          <w:color w:val="auto"/>
          <w:highlight w:val="none"/>
          <w:lang w:val="en-US" w:eastAsia="zh-CN"/>
        </w:rPr>
        <w:t>9</w:t>
      </w:r>
      <w:r>
        <w:rPr>
          <w:color w:val="auto"/>
          <w:highlight w:val="none"/>
        </w:rPr>
        <w:t>分、效益指标</w:t>
      </w:r>
      <w:r>
        <w:rPr>
          <w:rFonts w:hint="eastAsia"/>
          <w:color w:val="auto"/>
          <w:highlight w:val="none"/>
          <w:lang w:val="en-US" w:eastAsia="zh-CN"/>
        </w:rPr>
        <w:t>30</w:t>
      </w:r>
      <w:r>
        <w:rPr>
          <w:color w:val="auto"/>
          <w:highlight w:val="none"/>
        </w:rPr>
        <w:t>分、</w:t>
      </w:r>
      <w:r>
        <w:rPr>
          <w:rFonts w:hint="eastAsia"/>
          <w:color w:val="auto"/>
          <w:highlight w:val="none"/>
          <w:lang w:val="en-US" w:eastAsia="zh-CN"/>
        </w:rPr>
        <w:t>服务对象</w:t>
      </w:r>
      <w:r>
        <w:rPr>
          <w:color w:val="auto"/>
          <w:highlight w:val="none"/>
        </w:rPr>
        <w:t>满意度指标1</w:t>
      </w:r>
      <w:r>
        <w:rPr>
          <w:rFonts w:hint="eastAsia"/>
          <w:color w:val="auto"/>
          <w:highlight w:val="none"/>
          <w:lang w:val="en-US" w:eastAsia="zh-CN"/>
        </w:rPr>
        <w:t>0</w:t>
      </w:r>
      <w:r>
        <w:rPr>
          <w:color w:val="auto"/>
          <w:highlight w:val="none"/>
        </w:rPr>
        <w:t>分、预算资金执行率10分，满分100分。</w:t>
      </w:r>
    </w:p>
    <w:p w14:paraId="63CAA5BD">
      <w:pPr>
        <w:pStyle w:val="54"/>
        <w:spacing w:line="560" w:lineRule="exact"/>
        <w:ind w:left="3" w:right="3" w:firstLine="560"/>
        <w:rPr>
          <w:color w:val="auto"/>
          <w:highlight w:val="none"/>
        </w:rPr>
      </w:pPr>
      <w:r>
        <w:rPr>
          <w:color w:val="auto"/>
          <w:highlight w:val="none"/>
        </w:rPr>
        <w:t>（2）绩效自评方法</w:t>
      </w:r>
    </w:p>
    <w:p w14:paraId="390EADDB">
      <w:pPr>
        <w:pStyle w:val="54"/>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189B7C27">
      <w:pPr>
        <w:pStyle w:val="54"/>
        <w:spacing w:line="560" w:lineRule="exact"/>
        <w:ind w:left="3" w:right="3" w:firstLine="560"/>
        <w:rPr>
          <w:color w:val="auto"/>
          <w:highlight w:val="none"/>
        </w:rPr>
      </w:pPr>
      <w:r>
        <w:rPr>
          <w:color w:val="auto"/>
          <w:highlight w:val="none"/>
        </w:rPr>
        <w:t>（3）绩效自评标准</w:t>
      </w:r>
    </w:p>
    <w:p w14:paraId="32744F1A">
      <w:pPr>
        <w:pStyle w:val="54"/>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5D3811B4">
      <w:pPr>
        <w:pStyle w:val="54"/>
        <w:spacing w:line="560" w:lineRule="exact"/>
        <w:ind w:left="3" w:right="3" w:firstLine="560"/>
        <w:rPr>
          <w:color w:val="auto"/>
          <w:highlight w:val="none"/>
        </w:rPr>
      </w:pPr>
      <w:r>
        <w:rPr>
          <w:color w:val="auto"/>
          <w:highlight w:val="none"/>
        </w:rPr>
        <w:t>（4）绩效自评等级</w:t>
      </w:r>
    </w:p>
    <w:p w14:paraId="668041C3">
      <w:pPr>
        <w:pStyle w:val="54"/>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200270DF">
      <w:pPr>
        <w:pStyle w:val="31"/>
        <w:spacing w:before="120"/>
        <w:ind w:leftChars="0" w:right="3" w:firstLine="562" w:firstLineChars="200"/>
        <w:rPr>
          <w:color w:val="auto"/>
          <w:highlight w:val="none"/>
        </w:rPr>
      </w:pPr>
      <w:r>
        <w:rPr>
          <w:rFonts w:hint="eastAsia"/>
          <w:color w:val="auto"/>
          <w:highlight w:val="none"/>
        </w:rPr>
        <w:t>三、绩效目标自评完成情况分析</w:t>
      </w:r>
    </w:p>
    <w:p w14:paraId="1464D1F8">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（一）资金投入情况分析</w:t>
      </w:r>
    </w:p>
    <w:p w14:paraId="3E7B6D5C">
      <w:pPr>
        <w:pStyle w:val="35"/>
        <w:rPr>
          <w:color w:val="auto"/>
          <w:highlight w:val="none"/>
        </w:rPr>
      </w:pPr>
      <w:r>
        <w:rPr>
          <w:rFonts w:hint="eastAsia"/>
          <w:color w:val="auto"/>
          <w:highlight w:val="none"/>
        </w:rPr>
        <w:t>1.项目资金到位情况分析</w:t>
      </w:r>
    </w:p>
    <w:p w14:paraId="2C03F818">
      <w:pPr>
        <w:pStyle w:val="54"/>
        <w:spacing w:line="560" w:lineRule="exact"/>
        <w:ind w:left="0" w:leftChars="0" w:right="3" w:firstLine="560"/>
        <w:rPr>
          <w:color w:val="auto"/>
          <w:highlight w:val="yellow"/>
        </w:rPr>
      </w:pPr>
      <w:r>
        <w:rPr>
          <w:rFonts w:hint="eastAsia"/>
          <w:color w:val="auto"/>
          <w:highlight w:val="none"/>
          <w:lang w:eastAsia="zh-CN"/>
        </w:rPr>
        <w:t>木尕拉镇壮大村集体经济建设项目</w:t>
      </w:r>
      <w:r>
        <w:rPr>
          <w:rFonts w:hint="eastAsia"/>
          <w:color w:val="auto"/>
          <w:highlight w:val="none"/>
        </w:rPr>
        <w:t>预算安排总额为</w:t>
      </w:r>
      <w:r>
        <w:rPr>
          <w:rFonts w:hint="eastAsia"/>
          <w:color w:val="auto"/>
          <w:highlight w:val="none"/>
          <w:lang w:val="en-US" w:eastAsia="zh-CN"/>
        </w:rPr>
        <w:t>750</w:t>
      </w:r>
      <w:r>
        <w:rPr>
          <w:rFonts w:hint="eastAsia"/>
          <w:color w:val="auto"/>
          <w:highlight w:val="none"/>
        </w:rPr>
        <w:t>万元，其中：乡村振兴衔接资金</w:t>
      </w:r>
      <w:r>
        <w:rPr>
          <w:rFonts w:hint="eastAsia" w:eastAsia="楷体_GB2312"/>
          <w:color w:val="auto"/>
          <w:highlight w:val="none"/>
          <w:lang w:val="en-US" w:eastAsia="zh-CN"/>
        </w:rPr>
        <w:t>750</w:t>
      </w:r>
      <w:r>
        <w:rPr>
          <w:rFonts w:hint="eastAsia"/>
          <w:color w:val="auto"/>
          <w:highlight w:val="none"/>
        </w:rPr>
        <w:t>万元。预算资金到位率为100%。</w:t>
      </w:r>
    </w:p>
    <w:p w14:paraId="014EAD48">
      <w:pPr>
        <w:pStyle w:val="54"/>
        <w:spacing w:line="560" w:lineRule="exact"/>
        <w:ind w:left="0" w:leftChars="0" w:right="3" w:firstLine="562"/>
        <w:rPr>
          <w:b/>
          <w:color w:val="auto"/>
          <w:highlight w:val="none"/>
        </w:rPr>
      </w:pPr>
      <w:r>
        <w:rPr>
          <w:rFonts w:hint="eastAsia"/>
          <w:b/>
          <w:color w:val="auto"/>
          <w:highlight w:val="none"/>
        </w:rPr>
        <w:t>2.项目资金执行情况分析</w:t>
      </w:r>
    </w:p>
    <w:p w14:paraId="11B4DBA7">
      <w:pPr>
        <w:pStyle w:val="54"/>
        <w:spacing w:line="560" w:lineRule="exact"/>
        <w:ind w:left="0" w:leftChars="0" w:right="3" w:firstLine="560"/>
        <w:rPr>
          <w:color w:val="auto"/>
          <w:highlight w:val="none"/>
        </w:rPr>
      </w:pPr>
      <w:r>
        <w:rPr>
          <w:rFonts w:hint="eastAsia"/>
          <w:color w:val="auto"/>
          <w:highlight w:val="none"/>
          <w:lang w:eastAsia="zh-CN"/>
        </w:rPr>
        <w:t>木尕拉镇壮大村集体经济建设项目</w:t>
      </w:r>
      <w:r>
        <w:rPr>
          <w:rFonts w:hint="eastAsia"/>
          <w:color w:val="auto"/>
          <w:highlight w:val="none"/>
        </w:rPr>
        <w:t>预算投入资金</w:t>
      </w:r>
      <w:r>
        <w:rPr>
          <w:rFonts w:hint="eastAsia"/>
          <w:color w:val="auto"/>
          <w:highlight w:val="none"/>
          <w:lang w:val="en-US" w:eastAsia="zh-CN"/>
        </w:rPr>
        <w:t>750</w:t>
      </w:r>
      <w:r>
        <w:rPr>
          <w:rFonts w:hint="eastAsia"/>
          <w:color w:val="auto"/>
          <w:highlight w:val="none"/>
        </w:rPr>
        <w:t>万元，经财务决算，项目实际完成投资共</w:t>
      </w:r>
      <w:r>
        <w:rPr>
          <w:rFonts w:hint="eastAsia"/>
          <w:color w:val="auto"/>
          <w:highlight w:val="none"/>
          <w:lang w:val="en-US" w:eastAsia="zh-CN"/>
        </w:rPr>
        <w:t>750</w:t>
      </w:r>
      <w:r>
        <w:rPr>
          <w:rFonts w:hint="eastAsia"/>
          <w:color w:val="auto"/>
          <w:highlight w:val="none"/>
        </w:rPr>
        <w:t>万元，其中：工程投资716</w:t>
      </w:r>
      <w:r>
        <w:rPr>
          <w:rFonts w:hint="eastAsia"/>
          <w:color w:val="auto"/>
          <w:highlight w:val="none"/>
          <w:lang w:val="en-US" w:eastAsia="zh-CN"/>
        </w:rPr>
        <w:t>.</w:t>
      </w:r>
      <w:r>
        <w:rPr>
          <w:rFonts w:hint="eastAsia"/>
          <w:color w:val="auto"/>
          <w:highlight w:val="none"/>
        </w:rPr>
        <w:t>3</w:t>
      </w:r>
      <w:r>
        <w:rPr>
          <w:rFonts w:hint="eastAsia"/>
          <w:color w:val="auto"/>
          <w:highlight w:val="none"/>
          <w:lang w:val="en-US" w:eastAsia="zh-CN"/>
        </w:rPr>
        <w:t>5</w:t>
      </w:r>
      <w:r>
        <w:rPr>
          <w:rFonts w:hint="eastAsia"/>
          <w:color w:val="auto"/>
          <w:highlight w:val="none"/>
        </w:rPr>
        <w:t>万元，待摊投资 33</w:t>
      </w:r>
      <w:r>
        <w:rPr>
          <w:rFonts w:hint="eastAsia"/>
          <w:color w:val="auto"/>
          <w:highlight w:val="none"/>
          <w:lang w:val="en-US" w:eastAsia="zh-CN"/>
        </w:rPr>
        <w:t>.</w:t>
      </w:r>
      <w:r>
        <w:rPr>
          <w:rFonts w:hint="eastAsia"/>
          <w:color w:val="auto"/>
          <w:highlight w:val="none"/>
        </w:rPr>
        <w:t>65万元。截至202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12</w:t>
      </w:r>
      <w:r>
        <w:rPr>
          <w:rFonts w:hint="eastAsia"/>
          <w:color w:val="auto"/>
          <w:highlight w:val="none"/>
        </w:rPr>
        <w:t>月31日，项目实际支出</w:t>
      </w:r>
      <w:r>
        <w:rPr>
          <w:rFonts w:hint="eastAsia"/>
          <w:color w:val="auto"/>
          <w:highlight w:val="none"/>
          <w:lang w:val="en-US" w:eastAsia="zh-CN"/>
        </w:rPr>
        <w:t>750</w:t>
      </w:r>
      <w:r>
        <w:rPr>
          <w:rFonts w:hint="eastAsia"/>
          <w:color w:val="auto"/>
          <w:highlight w:val="none"/>
        </w:rPr>
        <w:t>万元，预算资金执行率</w:t>
      </w:r>
      <w:r>
        <w:rPr>
          <w:rFonts w:hint="eastAsia"/>
          <w:color w:val="auto"/>
          <w:highlight w:val="none"/>
          <w:lang w:val="en-US" w:eastAsia="zh-CN"/>
        </w:rPr>
        <w:t>100</w:t>
      </w:r>
      <w:r>
        <w:rPr>
          <w:rFonts w:hint="eastAsia"/>
          <w:color w:val="auto"/>
          <w:highlight w:val="none"/>
        </w:rPr>
        <w:t>%。</w:t>
      </w:r>
    </w:p>
    <w:p w14:paraId="7C1D76D3">
      <w:pPr>
        <w:pStyle w:val="35"/>
        <w:rPr>
          <w:color w:val="auto"/>
          <w:highlight w:val="none"/>
        </w:rPr>
      </w:pPr>
      <w:r>
        <w:rPr>
          <w:rFonts w:hint="eastAsia"/>
          <w:color w:val="auto"/>
          <w:highlight w:val="none"/>
        </w:rPr>
        <w:t>3.项目资金管理情况分析</w:t>
      </w:r>
    </w:p>
    <w:p w14:paraId="4CE29D81">
      <w:pPr>
        <w:pStyle w:val="54"/>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56E31CBF">
      <w:pPr>
        <w:pStyle w:val="54"/>
        <w:spacing w:line="560" w:lineRule="exact"/>
        <w:ind w:leftChars="0" w:right="3" w:firstLine="562"/>
        <w:rPr>
          <w:b/>
          <w:color w:val="auto"/>
          <w:highlight w:val="none"/>
        </w:rPr>
      </w:pPr>
      <w:r>
        <w:rPr>
          <w:rFonts w:hint="eastAsia"/>
          <w:b/>
          <w:color w:val="auto"/>
          <w:highlight w:val="none"/>
        </w:rPr>
        <w:t>4.项目管理情况分析</w:t>
      </w:r>
    </w:p>
    <w:p w14:paraId="65C37B51">
      <w:pPr>
        <w:pStyle w:val="54"/>
        <w:spacing w:line="580" w:lineRule="exact"/>
        <w:ind w:left="0" w:leftChars="0" w:right="3" w:firstLine="560"/>
        <w:rPr>
          <w:color w:val="auto"/>
          <w:highlight w:val="none"/>
        </w:rPr>
      </w:pPr>
      <w:r>
        <w:rPr>
          <w:rFonts w:hint="eastAsia"/>
          <w:color w:val="auto"/>
          <w:highlight w:val="none"/>
        </w:rPr>
        <w:t>在项目实施中，于田县木尕拉镇人民政府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7F445253">
      <w:pPr>
        <w:spacing w:line="580" w:lineRule="exact"/>
        <w:ind w:firstLine="546" w:firstLineChars="200"/>
        <w:rPr>
          <w:rStyle w:val="21"/>
          <w:rFonts w:ascii="楷体_GB2312" w:hAnsi="楷体" w:cs="Times New Roman"/>
          <w:spacing w:val="-4"/>
          <w:sz w:val="28"/>
          <w:szCs w:val="32"/>
          <w:highlight w:val="yellow"/>
        </w:rPr>
      </w:pPr>
      <w:r>
        <w:rPr>
          <w:rStyle w:val="21"/>
          <w:rFonts w:hint="eastAsia" w:ascii="楷体_GB2312" w:hAnsi="楷体" w:cs="Times New Roman"/>
          <w:spacing w:val="-4"/>
          <w:sz w:val="28"/>
          <w:szCs w:val="32"/>
          <w:highlight w:val="none"/>
        </w:rPr>
        <w:t>（二）绩效目标完成情况分析</w:t>
      </w:r>
    </w:p>
    <w:p w14:paraId="05A84195">
      <w:pPr>
        <w:pStyle w:val="54"/>
        <w:spacing w:line="580" w:lineRule="exact"/>
        <w:ind w:left="3" w:right="3" w:firstLine="560"/>
        <w:rPr>
          <w:color w:val="auto"/>
          <w:highlight w:val="none"/>
        </w:rPr>
      </w:pPr>
      <w:r>
        <w:rPr>
          <w:color w:val="auto"/>
          <w:highlight w:val="none"/>
        </w:rPr>
        <w:t>本项目在20</w:t>
      </w:r>
      <w:r>
        <w:rPr>
          <w:rFonts w:hint="eastAsia"/>
          <w:color w:val="auto"/>
          <w:highlight w:val="none"/>
          <w:lang w:val="en-US" w:eastAsia="zh-CN"/>
        </w:rPr>
        <w:t>24</w:t>
      </w:r>
      <w:r>
        <w:rPr>
          <w:color w:val="auto"/>
          <w:highlight w:val="none"/>
        </w:rPr>
        <w:t>年</w:t>
      </w:r>
      <w:r>
        <w:rPr>
          <w:rFonts w:hint="eastAsia"/>
          <w:color w:val="auto"/>
          <w:highlight w:val="none"/>
        </w:rPr>
        <w:t>截止</w:t>
      </w:r>
      <w:r>
        <w:rPr>
          <w:rFonts w:hint="eastAsia"/>
          <w:color w:val="auto"/>
          <w:highlight w:val="none"/>
          <w:lang w:val="en-US" w:eastAsia="zh-CN"/>
        </w:rPr>
        <w:t>12</w:t>
      </w:r>
      <w:r>
        <w:rPr>
          <w:rFonts w:hint="eastAsia"/>
          <w:color w:val="auto"/>
          <w:highlight w:val="none"/>
        </w:rPr>
        <w:t>月底，</w:t>
      </w:r>
      <w:r>
        <w:rPr>
          <w:rFonts w:hint="eastAsia"/>
          <w:color w:val="auto"/>
          <w:highlight w:val="none"/>
          <w:lang w:val="en-US" w:eastAsia="zh-CN"/>
        </w:rPr>
        <w:t>已</w:t>
      </w:r>
      <w:r>
        <w:rPr>
          <w:rFonts w:hint="eastAsia"/>
          <w:color w:val="auto"/>
          <w:highlight w:val="none"/>
        </w:rPr>
        <w:t>完成</w:t>
      </w:r>
      <w:r>
        <w:rPr>
          <w:rFonts w:hint="eastAsia"/>
          <w:color w:val="auto"/>
          <w:highlight w:val="none"/>
          <w:lang w:val="en-US" w:eastAsia="zh-CN"/>
        </w:rPr>
        <w:t>新建1栋楼总建筑面积3554.11平方米，框架结构，地上五层，地下一层，首层层高4.5米，2-5层层高3.9米，室外高差0.15米，建筑高度24.75米，柱下独立基础。新建钢筋混凝土消防水池一座，有效容积300立方米，地下一层。</w:t>
      </w:r>
      <w:r>
        <w:rPr>
          <w:rFonts w:hint="eastAsia"/>
          <w:color w:val="auto"/>
          <w:highlight w:val="none"/>
        </w:rPr>
        <w:t>该工程已完成竣工验收，资产</w:t>
      </w:r>
      <w:r>
        <w:rPr>
          <w:rFonts w:hint="eastAsia"/>
          <w:color w:val="auto"/>
          <w:highlight w:val="none"/>
          <w:lang w:val="en-US" w:eastAsia="zh-CN"/>
        </w:rPr>
        <w:t>归属</w:t>
      </w:r>
      <w:r>
        <w:rPr>
          <w:rFonts w:hint="eastAsia"/>
          <w:color w:val="auto"/>
          <w:highlight w:val="none"/>
        </w:rPr>
        <w:t>于田县木尕拉镇人民政府。通过</w:t>
      </w:r>
      <w:r>
        <w:rPr>
          <w:rFonts w:hint="eastAsia"/>
          <w:color w:val="auto"/>
          <w:highlight w:val="none"/>
          <w:lang w:eastAsia="zh-CN"/>
        </w:rPr>
        <w:t>木尕拉镇壮大村集体经济建设项目</w:t>
      </w:r>
      <w:r>
        <w:rPr>
          <w:rFonts w:hint="eastAsia"/>
          <w:color w:val="auto"/>
          <w:highlight w:val="none"/>
        </w:rPr>
        <w:t>实施，完善</w:t>
      </w:r>
      <w:r>
        <w:rPr>
          <w:rFonts w:hint="eastAsia"/>
          <w:color w:val="auto"/>
          <w:highlight w:val="none"/>
          <w:lang w:val="en-US" w:eastAsia="zh-CN"/>
        </w:rPr>
        <w:t>商业体建设</w:t>
      </w:r>
      <w:r>
        <w:rPr>
          <w:rFonts w:hint="eastAsia"/>
          <w:color w:val="auto"/>
          <w:highlight w:val="none"/>
        </w:rPr>
        <w:t>，促进</w:t>
      </w:r>
      <w:r>
        <w:rPr>
          <w:rFonts w:hint="eastAsia"/>
          <w:color w:val="auto"/>
          <w:highlight w:val="none"/>
          <w:lang w:val="en-US" w:eastAsia="zh-CN"/>
        </w:rPr>
        <w:t>地方基础设施</w:t>
      </w:r>
      <w:r>
        <w:rPr>
          <w:rFonts w:hint="eastAsia"/>
          <w:color w:val="auto"/>
          <w:highlight w:val="none"/>
        </w:rPr>
        <w:t>建设</w:t>
      </w:r>
      <w:r>
        <w:rPr>
          <w:rFonts w:hint="eastAsia"/>
          <w:color w:val="auto"/>
          <w:highlight w:val="none"/>
          <w:lang w:val="en-US" w:eastAsia="zh-CN"/>
        </w:rPr>
        <w:t>和经济发展</w:t>
      </w:r>
      <w:r>
        <w:rPr>
          <w:rFonts w:hint="eastAsia"/>
          <w:color w:val="auto"/>
          <w:highlight w:val="none"/>
        </w:rPr>
        <w:t>，有力推动</w:t>
      </w:r>
      <w:r>
        <w:rPr>
          <w:rFonts w:hint="eastAsia"/>
          <w:color w:val="auto"/>
          <w:highlight w:val="none"/>
          <w:lang w:val="en-US" w:eastAsia="zh-CN"/>
        </w:rPr>
        <w:t>地域</w:t>
      </w:r>
      <w:r>
        <w:rPr>
          <w:rFonts w:hint="eastAsia"/>
          <w:color w:val="auto"/>
          <w:highlight w:val="none"/>
        </w:rPr>
        <w:t>经济</w:t>
      </w:r>
      <w:r>
        <w:rPr>
          <w:rFonts w:hint="eastAsia"/>
          <w:color w:val="auto"/>
          <w:highlight w:val="none"/>
          <w:lang w:val="en-US" w:eastAsia="zh-CN"/>
        </w:rPr>
        <w:t>的</w:t>
      </w:r>
      <w:r>
        <w:rPr>
          <w:rFonts w:hint="eastAsia"/>
          <w:color w:val="auto"/>
          <w:highlight w:val="none"/>
        </w:rPr>
        <w:t>发展，且有利于</w:t>
      </w:r>
      <w:r>
        <w:rPr>
          <w:rFonts w:hint="eastAsia"/>
          <w:color w:val="auto"/>
          <w:highlight w:val="none"/>
          <w:lang w:val="en-US" w:eastAsia="zh-CN"/>
        </w:rPr>
        <w:t>带动农牧民群众</w:t>
      </w:r>
      <w:r>
        <w:rPr>
          <w:rFonts w:hint="eastAsia"/>
          <w:color w:val="auto"/>
          <w:highlight w:val="none"/>
        </w:rPr>
        <w:t>的</w:t>
      </w:r>
      <w:r>
        <w:rPr>
          <w:rFonts w:hint="eastAsia"/>
          <w:color w:val="auto"/>
          <w:highlight w:val="none"/>
          <w:lang w:val="en-US" w:eastAsia="zh-CN"/>
        </w:rPr>
        <w:t>就业增收条件</w:t>
      </w:r>
      <w:r>
        <w:rPr>
          <w:rFonts w:hint="eastAsia"/>
          <w:color w:val="auto"/>
          <w:highlight w:val="none"/>
        </w:rPr>
        <w:t>，</w:t>
      </w:r>
      <w:r>
        <w:rPr>
          <w:rFonts w:hint="eastAsia"/>
          <w:color w:val="auto"/>
          <w:highlight w:val="none"/>
          <w:lang w:val="en-US" w:eastAsia="zh-CN"/>
        </w:rPr>
        <w:t>提升农牧民群众</w:t>
      </w:r>
      <w:r>
        <w:rPr>
          <w:rFonts w:hint="eastAsia"/>
          <w:color w:val="auto"/>
          <w:highlight w:val="none"/>
        </w:rPr>
        <w:t>幸福感，使其成为</w:t>
      </w:r>
      <w:r>
        <w:rPr>
          <w:rFonts w:hint="eastAsia"/>
          <w:color w:val="auto"/>
          <w:highlight w:val="none"/>
          <w:lang w:val="en-US" w:eastAsia="zh-CN"/>
        </w:rPr>
        <w:t>发展商业圈规模化的基地</w:t>
      </w:r>
      <w:r>
        <w:rPr>
          <w:rFonts w:hint="eastAsia"/>
          <w:color w:val="auto"/>
          <w:highlight w:val="none"/>
        </w:rPr>
        <w:t>。项目建设对于推进于田县</w:t>
      </w:r>
      <w:r>
        <w:rPr>
          <w:rFonts w:hint="eastAsia"/>
          <w:color w:val="auto"/>
          <w:highlight w:val="none"/>
          <w:lang w:val="en-US" w:eastAsia="zh-CN"/>
        </w:rPr>
        <w:t>木尕拉镇东大门商业经济圈发展具有</w:t>
      </w:r>
      <w:r>
        <w:rPr>
          <w:rFonts w:hint="eastAsia"/>
          <w:color w:val="auto"/>
          <w:highlight w:val="none"/>
        </w:rPr>
        <w:t>有重要意义。该项目以</w:t>
      </w:r>
      <w:r>
        <w:rPr>
          <w:rFonts w:hint="eastAsia"/>
          <w:color w:val="auto"/>
          <w:highlight w:val="none"/>
          <w:lang w:val="en-US" w:eastAsia="zh-CN"/>
        </w:rPr>
        <w:t>壮大村集体经济收入、带动农牧民群众就业增收</w:t>
      </w:r>
      <w:r>
        <w:rPr>
          <w:rFonts w:hint="eastAsia"/>
          <w:color w:val="auto"/>
          <w:highlight w:val="none"/>
        </w:rPr>
        <w:t>为核心，以</w:t>
      </w:r>
      <w:r>
        <w:rPr>
          <w:rFonts w:hint="eastAsia"/>
          <w:color w:val="auto"/>
          <w:highlight w:val="none"/>
          <w:lang w:val="en-US" w:eastAsia="zh-CN"/>
        </w:rPr>
        <w:t>建设基础设施和商业体经济楼房</w:t>
      </w:r>
      <w:r>
        <w:rPr>
          <w:rFonts w:hint="eastAsia"/>
          <w:color w:val="auto"/>
          <w:highlight w:val="none"/>
        </w:rPr>
        <w:t>，着力</w:t>
      </w:r>
      <w:r>
        <w:rPr>
          <w:rFonts w:hint="eastAsia"/>
          <w:color w:val="auto"/>
          <w:highlight w:val="none"/>
          <w:lang w:val="en-US" w:eastAsia="zh-CN"/>
        </w:rPr>
        <w:t>打造商业地域经济</w:t>
      </w:r>
      <w:r>
        <w:rPr>
          <w:rFonts w:hint="eastAsia"/>
          <w:color w:val="auto"/>
          <w:highlight w:val="none"/>
        </w:rPr>
        <w:t>，带动经济一体化快速发展，</w:t>
      </w:r>
      <w:r>
        <w:rPr>
          <w:rFonts w:hint="eastAsia"/>
          <w:color w:val="auto"/>
          <w:highlight w:val="none"/>
          <w:lang w:val="en-US" w:eastAsia="zh-CN"/>
        </w:rPr>
        <w:t>大力</w:t>
      </w:r>
      <w:r>
        <w:rPr>
          <w:rFonts w:hint="eastAsia"/>
          <w:color w:val="auto"/>
          <w:highlight w:val="none"/>
        </w:rPr>
        <w:t>提升</w:t>
      </w:r>
      <w:r>
        <w:rPr>
          <w:rFonts w:hint="eastAsia"/>
          <w:color w:val="auto"/>
          <w:highlight w:val="none"/>
          <w:lang w:val="en-US" w:eastAsia="zh-CN"/>
        </w:rPr>
        <w:t>全县经济活力</w:t>
      </w:r>
      <w:r>
        <w:rPr>
          <w:rFonts w:hint="eastAsia"/>
          <w:color w:val="auto"/>
          <w:highlight w:val="none"/>
        </w:rPr>
        <w:t>。</w:t>
      </w:r>
    </w:p>
    <w:p w14:paraId="5DCAF55E">
      <w:pPr>
        <w:pStyle w:val="54"/>
        <w:ind w:left="0" w:leftChars="0" w:right="0" w:rightChars="0" w:firstLine="560"/>
        <w:rPr>
          <w:color w:val="auto"/>
          <w:highlight w:val="none"/>
        </w:rPr>
      </w:pPr>
      <w:r>
        <w:rPr>
          <w:color w:val="auto"/>
          <w:highlight w:val="none"/>
        </w:rPr>
        <w:t>本</w:t>
      </w:r>
      <w:r>
        <w:rPr>
          <w:rFonts w:hint="eastAsia"/>
          <w:color w:val="auto"/>
          <w:highlight w:val="none"/>
        </w:rPr>
        <w:t>项</w:t>
      </w:r>
      <w:r>
        <w:rPr>
          <w:rFonts w:hint="eastAsia" w:ascii="仿宋_GB2312"/>
          <w:color w:val="auto"/>
          <w:szCs w:val="32"/>
          <w:highlight w:val="none"/>
        </w:rPr>
        <w:t>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个，三级指标1</w:t>
      </w:r>
      <w:r>
        <w:rPr>
          <w:rFonts w:hint="eastAsia" w:ascii="仿宋_GB2312"/>
          <w:color w:val="auto"/>
          <w:szCs w:val="32"/>
          <w:highlight w:val="none"/>
          <w:lang w:val="en-US" w:eastAsia="zh-CN"/>
        </w:rPr>
        <w:t>4</w:t>
      </w:r>
      <w:r>
        <w:rPr>
          <w:rFonts w:hint="eastAsia" w:ascii="仿宋_GB2312"/>
          <w:color w:val="auto"/>
          <w:szCs w:val="32"/>
          <w:highlight w:val="none"/>
        </w:rPr>
        <w:t>个</w:t>
      </w:r>
      <w:r>
        <w:rPr>
          <w:rFonts w:hint="eastAsia"/>
          <w:color w:val="auto"/>
          <w:highlight w:val="none"/>
        </w:rPr>
        <w:t>，指标完成率为</w:t>
      </w:r>
      <w:r>
        <w:rPr>
          <w:rFonts w:hint="eastAsia"/>
          <w:color w:val="auto"/>
          <w:highlight w:val="none"/>
          <w:lang w:val="en-US" w:eastAsia="zh-CN"/>
        </w:rPr>
        <w:t>95.03</w:t>
      </w:r>
      <w:r>
        <w:rPr>
          <w:rFonts w:hint="eastAsia"/>
          <w:color w:val="auto"/>
          <w:highlight w:val="none"/>
        </w:rPr>
        <w:t>%，指标完成情况分析如下：</w:t>
      </w:r>
    </w:p>
    <w:p w14:paraId="46F1059A">
      <w:pPr>
        <w:pStyle w:val="54"/>
        <w:spacing w:line="580" w:lineRule="exact"/>
        <w:ind w:left="0" w:leftChars="0" w:right="0" w:rightChars="0" w:firstLine="562"/>
        <w:rPr>
          <w:b/>
          <w:color w:val="auto"/>
          <w:highlight w:val="none"/>
        </w:rPr>
      </w:pPr>
      <w:r>
        <w:rPr>
          <w:rFonts w:hint="eastAsia"/>
          <w:b/>
          <w:color w:val="auto"/>
          <w:highlight w:val="none"/>
        </w:rPr>
        <w:t>1.产出指标完成情况分析</w:t>
      </w:r>
    </w:p>
    <w:p w14:paraId="0CABC94B">
      <w:pPr>
        <w:pStyle w:val="54"/>
        <w:spacing w:line="580" w:lineRule="exact"/>
        <w:ind w:left="0" w:leftChars="0" w:right="0" w:rightChars="0" w:firstLine="560"/>
        <w:rPr>
          <w:rFonts w:ascii="仿宋_GB2312"/>
          <w:color w:val="auto"/>
          <w:highlight w:val="none"/>
        </w:rPr>
      </w:pPr>
      <w:r>
        <w:rPr>
          <w:rFonts w:hint="eastAsia" w:ascii="仿宋_GB2312"/>
          <w:color w:val="auto"/>
          <w:highlight w:val="none"/>
        </w:rPr>
        <w:t>1.项目完成数量</w:t>
      </w:r>
    </w:p>
    <w:p w14:paraId="1C726067">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新建建设办公楼</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1栋</w:t>
      </w:r>
      <w:r>
        <w:rPr>
          <w:rFonts w:hint="eastAsia"/>
          <w:color w:val="auto"/>
          <w:highlight w:val="none"/>
        </w:rPr>
        <w:t>，全年实际值为</w:t>
      </w:r>
      <w:r>
        <w:rPr>
          <w:rFonts w:hint="eastAsia"/>
          <w:color w:val="auto"/>
          <w:highlight w:val="none"/>
          <w:lang w:val="en-US" w:eastAsia="zh-CN"/>
        </w:rPr>
        <w:t>1栋</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 xml:space="preserve">分。 </w:t>
      </w:r>
      <w:r>
        <w:rPr>
          <w:color w:val="auto"/>
          <w:highlight w:val="none"/>
        </w:rPr>
        <w:t xml:space="preserve">             </w:t>
      </w:r>
    </w:p>
    <w:p w14:paraId="08473987">
      <w:pPr>
        <w:pStyle w:val="54"/>
        <w:spacing w:line="560" w:lineRule="exact"/>
        <w:ind w:left="0" w:leftChars="0" w:right="0" w:rightChars="0" w:firstLine="560"/>
        <w:rPr>
          <w:rFonts w:hint="eastAsia"/>
          <w:color w:val="auto"/>
          <w:highlight w:val="yellow"/>
        </w:rPr>
      </w:pPr>
      <w:r>
        <w:rPr>
          <w:rFonts w:hint="eastAsia"/>
          <w:color w:val="auto"/>
          <w:highlight w:val="none"/>
        </w:rPr>
        <w:t>“</w:t>
      </w:r>
      <w:r>
        <w:rPr>
          <w:rFonts w:hint="eastAsia"/>
          <w:color w:val="auto"/>
          <w:highlight w:val="none"/>
          <w:lang w:val="en-US" w:eastAsia="zh-CN"/>
        </w:rPr>
        <w:t>建筑面积</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3554.11平方米</w:t>
      </w:r>
      <w:r>
        <w:rPr>
          <w:rFonts w:hint="eastAsia"/>
          <w:color w:val="auto"/>
          <w:highlight w:val="none"/>
        </w:rPr>
        <w:t>,全年实际值为</w:t>
      </w:r>
      <w:r>
        <w:rPr>
          <w:rFonts w:hint="eastAsia"/>
          <w:color w:val="auto"/>
          <w:highlight w:val="none"/>
          <w:lang w:val="en-US" w:eastAsia="zh-CN"/>
        </w:rPr>
        <w:t>3554.11平方米</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2D0B0FD">
      <w:pPr>
        <w:pStyle w:val="54"/>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建筑层高</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5层</w:t>
      </w:r>
      <w:r>
        <w:rPr>
          <w:rFonts w:hint="eastAsia"/>
          <w:color w:val="auto"/>
          <w:highlight w:val="none"/>
        </w:rPr>
        <w:t>,全年实际值为</w:t>
      </w:r>
      <w:r>
        <w:rPr>
          <w:rFonts w:hint="eastAsia"/>
          <w:color w:val="auto"/>
          <w:highlight w:val="none"/>
          <w:lang w:val="en-US" w:eastAsia="zh-CN"/>
        </w:rPr>
        <w:t>5层</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F3BFCD2">
      <w:pPr>
        <w:pStyle w:val="54"/>
        <w:spacing w:line="560" w:lineRule="exact"/>
        <w:ind w:right="0" w:rightChars="0"/>
        <w:rPr>
          <w:rFonts w:hint="eastAsia"/>
          <w:color w:val="auto"/>
          <w:highlight w:val="none"/>
        </w:rPr>
      </w:pPr>
      <w:r>
        <w:rPr>
          <w:rFonts w:hint="eastAsia"/>
          <w:color w:val="auto"/>
          <w:highlight w:val="none"/>
        </w:rPr>
        <w:t>“</w:t>
      </w:r>
      <w:r>
        <w:rPr>
          <w:rFonts w:hint="eastAsia"/>
          <w:color w:val="auto"/>
          <w:highlight w:val="none"/>
          <w:lang w:val="en-US" w:eastAsia="zh-CN"/>
        </w:rPr>
        <w:t>新建钢筋混凝土消防水池（座）</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1座</w:t>
      </w:r>
      <w:r>
        <w:rPr>
          <w:rFonts w:hint="eastAsia"/>
          <w:color w:val="auto"/>
          <w:highlight w:val="none"/>
        </w:rPr>
        <w:t>,全年实际值为</w:t>
      </w:r>
      <w:r>
        <w:rPr>
          <w:rFonts w:hint="eastAsia"/>
          <w:color w:val="auto"/>
          <w:highlight w:val="none"/>
          <w:lang w:val="en-US" w:eastAsia="zh-CN"/>
        </w:rPr>
        <w:t>1座</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171E2A68">
      <w:pPr>
        <w:pStyle w:val="54"/>
        <w:spacing w:line="560" w:lineRule="exact"/>
        <w:ind w:right="0" w:rightChars="0"/>
        <w:rPr>
          <w:rFonts w:hint="eastAsia"/>
          <w:color w:val="auto"/>
          <w:highlight w:val="none"/>
        </w:rPr>
      </w:pPr>
      <w:r>
        <w:rPr>
          <w:rFonts w:hint="eastAsia"/>
          <w:color w:val="auto"/>
          <w:highlight w:val="none"/>
        </w:rPr>
        <w:t>“</w:t>
      </w:r>
      <w:r>
        <w:rPr>
          <w:rFonts w:hint="eastAsia"/>
          <w:color w:val="auto"/>
          <w:highlight w:val="none"/>
          <w:lang w:val="en-US" w:eastAsia="zh-CN"/>
        </w:rPr>
        <w:t>建筑高度</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24.75米</w:t>
      </w:r>
      <w:r>
        <w:rPr>
          <w:rFonts w:hint="eastAsia"/>
          <w:color w:val="auto"/>
          <w:highlight w:val="none"/>
        </w:rPr>
        <w:t>,全年实际值为</w:t>
      </w:r>
      <w:r>
        <w:rPr>
          <w:rFonts w:hint="eastAsia"/>
          <w:color w:val="auto"/>
          <w:highlight w:val="none"/>
          <w:lang w:val="en-US" w:eastAsia="zh-CN"/>
        </w:rPr>
        <w:t>5公里</w:t>
      </w:r>
      <w:r>
        <w:rPr>
          <w:rFonts w:hint="eastAsia"/>
          <w:color w:val="auto"/>
          <w:highlight w:val="none"/>
        </w:rPr>
        <w:t>，指标完成率为100.00%。所设分值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3067F6EB">
      <w:pPr>
        <w:pStyle w:val="54"/>
        <w:spacing w:line="560" w:lineRule="exact"/>
        <w:ind w:left="640" w:leftChars="200" w:right="0" w:rightChars="0" w:firstLine="0" w:firstLineChars="0"/>
        <w:rPr>
          <w:color w:val="auto"/>
          <w:highlight w:val="none"/>
        </w:rPr>
      </w:pPr>
      <w:r>
        <w:rPr>
          <w:rFonts w:hint="eastAsia"/>
          <w:color w:val="auto"/>
          <w:highlight w:val="none"/>
        </w:rPr>
        <w:t>2.</w:t>
      </w:r>
      <w:r>
        <w:rPr>
          <w:color w:val="auto"/>
          <w:highlight w:val="none"/>
        </w:rPr>
        <w:t>项目完成</w:t>
      </w:r>
      <w:r>
        <w:rPr>
          <w:rFonts w:hint="eastAsia"/>
          <w:color w:val="auto"/>
          <w:highlight w:val="none"/>
        </w:rPr>
        <w:t>质量</w:t>
      </w:r>
    </w:p>
    <w:p w14:paraId="782042CA">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lang w:val="en-US" w:eastAsia="zh-CN"/>
        </w:rPr>
        <w:t>“项目（工程）验收合格率</w:t>
      </w:r>
      <w:r>
        <w:rPr>
          <w:rFonts w:hint="eastAsia"/>
          <w:color w:val="auto"/>
          <w:highlight w:val="none"/>
        </w:rPr>
        <w:t>”指标，预期指标值为</w:t>
      </w:r>
      <w:r>
        <w:rPr>
          <w:rFonts w:hint="eastAsia"/>
          <w:color w:val="auto"/>
          <w:highlight w:val="none"/>
          <w:lang w:val="en-US" w:eastAsia="zh-CN"/>
        </w:rPr>
        <w:t>等于</w:t>
      </w:r>
      <w:r>
        <w:rPr>
          <w:rFonts w:hint="eastAsia"/>
          <w:color w:val="auto"/>
          <w:highlight w:val="none"/>
        </w:rPr>
        <w:t>100%,全年实际值为100% ，指标完成率为100%。所设分值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66473482">
      <w:pPr>
        <w:pStyle w:val="54"/>
        <w:spacing w:line="560" w:lineRule="exact"/>
        <w:ind w:left="0" w:leftChars="0" w:right="0" w:rightChars="0" w:firstLine="560"/>
        <w:rPr>
          <w:rFonts w:hint="eastAsia"/>
          <w:color w:val="auto"/>
          <w:highlight w:val="none"/>
          <w:lang w:val="en-US" w:eastAsia="zh-CN"/>
        </w:rPr>
      </w:pPr>
      <w:r>
        <w:rPr>
          <w:rFonts w:hint="eastAsia"/>
          <w:color w:val="auto"/>
          <w:highlight w:val="none"/>
        </w:rPr>
        <w:t>“</w:t>
      </w:r>
      <w:r>
        <w:rPr>
          <w:rFonts w:hint="eastAsia"/>
          <w:color w:val="auto"/>
          <w:highlight w:val="none"/>
          <w:lang w:val="en-US" w:eastAsia="zh-CN"/>
        </w:rPr>
        <w:t>资金支付合规率</w:t>
      </w:r>
      <w:r>
        <w:rPr>
          <w:rFonts w:hint="eastAsia"/>
          <w:color w:val="auto"/>
          <w:highlight w:val="none"/>
        </w:rPr>
        <w:t>”指标，预期指标值为</w:t>
      </w:r>
      <w:r>
        <w:rPr>
          <w:rFonts w:hint="eastAsia"/>
          <w:color w:val="auto"/>
          <w:highlight w:val="none"/>
          <w:lang w:val="en-US" w:eastAsia="zh-CN"/>
        </w:rPr>
        <w:t>等于</w:t>
      </w:r>
      <w:r>
        <w:rPr>
          <w:rFonts w:hint="eastAsia"/>
          <w:color w:val="auto"/>
          <w:highlight w:val="none"/>
        </w:rPr>
        <w:t>100%,全年实际值为100% ，指标完成率为100%。所设分值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195B3DBD">
      <w:pPr>
        <w:pStyle w:val="54"/>
        <w:spacing w:line="560" w:lineRule="exact"/>
        <w:ind w:left="0" w:leftChars="0" w:right="0" w:rightChars="0" w:firstLine="560"/>
        <w:rPr>
          <w:rFonts w:hint="eastAsia" w:eastAsia="仿宋_GB2312"/>
          <w:color w:val="auto"/>
          <w:highlight w:val="none"/>
          <w:lang w:val="en-US" w:eastAsia="zh-CN"/>
        </w:rPr>
      </w:pPr>
      <w:r>
        <w:rPr>
          <w:rFonts w:hint="eastAsia"/>
          <w:color w:val="auto"/>
          <w:highlight w:val="none"/>
          <w:lang w:val="en-US" w:eastAsia="zh-CN"/>
        </w:rPr>
        <w:t>3.</w:t>
      </w:r>
      <w:r>
        <w:rPr>
          <w:color w:val="auto"/>
          <w:highlight w:val="none"/>
        </w:rPr>
        <w:t>项目完成</w:t>
      </w:r>
      <w:r>
        <w:rPr>
          <w:rFonts w:hint="eastAsia"/>
          <w:color w:val="auto"/>
          <w:highlight w:val="none"/>
          <w:lang w:val="en-US" w:eastAsia="zh-CN"/>
        </w:rPr>
        <w:t>时效</w:t>
      </w:r>
    </w:p>
    <w:p w14:paraId="479FF58B">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资金支付及时率</w:t>
      </w:r>
      <w:r>
        <w:rPr>
          <w:rFonts w:hint="eastAsia"/>
          <w:color w:val="auto"/>
          <w:highlight w:val="none"/>
        </w:rPr>
        <w:t>”指标，预期指标值为</w:t>
      </w:r>
      <w:r>
        <w:rPr>
          <w:rFonts w:hint="eastAsia"/>
          <w:color w:val="auto"/>
          <w:highlight w:val="none"/>
          <w:lang w:val="en-US" w:eastAsia="zh-CN"/>
        </w:rPr>
        <w:t>等于</w:t>
      </w:r>
      <w:r>
        <w:rPr>
          <w:rFonts w:hint="eastAsia"/>
          <w:color w:val="auto"/>
          <w:highlight w:val="none"/>
        </w:rPr>
        <w:t>100%,全年实际值为100% ，指标完成率为100%。所设分值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4</w:t>
      </w:r>
      <w:r>
        <w:rPr>
          <w:rFonts w:hint="eastAsia"/>
          <w:color w:val="auto"/>
          <w:highlight w:val="none"/>
        </w:rPr>
        <w:t>分。</w:t>
      </w:r>
    </w:p>
    <w:p w14:paraId="5DAD3BFC">
      <w:pPr>
        <w:pStyle w:val="54"/>
        <w:spacing w:line="560" w:lineRule="exact"/>
        <w:ind w:left="0" w:leftChars="0" w:right="0" w:rightChars="0" w:firstLine="560"/>
        <w:rPr>
          <w:rFonts w:hint="eastAsia"/>
          <w:color w:val="auto"/>
          <w:highlight w:val="none"/>
        </w:rPr>
      </w:pPr>
      <w:bookmarkStart w:id="1" w:name="OLE_LINK2"/>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w:t>
      </w:r>
      <w:r>
        <w:rPr>
          <w:rFonts w:hint="eastAsia"/>
          <w:color w:val="auto"/>
          <w:highlight w:val="none"/>
          <w:lang w:eastAsia="zh-CN"/>
        </w:rPr>
        <w:t>，</w:t>
      </w:r>
      <w:r>
        <w:rPr>
          <w:rFonts w:hint="eastAsia"/>
          <w:color w:val="auto"/>
          <w:highlight w:val="none"/>
        </w:rPr>
        <w:t>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11</w:t>
      </w:r>
      <w:r>
        <w:rPr>
          <w:rFonts w:hint="eastAsia"/>
          <w:color w:val="auto"/>
          <w:highlight w:val="none"/>
        </w:rPr>
        <w:t>月 ，指标完成率为</w:t>
      </w:r>
      <w:r>
        <w:rPr>
          <w:rFonts w:hint="eastAsia"/>
          <w:color w:val="auto"/>
          <w:highlight w:val="none"/>
          <w:lang w:val="en-US" w:eastAsia="zh-CN"/>
        </w:rPr>
        <w:t>70</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2</w:t>
      </w:r>
      <w:r>
        <w:rPr>
          <w:rFonts w:hint="eastAsia"/>
          <w:color w:val="auto"/>
          <w:highlight w:val="none"/>
        </w:rPr>
        <w:t>分。偏差原因：由于前期批复及办理相关手续迟缓，招投标推迟，导致开工时间延迟。改进措施：后续加强项目进度实时监督，促进项目按时开工</w:t>
      </w:r>
      <w:bookmarkEnd w:id="1"/>
      <w:r>
        <w:rPr>
          <w:rFonts w:hint="eastAsia"/>
          <w:color w:val="auto"/>
          <w:highlight w:val="none"/>
        </w:rPr>
        <w:t>。</w:t>
      </w:r>
    </w:p>
    <w:p w14:paraId="1B14030F">
      <w:pPr>
        <w:pStyle w:val="54"/>
        <w:spacing w:line="560" w:lineRule="exact"/>
        <w:ind w:left="0" w:leftChars="0" w:right="0" w:rightChars="0" w:firstLine="560"/>
        <w:rPr>
          <w:color w:val="auto"/>
          <w:highlight w:val="none"/>
        </w:rPr>
      </w:pPr>
      <w:r>
        <w:rPr>
          <w:rFonts w:hint="eastAsia"/>
          <w:color w:val="auto"/>
          <w:highlight w:val="none"/>
        </w:rPr>
        <w:t>4.项目完成成本</w:t>
      </w:r>
    </w:p>
    <w:p w14:paraId="01AD5977">
      <w:pPr>
        <w:pStyle w:val="54"/>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w:t>
      </w:r>
      <w:r>
        <w:rPr>
          <w:rFonts w:hint="eastAsia"/>
          <w:color w:val="auto"/>
          <w:highlight w:val="none"/>
          <w:lang w:val="en-US" w:eastAsia="zh-CN"/>
        </w:rPr>
        <w:t>性招标</w:t>
      </w:r>
      <w:r>
        <w:rPr>
          <w:rFonts w:hint="eastAsia"/>
          <w:color w:val="auto"/>
          <w:highlight w:val="none"/>
        </w:rPr>
        <w:t>的方式有效降低了项目执行成本，具体指标设置及完成情况如下：</w:t>
      </w:r>
    </w:p>
    <w:p w14:paraId="50D58CDB">
      <w:pPr>
        <w:pStyle w:val="35"/>
        <w:rPr>
          <w:rFonts w:hint="eastAsia"/>
          <w:color w:val="auto"/>
          <w:highlight w:val="none"/>
          <w:lang w:val="en-US" w:eastAsia="zh-CN"/>
        </w:rPr>
      </w:pPr>
      <w:bookmarkStart w:id="2" w:name="OLE_LINK3"/>
      <w:r>
        <w:rPr>
          <w:rFonts w:hint="eastAsia"/>
          <w:color w:val="auto"/>
          <w:highlight w:val="none"/>
        </w:rPr>
        <w:t>“工程</w:t>
      </w:r>
      <w:r>
        <w:rPr>
          <w:rFonts w:hint="eastAsia"/>
          <w:color w:val="auto"/>
          <w:highlight w:val="none"/>
          <w:lang w:val="en-US" w:eastAsia="zh-CN"/>
        </w:rPr>
        <w:t>安装</w:t>
      </w:r>
      <w:r>
        <w:rPr>
          <w:rFonts w:hint="eastAsia"/>
          <w:color w:val="auto"/>
          <w:highlight w:val="none"/>
        </w:rPr>
        <w:t>费用”指标，预期指标值为</w:t>
      </w:r>
      <w:r>
        <w:rPr>
          <w:rFonts w:hint="eastAsia"/>
          <w:color w:val="auto"/>
          <w:highlight w:val="none"/>
          <w:lang w:eastAsia="zh-CN"/>
        </w:rPr>
        <w:t>小于等于</w:t>
      </w:r>
      <w:r>
        <w:rPr>
          <w:rFonts w:hint="eastAsia"/>
          <w:color w:val="auto"/>
          <w:highlight w:val="none"/>
          <w:lang w:val="en-US" w:eastAsia="zh-CN"/>
        </w:rPr>
        <w:t>698.58</w:t>
      </w:r>
      <w:r>
        <w:rPr>
          <w:rFonts w:hint="eastAsia"/>
          <w:color w:val="auto"/>
          <w:highlight w:val="none"/>
        </w:rPr>
        <w:t>万元, 全年实际值为</w:t>
      </w:r>
      <w:r>
        <w:rPr>
          <w:rFonts w:hint="eastAsia"/>
          <w:color w:val="auto"/>
          <w:highlight w:val="none"/>
          <w:lang w:val="en-US" w:eastAsia="zh-CN"/>
        </w:rPr>
        <w:t>716.68</w:t>
      </w:r>
      <w:r>
        <w:rPr>
          <w:rFonts w:hint="eastAsia"/>
          <w:color w:val="auto"/>
          <w:highlight w:val="none"/>
        </w:rPr>
        <w:t>万元，指标完成率为</w:t>
      </w:r>
      <w:r>
        <w:rPr>
          <w:rFonts w:hint="eastAsia"/>
          <w:color w:val="auto"/>
          <w:highlight w:val="none"/>
          <w:lang w:val="en-US" w:eastAsia="zh-CN"/>
        </w:rPr>
        <w:t>95</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4.5</w:t>
      </w:r>
      <w:r>
        <w:rPr>
          <w:rFonts w:hint="eastAsia"/>
          <w:color w:val="auto"/>
          <w:highlight w:val="none"/>
        </w:rPr>
        <w:t>。</w:t>
      </w:r>
      <w:r>
        <w:rPr>
          <w:rFonts w:hint="eastAsia"/>
          <w:color w:val="auto"/>
          <w:highlight w:val="none"/>
          <w:lang w:val="en-US" w:eastAsia="zh-CN"/>
        </w:rPr>
        <w:t>偏差原因：项目根据实际需求实际工程费用增加，其他费用减少。改进措施：加强项目资金管理</w:t>
      </w:r>
      <w:bookmarkEnd w:id="2"/>
      <w:r>
        <w:rPr>
          <w:rFonts w:hint="eastAsia"/>
          <w:color w:val="auto"/>
          <w:highlight w:val="none"/>
          <w:lang w:val="en-US" w:eastAsia="zh-CN"/>
        </w:rPr>
        <w:t>。</w:t>
      </w:r>
    </w:p>
    <w:p w14:paraId="06CA3D60">
      <w:pPr>
        <w:pStyle w:val="35"/>
        <w:rPr>
          <w:b/>
          <w:color w:val="auto"/>
          <w:highlight w:val="yellow"/>
        </w:rPr>
      </w:pPr>
      <w:r>
        <w:rPr>
          <w:rFonts w:hint="eastAsia"/>
          <w:color w:val="auto"/>
          <w:highlight w:val="none"/>
        </w:rPr>
        <w:t>“其他费用”指标，预期指标值为</w:t>
      </w:r>
      <w:r>
        <w:rPr>
          <w:rFonts w:hint="eastAsia"/>
          <w:color w:val="auto"/>
          <w:highlight w:val="none"/>
          <w:lang w:eastAsia="zh-CN"/>
        </w:rPr>
        <w:t>小于等于</w:t>
      </w:r>
      <w:r>
        <w:rPr>
          <w:rFonts w:hint="eastAsia"/>
          <w:color w:val="auto"/>
          <w:highlight w:val="none"/>
          <w:lang w:val="en-US" w:eastAsia="zh-CN"/>
        </w:rPr>
        <w:t>51.42</w:t>
      </w:r>
      <w:r>
        <w:rPr>
          <w:rFonts w:hint="eastAsia"/>
          <w:color w:val="auto"/>
          <w:highlight w:val="none"/>
        </w:rPr>
        <w:t>万元, 全年实际值为</w:t>
      </w:r>
      <w:r>
        <w:rPr>
          <w:rFonts w:hint="eastAsia"/>
          <w:color w:val="auto"/>
          <w:highlight w:val="none"/>
          <w:lang w:val="en-US" w:eastAsia="zh-CN"/>
        </w:rPr>
        <w:t>33.65</w:t>
      </w:r>
      <w:r>
        <w:rPr>
          <w:rFonts w:hint="eastAsia"/>
          <w:color w:val="auto"/>
          <w:highlight w:val="none"/>
        </w:rPr>
        <w:t>万元，指标完成率为</w:t>
      </w:r>
      <w:r>
        <w:rPr>
          <w:rFonts w:hint="eastAsia"/>
          <w:color w:val="auto"/>
          <w:highlight w:val="none"/>
          <w:lang w:val="en-US" w:eastAsia="zh-CN"/>
        </w:rPr>
        <w:t>65.44</w:t>
      </w:r>
      <w:r>
        <w:rPr>
          <w:rFonts w:hint="eastAsia"/>
          <w:color w:val="auto"/>
          <w:highlight w:val="none"/>
        </w:rPr>
        <w:t>%；所设分值</w:t>
      </w:r>
      <w:r>
        <w:rPr>
          <w:rFonts w:hint="eastAsia"/>
          <w:color w:val="auto"/>
          <w:highlight w:val="none"/>
          <w:lang w:val="en-US" w:eastAsia="zh-CN"/>
        </w:rPr>
        <w:t>4</w:t>
      </w:r>
      <w:r>
        <w:rPr>
          <w:rFonts w:hint="eastAsia"/>
          <w:color w:val="auto"/>
          <w:highlight w:val="none"/>
        </w:rPr>
        <w:t>分，实际得分</w:t>
      </w:r>
      <w:r>
        <w:rPr>
          <w:rFonts w:hint="eastAsia"/>
          <w:color w:val="auto"/>
          <w:highlight w:val="none"/>
          <w:lang w:val="en-US" w:eastAsia="zh-CN"/>
        </w:rPr>
        <w:t>2.61</w:t>
      </w:r>
      <w:r>
        <w:rPr>
          <w:rFonts w:hint="eastAsia"/>
          <w:color w:val="auto"/>
          <w:highlight w:val="none"/>
        </w:rPr>
        <w:t>分。偏差原因：项目根据实际需求实际工程费用增加，其他费用减少。改进措施：加强项目资金管理。</w:t>
      </w:r>
    </w:p>
    <w:p w14:paraId="61819ECC">
      <w:pPr>
        <w:pStyle w:val="54"/>
        <w:spacing w:line="580" w:lineRule="exact"/>
        <w:ind w:left="0" w:leftChars="0" w:right="0" w:rightChars="0" w:firstLine="562"/>
        <w:rPr>
          <w:rFonts w:hint="eastAsia"/>
          <w:b/>
          <w:color w:val="auto"/>
          <w:highlight w:val="none"/>
        </w:rPr>
      </w:pPr>
      <w:r>
        <w:rPr>
          <w:rFonts w:hint="eastAsia"/>
          <w:b/>
          <w:color w:val="auto"/>
          <w:highlight w:val="none"/>
        </w:rPr>
        <w:t>2.效益指标完成情况分析</w:t>
      </w:r>
    </w:p>
    <w:p w14:paraId="69150899">
      <w:pPr>
        <w:pStyle w:val="54"/>
        <w:spacing w:line="560" w:lineRule="exact"/>
        <w:ind w:left="0" w:leftChars="0" w:right="0" w:rightChars="0" w:firstLine="560"/>
        <w:rPr>
          <w:color w:val="auto"/>
          <w:highlight w:val="none"/>
        </w:rPr>
      </w:pPr>
      <w:r>
        <w:rPr>
          <w:color w:val="auto"/>
          <w:highlight w:val="none"/>
        </w:rPr>
        <w:t>2.1项目实施的</w:t>
      </w:r>
      <w:r>
        <w:rPr>
          <w:rFonts w:hint="eastAsia"/>
          <w:color w:val="auto"/>
          <w:highlight w:val="none"/>
        </w:rPr>
        <w:t>社会效益</w:t>
      </w:r>
      <w:r>
        <w:rPr>
          <w:color w:val="auto"/>
          <w:highlight w:val="none"/>
        </w:rPr>
        <w:t>分析</w:t>
      </w:r>
    </w:p>
    <w:p w14:paraId="11E8E708">
      <w:pPr>
        <w:pStyle w:val="54"/>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增强群众幸福感</w:t>
      </w:r>
      <w:r>
        <w:rPr>
          <w:rFonts w:hint="eastAsia"/>
          <w:color w:val="auto"/>
          <w:highlight w:val="none"/>
        </w:rPr>
        <w:t>”指标，指标预期值为</w:t>
      </w:r>
      <w:r>
        <w:rPr>
          <w:rFonts w:hint="eastAsia"/>
          <w:color w:val="auto"/>
          <w:highlight w:val="none"/>
          <w:lang w:val="en-US" w:eastAsia="zh-CN"/>
        </w:rPr>
        <w:t>有效增强</w:t>
      </w:r>
      <w:r>
        <w:rPr>
          <w:rFonts w:hint="eastAsia"/>
          <w:color w:val="auto"/>
          <w:highlight w:val="none"/>
        </w:rPr>
        <w:t>，实际完成值为</w:t>
      </w:r>
      <w:r>
        <w:rPr>
          <w:rFonts w:hint="eastAsia"/>
          <w:color w:val="auto"/>
          <w:highlight w:val="none"/>
          <w:lang w:val="en-US" w:eastAsia="zh-CN"/>
        </w:rPr>
        <w:t>有效增强</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7A777007">
      <w:pPr>
        <w:pStyle w:val="35"/>
        <w:rPr>
          <w:rFonts w:hint="eastAsia" w:ascii="Times New Roman" w:hAnsi="Times New Roman" w:eastAsia="仿宋_GB2312" w:cs="Times New Roman"/>
          <w:b/>
          <w:color w:val="auto"/>
          <w:kern w:val="2"/>
          <w:sz w:val="28"/>
          <w:szCs w:val="22"/>
          <w:highlight w:val="none"/>
          <w:lang w:val="en-US" w:eastAsia="zh-CN" w:bidi="ar-SA"/>
        </w:rPr>
      </w:pPr>
      <w:r>
        <w:rPr>
          <w:color w:val="auto"/>
          <w:highlight w:val="none"/>
        </w:rPr>
        <w:t>2.1项目实施的</w:t>
      </w:r>
      <w:r>
        <w:rPr>
          <w:rFonts w:hint="eastAsia"/>
          <w:color w:val="auto"/>
          <w:highlight w:val="none"/>
          <w:lang w:val="en-US" w:eastAsia="zh-CN"/>
        </w:rPr>
        <w:t>生态</w:t>
      </w:r>
      <w:r>
        <w:rPr>
          <w:rFonts w:hint="eastAsia"/>
          <w:color w:val="auto"/>
          <w:highlight w:val="none"/>
        </w:rPr>
        <w:t>效益</w:t>
      </w:r>
      <w:r>
        <w:rPr>
          <w:color w:val="auto"/>
          <w:highlight w:val="none"/>
        </w:rPr>
        <w:t>分析</w:t>
      </w:r>
    </w:p>
    <w:p w14:paraId="52B1668E">
      <w:pPr>
        <w:pStyle w:val="35"/>
        <w:rPr>
          <w:rFonts w:hint="eastAsia" w:ascii="Times New Roman" w:hAnsi="Times New Roman" w:eastAsia="仿宋_GB2312" w:cs="Times New Roman"/>
          <w:b/>
          <w:color w:val="auto"/>
          <w:kern w:val="2"/>
          <w:sz w:val="28"/>
          <w:szCs w:val="22"/>
          <w:highlight w:val="none"/>
          <w:lang w:val="en-US" w:eastAsia="zh-CN" w:bidi="ar-SA"/>
        </w:rPr>
      </w:pPr>
      <w:r>
        <w:rPr>
          <w:rFonts w:hint="eastAsia"/>
          <w:color w:val="auto"/>
          <w:highlight w:val="none"/>
        </w:rPr>
        <w:t>“</w:t>
      </w:r>
      <w:r>
        <w:rPr>
          <w:rFonts w:hint="eastAsia"/>
          <w:color w:val="auto"/>
          <w:highlight w:val="none"/>
          <w:lang w:val="en-US" w:eastAsia="zh-CN"/>
        </w:rPr>
        <w:t>完善于田县木尕拉镇创业就业园基础设施</w:t>
      </w:r>
      <w:r>
        <w:rPr>
          <w:rFonts w:hint="eastAsia"/>
          <w:color w:val="auto"/>
          <w:highlight w:val="none"/>
        </w:rPr>
        <w:t>”指标，指标预期值为</w:t>
      </w:r>
      <w:r>
        <w:rPr>
          <w:rFonts w:hint="eastAsia"/>
          <w:color w:val="auto"/>
          <w:highlight w:val="none"/>
          <w:lang w:val="en-US" w:eastAsia="zh-CN"/>
        </w:rPr>
        <w:t>有效完善</w:t>
      </w:r>
      <w:r>
        <w:rPr>
          <w:rFonts w:hint="eastAsia"/>
          <w:color w:val="auto"/>
          <w:highlight w:val="none"/>
        </w:rPr>
        <w:t>，实际完成值为</w:t>
      </w:r>
      <w:r>
        <w:rPr>
          <w:rFonts w:hint="eastAsia"/>
          <w:color w:val="auto"/>
          <w:highlight w:val="none"/>
          <w:lang w:val="en-US" w:eastAsia="zh-CN"/>
        </w:rPr>
        <w:t>有效完善</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6410FC88">
      <w:pPr>
        <w:pStyle w:val="35"/>
        <w:rPr>
          <w:color w:val="auto"/>
          <w:highlight w:val="none"/>
        </w:rPr>
      </w:pPr>
      <w:r>
        <w:rPr>
          <w:rFonts w:hint="eastAsia" w:ascii="Times New Roman" w:hAnsi="Times New Roman" w:eastAsia="仿宋_GB2312" w:cs="Times New Roman"/>
          <w:b/>
          <w:color w:val="auto"/>
          <w:kern w:val="2"/>
          <w:sz w:val="28"/>
          <w:szCs w:val="22"/>
          <w:highlight w:val="none"/>
          <w:lang w:val="en-US" w:eastAsia="zh-CN" w:bidi="ar-SA"/>
        </w:rPr>
        <w:t>3.满意度指标完成情况分析</w:t>
      </w:r>
    </w:p>
    <w:p w14:paraId="4DD01B8E">
      <w:pPr>
        <w:spacing w:line="560" w:lineRule="exact"/>
        <w:ind w:firstLine="544" w:firstLineChars="200"/>
        <w:rPr>
          <w:rFonts w:ascii="仿宋_GB2312" w:hAnsi="Times New Roman" w:eastAsia="仿宋_GB2312" w:cs="Times New Roman"/>
          <w:bCs/>
          <w:spacing w:val="-4"/>
          <w:sz w:val="28"/>
          <w:szCs w:val="28"/>
          <w:highlight w:val="none"/>
        </w:rPr>
      </w:pPr>
      <w:r>
        <w:rPr>
          <w:rFonts w:hint="eastAsia" w:ascii="仿宋_GB2312" w:hAnsi="Times New Roman" w:eastAsia="仿宋_GB2312" w:cs="Times New Roman"/>
          <w:bCs/>
          <w:spacing w:val="-4"/>
          <w:sz w:val="28"/>
          <w:szCs w:val="28"/>
          <w:highlight w:val="none"/>
        </w:rPr>
        <w:t>“项目</w:t>
      </w:r>
      <w:r>
        <w:rPr>
          <w:rFonts w:hint="eastAsia" w:ascii="仿宋_GB2312" w:hAnsi="Times New Roman" w:eastAsia="仿宋_GB2312" w:cs="Times New Roman"/>
          <w:bCs/>
          <w:spacing w:val="-4"/>
          <w:sz w:val="28"/>
          <w:szCs w:val="28"/>
          <w:highlight w:val="none"/>
          <w:lang w:val="en-US" w:eastAsia="zh-CN"/>
        </w:rPr>
        <w:t>受益村</w:t>
      </w:r>
      <w:r>
        <w:rPr>
          <w:rFonts w:hint="eastAsia" w:ascii="仿宋_GB2312" w:hAnsi="Times New Roman" w:eastAsia="仿宋_GB2312" w:cs="Times New Roman"/>
          <w:bCs/>
          <w:spacing w:val="-4"/>
          <w:sz w:val="28"/>
          <w:szCs w:val="28"/>
          <w:highlight w:val="none"/>
        </w:rPr>
        <w:t>民满意度”指标，指标预期指标值为</w:t>
      </w:r>
      <w:r>
        <w:rPr>
          <w:rFonts w:hint="eastAsia" w:ascii="仿宋_GB2312" w:hAnsi="Times New Roman" w:eastAsia="仿宋_GB2312" w:cs="Times New Roman"/>
          <w:bCs/>
          <w:spacing w:val="-4"/>
          <w:sz w:val="28"/>
          <w:szCs w:val="28"/>
          <w:highlight w:val="none"/>
          <w:lang w:eastAsia="zh-CN"/>
        </w:rPr>
        <w:t>大于等于</w:t>
      </w:r>
      <w:r>
        <w:rPr>
          <w:rFonts w:hint="eastAsia" w:ascii="仿宋_GB2312" w:hAnsi="Times New Roman" w:eastAsia="仿宋_GB2312" w:cs="Times New Roman"/>
          <w:bCs/>
          <w:spacing w:val="-4"/>
          <w:sz w:val="28"/>
          <w:szCs w:val="28"/>
          <w:highlight w:val="none"/>
        </w:rPr>
        <w:t>95%，实际完成值为95%，指标完成率为100.00%。所设分值10分，实际得分10分。</w:t>
      </w:r>
    </w:p>
    <w:p w14:paraId="26F2D4B8">
      <w:pPr>
        <w:pStyle w:val="31"/>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项目实施完成后我单位就该项目的满意度采取抽样发放调查问卷的方式开展调查，通过对调查问卷的梳理和统计，满意度指标综合满意率为95.00%。</w:t>
      </w:r>
    </w:p>
    <w:p w14:paraId="3EF7D3D1">
      <w:pPr>
        <w:pStyle w:val="31"/>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1A7E79FE">
      <w:pPr>
        <w:pStyle w:val="54"/>
        <w:spacing w:line="560" w:lineRule="exact"/>
        <w:ind w:left="3" w:right="3" w:firstLine="552"/>
        <w:rPr>
          <w:rFonts w:hint="eastAsia"/>
          <w:color w:val="auto"/>
          <w:highlight w:val="none"/>
        </w:rPr>
      </w:pPr>
      <w:r>
        <w:rPr>
          <w:rFonts w:hint="eastAsia" w:ascii="仿宋_GB2312"/>
          <w:color w:val="auto"/>
          <w:spacing w:val="-4"/>
          <w:szCs w:val="32"/>
          <w:highlight w:val="none"/>
        </w:rPr>
        <w:t>1.</w:t>
      </w:r>
      <w:r>
        <w:rPr>
          <w:rFonts w:hint="eastAsia" w:ascii="仿宋_GB2312"/>
          <w:color w:val="auto"/>
          <w:spacing w:val="-4"/>
          <w:szCs w:val="32"/>
          <w:highlight w:val="none"/>
          <w:lang w:val="en-US" w:eastAsia="zh-CN"/>
        </w:rPr>
        <w:t>时效指标-</w:t>
      </w: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8</w:t>
      </w:r>
      <w:r>
        <w:rPr>
          <w:rFonts w:hint="eastAsia"/>
          <w:color w:val="auto"/>
          <w:highlight w:val="none"/>
        </w:rPr>
        <w:t>月</w:t>
      </w:r>
      <w:r>
        <w:rPr>
          <w:rFonts w:hint="eastAsia"/>
          <w:color w:val="auto"/>
          <w:highlight w:val="none"/>
          <w:lang w:eastAsia="zh-CN"/>
        </w:rPr>
        <w:t>，</w:t>
      </w:r>
      <w:r>
        <w:rPr>
          <w:rFonts w:hint="eastAsia"/>
          <w:color w:val="auto"/>
          <w:highlight w:val="none"/>
        </w:rPr>
        <w:t>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11</w:t>
      </w:r>
      <w:r>
        <w:rPr>
          <w:rFonts w:hint="eastAsia"/>
          <w:color w:val="auto"/>
          <w:highlight w:val="none"/>
        </w:rPr>
        <w:t>月。</w:t>
      </w:r>
    </w:p>
    <w:p w14:paraId="23BBBCBB">
      <w:pPr>
        <w:pStyle w:val="54"/>
        <w:spacing w:line="560" w:lineRule="exact"/>
        <w:ind w:left="3" w:right="3" w:firstLine="552"/>
        <w:rPr>
          <w:rFonts w:hint="eastAsia"/>
          <w:color w:val="auto"/>
          <w:highlight w:val="none"/>
        </w:rPr>
      </w:pPr>
      <w:r>
        <w:rPr>
          <w:rFonts w:hint="eastAsia"/>
          <w:color w:val="auto"/>
          <w:highlight w:val="none"/>
        </w:rPr>
        <w:t>偏差原因：由于前期批复及办理相关手续迟缓，招投标推迟，导致开工时间延迟。改进措施：后续加强项目进度实时监督，促进项目按时开工。</w:t>
      </w:r>
    </w:p>
    <w:p w14:paraId="69BF1AD6">
      <w:pPr>
        <w:pStyle w:val="54"/>
        <w:numPr>
          <w:ilvl w:val="0"/>
          <w:numId w:val="1"/>
        </w:numPr>
        <w:spacing w:line="560" w:lineRule="exact"/>
        <w:ind w:left="3" w:right="3" w:firstLine="552"/>
        <w:rPr>
          <w:rFonts w:hint="eastAsia"/>
          <w:color w:val="auto"/>
          <w:highlight w:val="none"/>
        </w:rPr>
      </w:pPr>
      <w:r>
        <w:rPr>
          <w:rFonts w:hint="eastAsia"/>
          <w:color w:val="auto"/>
          <w:highlight w:val="none"/>
          <w:lang w:val="en-US" w:eastAsia="zh-CN"/>
        </w:rPr>
        <w:t>成本指标-</w:t>
      </w:r>
      <w:r>
        <w:rPr>
          <w:rFonts w:hint="eastAsia"/>
          <w:color w:val="auto"/>
          <w:highlight w:val="none"/>
        </w:rPr>
        <w:t>“工程</w:t>
      </w:r>
      <w:r>
        <w:rPr>
          <w:rFonts w:hint="eastAsia"/>
          <w:color w:val="auto"/>
          <w:highlight w:val="none"/>
          <w:lang w:val="en-US" w:eastAsia="zh-CN"/>
        </w:rPr>
        <w:t>安装</w:t>
      </w:r>
      <w:r>
        <w:rPr>
          <w:rFonts w:hint="eastAsia"/>
          <w:color w:val="auto"/>
          <w:highlight w:val="none"/>
        </w:rPr>
        <w:t>费用”指标，预期指标值为</w:t>
      </w:r>
      <w:r>
        <w:rPr>
          <w:rFonts w:hint="eastAsia"/>
          <w:color w:val="auto"/>
          <w:highlight w:val="none"/>
          <w:lang w:eastAsia="zh-CN"/>
        </w:rPr>
        <w:t>小于等于</w:t>
      </w:r>
      <w:r>
        <w:rPr>
          <w:rFonts w:hint="eastAsia"/>
          <w:color w:val="auto"/>
          <w:highlight w:val="none"/>
          <w:lang w:val="en-US" w:eastAsia="zh-CN"/>
        </w:rPr>
        <w:t>698.58</w:t>
      </w:r>
      <w:r>
        <w:rPr>
          <w:rFonts w:hint="eastAsia"/>
          <w:color w:val="auto"/>
          <w:highlight w:val="none"/>
        </w:rPr>
        <w:t>万元, 全年实际值为</w:t>
      </w:r>
      <w:r>
        <w:rPr>
          <w:rFonts w:hint="eastAsia"/>
          <w:color w:val="auto"/>
          <w:highlight w:val="none"/>
          <w:lang w:val="en-US" w:eastAsia="zh-CN"/>
        </w:rPr>
        <w:t>716.68</w:t>
      </w:r>
      <w:r>
        <w:rPr>
          <w:rFonts w:hint="eastAsia"/>
          <w:color w:val="auto"/>
          <w:highlight w:val="none"/>
        </w:rPr>
        <w:t>万元。</w:t>
      </w:r>
    </w:p>
    <w:p w14:paraId="19BA92BC">
      <w:pPr>
        <w:pStyle w:val="54"/>
        <w:numPr>
          <w:ilvl w:val="0"/>
          <w:numId w:val="0"/>
        </w:numPr>
        <w:spacing w:line="560" w:lineRule="exact"/>
        <w:ind w:right="3" w:rightChars="1" w:firstLine="560" w:firstLineChars="200"/>
        <w:rPr>
          <w:rFonts w:hint="eastAsia" w:ascii="仿宋_GB2312"/>
          <w:color w:val="auto"/>
          <w:spacing w:val="-4"/>
          <w:szCs w:val="32"/>
          <w:highlight w:val="none"/>
        </w:rPr>
      </w:pPr>
      <w:r>
        <w:rPr>
          <w:rFonts w:hint="eastAsia"/>
          <w:color w:val="auto"/>
          <w:highlight w:val="none"/>
          <w:lang w:val="en-US" w:eastAsia="zh-CN"/>
        </w:rPr>
        <w:t>偏差原因：项目根据实际需求实际工程费用增加，其他费用减少。改进措施：加强项目资金管理。</w:t>
      </w:r>
    </w:p>
    <w:p w14:paraId="25DDC5D1">
      <w:pPr>
        <w:pStyle w:val="31"/>
        <w:spacing w:before="120"/>
        <w:ind w:right="3" w:firstLine="562" w:firstLineChars="200"/>
        <w:rPr>
          <w:color w:val="auto"/>
          <w:highlight w:val="none"/>
        </w:rPr>
      </w:pPr>
      <w:r>
        <w:rPr>
          <w:rFonts w:hint="eastAsia"/>
          <w:color w:val="auto"/>
          <w:highlight w:val="none"/>
        </w:rPr>
        <w:t>五、绩效自评结果拟应用和公开情况</w:t>
      </w:r>
    </w:p>
    <w:p w14:paraId="4105D642">
      <w:pPr>
        <w:pStyle w:val="54"/>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木尕拉镇壮大村集体经济建设项目</w:t>
      </w:r>
      <w:r>
        <w:rPr>
          <w:rFonts w:hint="eastAsia" w:ascii="仿宋_GB2312"/>
          <w:color w:val="auto"/>
          <w:highlight w:val="none"/>
        </w:rPr>
        <w:t>资金的使用效率和效果，从而得出以下综合评价结论：在绩效目标方面，本项目</w:t>
      </w:r>
      <w:r>
        <w:rPr>
          <w:rFonts w:hint="eastAsia" w:ascii="仿宋_GB2312"/>
          <w:color w:val="auto"/>
          <w:szCs w:val="32"/>
          <w:highlight w:val="none"/>
        </w:rPr>
        <w:t>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w:t>
      </w:r>
      <w:r>
        <w:rPr>
          <w:rFonts w:hint="eastAsia" w:ascii="仿宋_GB2312"/>
          <w:color w:val="auto"/>
          <w:szCs w:val="32"/>
          <w:highlight w:val="none"/>
          <w:lang w:val="en-US" w:eastAsia="zh-CN"/>
        </w:rPr>
        <w:t>14</w:t>
      </w:r>
      <w:r>
        <w:rPr>
          <w:rFonts w:hint="eastAsia" w:ascii="仿宋_GB2312"/>
          <w:color w:val="auto"/>
          <w:szCs w:val="32"/>
          <w:highlight w:val="none"/>
        </w:rPr>
        <w:t>个,</w:t>
      </w:r>
      <w:r>
        <w:rPr>
          <w:rFonts w:hint="eastAsia" w:ascii="仿宋_GB2312"/>
          <w:color w:val="auto"/>
          <w:highlight w:val="none"/>
        </w:rPr>
        <w:t>其中已完成三级指标</w:t>
      </w:r>
      <w:r>
        <w:rPr>
          <w:rFonts w:hint="eastAsia" w:ascii="仿宋_GB2312"/>
          <w:color w:val="auto"/>
          <w:highlight w:val="none"/>
          <w:lang w:val="en-US" w:eastAsia="zh-CN"/>
        </w:rPr>
        <w:t>14</w:t>
      </w:r>
      <w:r>
        <w:rPr>
          <w:rFonts w:hint="eastAsia" w:ascii="仿宋_GB2312"/>
          <w:color w:val="auto"/>
          <w:highlight w:val="none"/>
        </w:rPr>
        <w:t>个，指标完成率为</w:t>
      </w:r>
      <w:r>
        <w:rPr>
          <w:rFonts w:hint="eastAsia" w:ascii="仿宋_GB2312"/>
          <w:color w:val="auto"/>
          <w:highlight w:val="none"/>
          <w:lang w:val="en-US" w:eastAsia="zh-CN"/>
        </w:rPr>
        <w:t>95.03</w:t>
      </w:r>
      <w:r>
        <w:rPr>
          <w:rFonts w:hint="eastAsia" w:ascii="仿宋_GB2312"/>
          <w:color w:val="auto"/>
          <w:highlight w:val="none"/>
        </w:rPr>
        <w:t>%；在资金使用方面，严格按照《于田县</w:t>
      </w:r>
      <w:r>
        <w:rPr>
          <w:rFonts w:hint="eastAsia" w:ascii="仿宋_GB2312"/>
          <w:color w:val="auto"/>
          <w:highlight w:val="none"/>
          <w:lang w:val="en-US" w:eastAsia="zh-CN"/>
        </w:rPr>
        <w:t>衔接</w:t>
      </w:r>
      <w:r>
        <w:rPr>
          <w:rFonts w:hint="eastAsia" w:ascii="仿宋_GB2312"/>
          <w:color w:val="auto"/>
          <w:highlight w:val="none"/>
        </w:rPr>
        <w:t>资金财务管理制度》、《于田县木尕拉镇人民政府财务管理制度》执行，保障了资金使用规范、安全，无挪用、截留资金的情况发生。在项目管理方面，制定了《</w:t>
      </w:r>
      <w:r>
        <w:rPr>
          <w:rFonts w:hint="eastAsia" w:ascii="仿宋_GB2312"/>
          <w:color w:val="auto"/>
          <w:highlight w:val="none"/>
          <w:lang w:eastAsia="zh-CN"/>
        </w:rPr>
        <w:t>木尕拉镇壮大村集体经济建设项目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02301D83">
      <w:pPr>
        <w:pStyle w:val="54"/>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96.11</w:t>
      </w:r>
      <w:r>
        <w:rPr>
          <w:rFonts w:hint="eastAsia" w:ascii="仿宋_GB2312"/>
          <w:color w:val="auto"/>
          <w:highlight w:val="none"/>
        </w:rPr>
        <w:t>分，评价等级为优。</w:t>
      </w:r>
    </w:p>
    <w:p w14:paraId="229E3C44">
      <w:pPr>
        <w:pStyle w:val="54"/>
        <w:spacing w:line="560" w:lineRule="exact"/>
        <w:ind w:left="3" w:right="3" w:firstLine="554"/>
        <w:rPr>
          <w:rStyle w:val="21"/>
          <w:rFonts w:ascii="楷体_GB2312" w:hAnsi="楷体"/>
          <w:color w:val="auto"/>
          <w:spacing w:val="-4"/>
          <w:szCs w:val="32"/>
          <w:highlight w:val="none"/>
        </w:rPr>
      </w:pPr>
      <w:r>
        <w:rPr>
          <w:rStyle w:val="21"/>
          <w:rFonts w:hint="eastAsia" w:ascii="楷体_GB2312" w:hAnsi="楷体"/>
          <w:color w:val="auto"/>
          <w:spacing w:val="-4"/>
          <w:szCs w:val="32"/>
          <w:highlight w:val="none"/>
        </w:rPr>
        <w:t>（一）绩效自评结果拟应用情况</w:t>
      </w:r>
    </w:p>
    <w:p w14:paraId="5BC8E368">
      <w:pPr>
        <w:pStyle w:val="54"/>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7B0D9C0C">
      <w:pPr>
        <w:spacing w:line="560" w:lineRule="exact"/>
        <w:ind w:firstLine="546" w:firstLineChars="200"/>
        <w:rPr>
          <w:rStyle w:val="21"/>
          <w:rFonts w:ascii="楷体_GB2312" w:hAnsi="楷体" w:cs="Times New Roman"/>
          <w:spacing w:val="-4"/>
          <w:sz w:val="28"/>
          <w:szCs w:val="32"/>
          <w:highlight w:val="none"/>
        </w:rPr>
      </w:pPr>
      <w:r>
        <w:rPr>
          <w:rStyle w:val="21"/>
          <w:rFonts w:hint="eastAsia" w:ascii="楷体_GB2312" w:hAnsi="楷体" w:cs="Times New Roman"/>
          <w:spacing w:val="-4"/>
          <w:sz w:val="28"/>
          <w:szCs w:val="32"/>
          <w:highlight w:val="none"/>
        </w:rPr>
        <w:t>（二）指标佐证材料说明</w:t>
      </w:r>
    </w:p>
    <w:p w14:paraId="7E40A72C">
      <w:pPr>
        <w:pStyle w:val="54"/>
        <w:spacing w:line="560" w:lineRule="exact"/>
        <w:ind w:left="3" w:right="3" w:firstLine="560"/>
        <w:rPr>
          <w:rFonts w:ascii="仿宋_GB2312"/>
          <w:color w:val="auto"/>
          <w:highlight w:val="none"/>
        </w:rPr>
      </w:pPr>
      <w:r>
        <w:rPr>
          <w:rFonts w:hint="eastAsia" w:ascii="仿宋_GB2312"/>
          <w:color w:val="auto"/>
          <w:highlight w:val="none"/>
        </w:rPr>
        <w:t>项目状况：于田县木尕拉镇人民政府</w:t>
      </w:r>
      <w:r>
        <w:rPr>
          <w:rFonts w:hint="eastAsia" w:ascii="仿宋_GB2312"/>
          <w:color w:val="auto"/>
          <w:highlight w:val="none"/>
          <w:lang w:val="en-US" w:eastAsia="zh-CN"/>
        </w:rPr>
        <w:t>委托设计院</w:t>
      </w:r>
      <w:r>
        <w:rPr>
          <w:rFonts w:hint="eastAsia" w:ascii="仿宋_GB2312"/>
          <w:color w:val="auto"/>
          <w:highlight w:val="none"/>
        </w:rPr>
        <w:t>负责项目的实施方案</w:t>
      </w:r>
      <w:r>
        <w:rPr>
          <w:rFonts w:hint="eastAsia" w:ascii="仿宋_GB2312"/>
          <w:color w:val="auto"/>
          <w:highlight w:val="none"/>
          <w:lang w:val="en-US" w:eastAsia="zh-CN"/>
        </w:rPr>
        <w:t>编制</w:t>
      </w:r>
      <w:r>
        <w:rPr>
          <w:rFonts w:hint="eastAsia" w:ascii="仿宋_GB2312"/>
          <w:color w:val="auto"/>
          <w:highlight w:val="none"/>
        </w:rPr>
        <w:t>，并由</w:t>
      </w:r>
      <w:r>
        <w:rPr>
          <w:rFonts w:hint="eastAsia" w:ascii="仿宋_GB2312"/>
          <w:color w:val="auto"/>
          <w:szCs w:val="32"/>
          <w:highlight w:val="none"/>
        </w:rPr>
        <w:t>于田</w:t>
      </w:r>
      <w:r>
        <w:rPr>
          <w:rFonts w:hint="eastAsia" w:ascii="仿宋_GB2312"/>
          <w:color w:val="auto"/>
          <w:szCs w:val="32"/>
          <w:highlight w:val="none"/>
          <w:lang w:eastAsia="zh-CN"/>
        </w:rPr>
        <w:t>县发展和改革委员会</w:t>
      </w:r>
      <w:r>
        <w:rPr>
          <w:rFonts w:hint="eastAsia" w:ascii="仿宋_GB2312"/>
          <w:color w:val="auto"/>
          <w:szCs w:val="32"/>
          <w:highlight w:val="none"/>
          <w:lang w:val="en-US" w:eastAsia="zh-CN"/>
        </w:rPr>
        <w:t>会审核</w:t>
      </w:r>
      <w:r>
        <w:rPr>
          <w:rFonts w:hint="eastAsia" w:ascii="仿宋_GB2312"/>
          <w:color w:val="auto"/>
          <w:szCs w:val="32"/>
          <w:highlight w:val="none"/>
        </w:rPr>
        <w:t>下发的《关于</w:t>
      </w:r>
      <w:r>
        <w:rPr>
          <w:rFonts w:hint="eastAsia" w:ascii="仿宋_GB2312"/>
          <w:color w:val="auto"/>
          <w:szCs w:val="32"/>
          <w:highlight w:val="none"/>
          <w:lang w:eastAsia="zh-CN"/>
        </w:rPr>
        <w:t>木尕拉镇壮大村集体经济建设项目</w:t>
      </w:r>
      <w:r>
        <w:rPr>
          <w:rFonts w:hint="eastAsia" w:ascii="仿宋_GB2312" w:eastAsia="仿宋"/>
          <w:color w:val="auto"/>
          <w:szCs w:val="32"/>
          <w:highlight w:val="none"/>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发改农经</w:t>
      </w:r>
      <w:r>
        <w:rPr>
          <w:rFonts w:hint="eastAsia" w:ascii="仿宋_GB2312"/>
          <w:color w:val="auto"/>
          <w:szCs w:val="32"/>
          <w:highlight w:val="none"/>
        </w:rPr>
        <w:t>[20</w:t>
      </w:r>
      <w:r>
        <w:rPr>
          <w:rFonts w:hint="eastAsia" w:ascii="仿宋_GB2312"/>
          <w:color w:val="auto"/>
          <w:szCs w:val="32"/>
          <w:highlight w:val="none"/>
          <w:lang w:val="en-US" w:eastAsia="zh-CN"/>
        </w:rPr>
        <w:t>24</w:t>
      </w:r>
      <w:r>
        <w:rPr>
          <w:rFonts w:hint="eastAsia" w:ascii="仿宋_GB2312"/>
          <w:color w:val="auto"/>
          <w:szCs w:val="32"/>
          <w:highlight w:val="none"/>
        </w:rPr>
        <w:t>]</w:t>
      </w:r>
      <w:r>
        <w:rPr>
          <w:rFonts w:hint="eastAsia" w:ascii="仿宋_GB2312"/>
          <w:color w:val="auto"/>
          <w:szCs w:val="32"/>
          <w:highlight w:val="none"/>
          <w:lang w:val="en-US" w:eastAsia="zh-CN"/>
        </w:rPr>
        <w:t>32</w:t>
      </w:r>
      <w:r>
        <w:rPr>
          <w:rFonts w:hint="eastAsia" w:ascii="仿宋_GB2312"/>
          <w:color w:val="auto"/>
          <w:szCs w:val="32"/>
          <w:highlight w:val="none"/>
        </w:rPr>
        <w:t>号</w:t>
      </w:r>
      <w:r>
        <w:rPr>
          <w:rFonts w:hint="eastAsia" w:ascii="仿宋_GB2312"/>
          <w:color w:val="auto"/>
          <w:highlight w:val="none"/>
        </w:rPr>
        <w:t>）。</w:t>
      </w:r>
    </w:p>
    <w:p w14:paraId="719A4B05">
      <w:pPr>
        <w:pStyle w:val="54"/>
        <w:spacing w:line="560" w:lineRule="exact"/>
        <w:ind w:left="3" w:right="3" w:firstLine="560"/>
        <w:rPr>
          <w:rFonts w:hint="eastAsia" w:ascii="仿宋_GB2312"/>
          <w:color w:val="auto"/>
          <w:highlight w:val="none"/>
        </w:rPr>
      </w:pPr>
      <w:r>
        <w:rPr>
          <w:rFonts w:hint="eastAsia" w:ascii="仿宋_GB2312"/>
          <w:color w:val="auto"/>
          <w:highlight w:val="none"/>
        </w:rPr>
        <w:t>资金状况：预算资金来源为以乡村振兴衔接资金，文件依据：</w:t>
      </w:r>
      <w:r>
        <w:rPr>
          <w:rFonts w:hint="eastAsia" w:ascii="仿宋_GB2312"/>
          <w:color w:val="auto"/>
          <w:highlight w:val="none"/>
          <w:lang w:val="en-US" w:eastAsia="zh-CN"/>
        </w:rPr>
        <w:t>和地财农</w:t>
      </w:r>
      <w:r>
        <w:rPr>
          <w:rFonts w:hint="eastAsia" w:ascii="仿宋_GB2312"/>
          <w:color w:val="auto"/>
          <w:highlight w:val="none"/>
        </w:rPr>
        <w:t>[</w:t>
      </w:r>
      <w:r>
        <w:rPr>
          <w:rFonts w:hint="eastAsia" w:ascii="仿宋_GB2312"/>
          <w:color w:val="auto"/>
          <w:highlight w:val="none"/>
          <w:lang w:val="en-US" w:eastAsia="zh-CN"/>
        </w:rPr>
        <w:t>2023</w:t>
      </w:r>
      <w:r>
        <w:rPr>
          <w:rFonts w:hint="eastAsia" w:ascii="仿宋_GB2312"/>
          <w:color w:val="auto"/>
          <w:highlight w:val="none"/>
        </w:rPr>
        <w:t>]</w:t>
      </w:r>
      <w:r>
        <w:rPr>
          <w:rFonts w:hint="eastAsia" w:ascii="仿宋_GB2312"/>
          <w:color w:val="auto"/>
          <w:highlight w:val="none"/>
          <w:lang w:val="en-US" w:eastAsia="zh-CN"/>
        </w:rPr>
        <w:t>48号资金到位文件，</w:t>
      </w:r>
      <w:r>
        <w:rPr>
          <w:rFonts w:hint="eastAsia" w:ascii="仿宋_GB2312"/>
          <w:color w:val="auto"/>
          <w:highlight w:val="none"/>
        </w:rPr>
        <w:t>关于对</w:t>
      </w:r>
      <w:r>
        <w:rPr>
          <w:rFonts w:hint="eastAsia" w:ascii="仿宋" w:hAnsi="仿宋" w:eastAsia="仿宋" w:cs="仿宋"/>
          <w:bCs/>
          <w:color w:val="auto"/>
          <w:kern w:val="0"/>
          <w:highlight w:val="none"/>
          <w:lang w:eastAsia="zh-CN"/>
        </w:rPr>
        <w:t>木尕拉镇壮大村集体经济建设项目</w:t>
      </w:r>
      <w:r>
        <w:rPr>
          <w:rFonts w:hint="eastAsia" w:ascii="仿宋" w:hAnsi="仿宋" w:eastAsia="仿宋" w:cs="仿宋"/>
          <w:bCs/>
          <w:color w:val="auto"/>
          <w:kern w:val="0"/>
          <w:highlight w:val="none"/>
        </w:rPr>
        <w:t>实施</w:t>
      </w:r>
      <w:r>
        <w:rPr>
          <w:rFonts w:hint="eastAsia" w:ascii="仿宋_GB2312"/>
          <w:color w:val="auto"/>
          <w:highlight w:val="none"/>
        </w:rPr>
        <w:t>方案的批复》（于</w:t>
      </w:r>
      <w:r>
        <w:rPr>
          <w:rFonts w:hint="eastAsia" w:ascii="仿宋_GB2312"/>
          <w:color w:val="auto"/>
          <w:highlight w:val="none"/>
          <w:lang w:val="en-US" w:eastAsia="zh-CN"/>
        </w:rPr>
        <w:t>发改农经</w:t>
      </w:r>
      <w:bookmarkStart w:id="3" w:name="OLE_LINK4"/>
      <w:r>
        <w:rPr>
          <w:rFonts w:hint="eastAsia" w:ascii="仿宋_GB2312"/>
          <w:color w:val="auto"/>
          <w:highlight w:val="none"/>
        </w:rPr>
        <w:t>[</w:t>
      </w:r>
      <w:bookmarkEnd w:id="3"/>
      <w:r>
        <w:rPr>
          <w:rFonts w:hint="eastAsia" w:ascii="仿宋_GB2312"/>
          <w:color w:val="auto"/>
          <w:highlight w:val="none"/>
        </w:rPr>
        <w:t>20</w:t>
      </w:r>
      <w:r>
        <w:rPr>
          <w:rFonts w:hint="eastAsia" w:ascii="仿宋_GB2312"/>
          <w:color w:val="auto"/>
          <w:highlight w:val="none"/>
          <w:lang w:val="en-US" w:eastAsia="zh-CN"/>
        </w:rPr>
        <w:t>24</w:t>
      </w:r>
      <w:bookmarkStart w:id="4" w:name="OLE_LINK5"/>
      <w:r>
        <w:rPr>
          <w:rFonts w:hint="eastAsia" w:ascii="仿宋_GB2312"/>
          <w:color w:val="auto"/>
          <w:highlight w:val="none"/>
        </w:rPr>
        <w:t>]</w:t>
      </w:r>
      <w:bookmarkEnd w:id="4"/>
      <w:r>
        <w:rPr>
          <w:rFonts w:hint="eastAsia" w:ascii="仿宋_GB2312"/>
          <w:color w:val="auto"/>
          <w:highlight w:val="none"/>
          <w:lang w:val="en-US" w:eastAsia="zh-CN"/>
        </w:rPr>
        <w:t>32</w:t>
      </w:r>
      <w:r>
        <w:rPr>
          <w:rFonts w:hint="eastAsia" w:ascii="仿宋_GB2312"/>
          <w:color w:val="auto"/>
          <w:highlight w:val="none"/>
        </w:rPr>
        <w:t>号）。</w:t>
      </w:r>
    </w:p>
    <w:p w14:paraId="392835C4">
      <w:pPr>
        <w:pStyle w:val="54"/>
        <w:spacing w:line="560" w:lineRule="exact"/>
        <w:ind w:left="3" w:right="3" w:firstLine="560"/>
        <w:rPr>
          <w:rFonts w:ascii="仿宋_GB2312"/>
          <w:color w:val="auto"/>
          <w:highlight w:val="yellow"/>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6</w:t>
      </w:r>
      <w:r>
        <w:rPr>
          <w:rFonts w:hint="eastAsia" w:ascii="仿宋_GB2312"/>
          <w:color w:val="auto"/>
          <w:highlight w:val="none"/>
        </w:rPr>
        <w:t>月制订实施方案并得到批复，202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7</w:t>
      </w:r>
      <w:r>
        <w:rPr>
          <w:rFonts w:hint="eastAsia" w:ascii="仿宋_GB2312"/>
          <w:color w:val="auto"/>
          <w:highlight w:val="none"/>
        </w:rPr>
        <w:t>月</w:t>
      </w:r>
      <w:r>
        <w:rPr>
          <w:rFonts w:hint="eastAsia" w:ascii="仿宋_GB2312"/>
          <w:color w:val="auto"/>
          <w:highlight w:val="none"/>
          <w:lang w:val="en-US" w:eastAsia="zh-CN"/>
        </w:rPr>
        <w:t>23</w:t>
      </w:r>
      <w:r>
        <w:rPr>
          <w:rFonts w:hint="eastAsia" w:ascii="仿宋_GB2312"/>
          <w:color w:val="auto"/>
          <w:highlight w:val="none"/>
        </w:rPr>
        <w:t>日发布招标公告进行招标，202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11</w:t>
      </w:r>
      <w:r>
        <w:rPr>
          <w:rFonts w:hint="eastAsia" w:ascii="仿宋_GB2312"/>
          <w:color w:val="auto"/>
          <w:highlight w:val="none"/>
        </w:rPr>
        <w:t>月完工。</w:t>
      </w:r>
    </w:p>
    <w:p w14:paraId="1075A4B5">
      <w:pPr>
        <w:pStyle w:val="54"/>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12</w:t>
      </w:r>
      <w:r>
        <w:rPr>
          <w:rFonts w:hint="eastAsia" w:ascii="仿宋_GB2312"/>
          <w:color w:val="auto"/>
          <w:highlight w:val="none"/>
        </w:rPr>
        <w:t>月</w:t>
      </w:r>
      <w:r>
        <w:rPr>
          <w:rFonts w:hint="eastAsia" w:ascii="仿宋_GB2312"/>
          <w:color w:val="auto"/>
          <w:highlight w:val="none"/>
          <w:lang w:val="en-US" w:eastAsia="zh-CN"/>
        </w:rPr>
        <w:t>13</w:t>
      </w:r>
      <w:r>
        <w:rPr>
          <w:rFonts w:hint="eastAsia" w:ascii="仿宋_GB2312"/>
          <w:color w:val="auto"/>
          <w:highlight w:val="none"/>
        </w:rPr>
        <w:t>日由</w:t>
      </w:r>
      <w:r>
        <w:rPr>
          <w:rFonts w:hint="eastAsia" w:ascii="仿宋_GB2312"/>
          <w:color w:val="auto"/>
          <w:highlight w:val="none"/>
          <w:lang w:val="en-US" w:eastAsia="zh-CN"/>
        </w:rPr>
        <w:t>于田县发展和改革委员会会</w:t>
      </w:r>
      <w:r>
        <w:rPr>
          <w:rFonts w:hint="eastAsia" w:ascii="仿宋_GB2312"/>
          <w:color w:val="auto"/>
          <w:highlight w:val="none"/>
          <w:lang w:eastAsia="zh-CN"/>
        </w:rPr>
        <w:t>，</w:t>
      </w:r>
      <w:r>
        <w:rPr>
          <w:rFonts w:hint="eastAsia" w:ascii="仿宋_GB2312"/>
          <w:color w:val="auto"/>
          <w:highlight w:val="none"/>
          <w:lang w:val="en-US" w:eastAsia="zh-CN"/>
        </w:rPr>
        <w:t>住房和城乡建设局、农业农村局、组织部、财政</w:t>
      </w:r>
      <w:r>
        <w:rPr>
          <w:rFonts w:hint="eastAsia" w:ascii="仿宋_GB2312"/>
          <w:color w:val="auto"/>
          <w:highlight w:val="none"/>
          <w:lang w:eastAsia="zh-CN"/>
        </w:rPr>
        <w:t>局</w:t>
      </w:r>
      <w:r>
        <w:rPr>
          <w:rFonts w:hint="eastAsia" w:ascii="仿宋_GB2312"/>
          <w:color w:val="auto"/>
          <w:highlight w:val="none"/>
        </w:rPr>
        <w:t>、</w:t>
      </w:r>
      <w:r>
        <w:rPr>
          <w:rFonts w:hint="eastAsia" w:ascii="仿宋_GB2312"/>
          <w:color w:val="auto"/>
          <w:highlight w:val="none"/>
          <w:lang w:val="en-US" w:eastAsia="zh-CN"/>
        </w:rPr>
        <w:t>档案局</w:t>
      </w:r>
      <w:r>
        <w:rPr>
          <w:rFonts w:hint="eastAsia" w:ascii="仿宋_GB2312"/>
          <w:color w:val="auto"/>
          <w:highlight w:val="none"/>
        </w:rPr>
        <w:t>等和参建单位联合竣工验收结果状况：合格。</w:t>
      </w:r>
    </w:p>
    <w:p w14:paraId="3F501352">
      <w:pPr>
        <w:pStyle w:val="54"/>
        <w:spacing w:line="560" w:lineRule="exact"/>
        <w:ind w:left="3" w:right="3" w:firstLine="562"/>
        <w:rPr>
          <w:rStyle w:val="21"/>
          <w:rFonts w:ascii="楷体_GB2312"/>
          <w:color w:val="auto"/>
          <w:highlight w:val="none"/>
        </w:rPr>
      </w:pPr>
      <w:r>
        <w:rPr>
          <w:rStyle w:val="21"/>
          <w:rFonts w:hint="eastAsia" w:ascii="楷体_GB2312"/>
          <w:color w:val="auto"/>
          <w:highlight w:val="none"/>
        </w:rPr>
        <w:t>（三）主要经验及做法</w:t>
      </w:r>
    </w:p>
    <w:p w14:paraId="7139B3D9">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lang w:eastAsia="zh-CN"/>
        </w:rPr>
        <w:t>木尕拉镇壮大村集体经济建设项目</w:t>
      </w:r>
      <w:r>
        <w:rPr>
          <w:rFonts w:hint="eastAsia" w:ascii="仿宋_GB2312" w:hAnsi="Times New Roman" w:eastAsia="仿宋_GB2312" w:cs="Times New Roman"/>
          <w:sz w:val="28"/>
          <w:highlight w:val="none"/>
        </w:rPr>
        <w:t>资金安排、使用过程中严格执行乡村振兴项目资金管理制度，确保乡村振兴</w:t>
      </w:r>
      <w:r>
        <w:rPr>
          <w:rFonts w:hint="eastAsia" w:ascii="仿宋_GB2312" w:hAnsi="Times New Roman" w:eastAsia="仿宋_GB2312" w:cs="Times New Roman"/>
          <w:sz w:val="28"/>
          <w:highlight w:val="none"/>
          <w:lang w:val="en-US" w:eastAsia="zh-CN"/>
        </w:rPr>
        <w:t>的</w:t>
      </w:r>
      <w:r>
        <w:rPr>
          <w:rFonts w:hint="eastAsia" w:ascii="仿宋_GB2312" w:hAnsi="Times New Roman" w:eastAsia="仿宋_GB2312" w:cs="Times New Roman"/>
          <w:sz w:val="28"/>
          <w:highlight w:val="none"/>
        </w:rPr>
        <w:t>项目正常运行为构建长效稳定奠定物质基础。</w:t>
      </w:r>
    </w:p>
    <w:p w14:paraId="623338D0">
      <w:pPr>
        <w:spacing w:line="560" w:lineRule="exact"/>
        <w:ind w:firstLine="562" w:firstLineChars="200"/>
        <w:rPr>
          <w:rStyle w:val="21"/>
          <w:rFonts w:ascii="楷体_GB2312"/>
          <w:sz w:val="28"/>
          <w:highlight w:val="none"/>
        </w:rPr>
      </w:pPr>
      <w:r>
        <w:rPr>
          <w:rStyle w:val="21"/>
          <w:rFonts w:hint="eastAsia" w:ascii="楷体_GB2312"/>
          <w:sz w:val="28"/>
          <w:highlight w:val="none"/>
        </w:rPr>
        <w:t>（四）存在的问题</w:t>
      </w:r>
    </w:p>
    <w:p w14:paraId="13025B1C">
      <w:pPr>
        <w:spacing w:line="560" w:lineRule="exact"/>
        <w:ind w:firstLine="560" w:firstLineChars="200"/>
        <w:rPr>
          <w:rFonts w:ascii="仿宋_GB2312" w:hAnsi="Times New Roman" w:eastAsia="仿宋_GB2312" w:cs="Times New Roman"/>
          <w:sz w:val="28"/>
          <w:highlight w:val="yellow"/>
        </w:rPr>
      </w:pPr>
      <w:r>
        <w:rPr>
          <w:rFonts w:hint="eastAsia" w:ascii="仿宋_GB2312" w:hAnsi="Times New Roman" w:eastAsia="仿宋_GB2312" w:cs="Times New Roman"/>
          <w:sz w:val="28"/>
          <w:highlight w:val="none"/>
          <w:lang w:val="en-US" w:eastAsia="zh-CN"/>
        </w:rPr>
        <w:t>木尕拉镇壮大村集体经济建设项目前期手续办理审批缓慢的问题，由于各单位年初业务繁忙，出具各类材料需要一定时间，导致办理材料缓慢，招投标后滞，开工缓慢</w:t>
      </w:r>
      <w:r>
        <w:rPr>
          <w:rFonts w:hint="eastAsia" w:ascii="仿宋_GB2312" w:hAnsi="Times New Roman" w:eastAsia="仿宋_GB2312" w:cs="Times New Roman"/>
          <w:sz w:val="28"/>
          <w:highlight w:val="none"/>
        </w:rPr>
        <w:t>。</w:t>
      </w:r>
    </w:p>
    <w:p w14:paraId="78075727">
      <w:pPr>
        <w:spacing w:line="560" w:lineRule="exact"/>
        <w:ind w:firstLine="562" w:firstLineChars="200"/>
        <w:rPr>
          <w:rStyle w:val="21"/>
          <w:rFonts w:ascii="楷体_GB2312"/>
          <w:sz w:val="28"/>
          <w:highlight w:val="none"/>
        </w:rPr>
      </w:pPr>
      <w:r>
        <w:rPr>
          <w:rStyle w:val="21"/>
          <w:rFonts w:hint="eastAsia" w:ascii="楷体_GB2312"/>
          <w:sz w:val="28"/>
          <w:highlight w:val="none"/>
        </w:rPr>
        <w:t>（五）建议</w:t>
      </w:r>
    </w:p>
    <w:p w14:paraId="30BFC237">
      <w:pPr>
        <w:spacing w:line="560" w:lineRule="exact"/>
        <w:ind w:firstLine="560" w:firstLineChars="200"/>
        <w:rPr>
          <w:rFonts w:ascii="仿宋_GB2312" w:hAnsi="Times New Roman" w:eastAsia="仿宋_GB2312" w:cs="Times New Roman"/>
          <w:sz w:val="28"/>
          <w:highlight w:val="none"/>
        </w:rPr>
      </w:pPr>
      <w:r>
        <w:rPr>
          <w:rFonts w:hint="eastAsia" w:ascii="仿宋_GB2312" w:hAnsi="Times New Roman" w:eastAsia="仿宋_GB2312" w:cs="Times New Roman"/>
          <w:sz w:val="28"/>
          <w:highlight w:val="none"/>
        </w:rPr>
        <w:t>后续要加强项目监督</w:t>
      </w:r>
      <w:r>
        <w:rPr>
          <w:rFonts w:hint="eastAsia" w:ascii="仿宋_GB2312" w:hAnsi="Times New Roman" w:eastAsia="仿宋_GB2312" w:cs="Times New Roman"/>
          <w:sz w:val="28"/>
          <w:highlight w:val="none"/>
          <w:lang w:val="en-US" w:eastAsia="zh-CN"/>
        </w:rPr>
        <w:t>管理</w:t>
      </w:r>
      <w:r>
        <w:rPr>
          <w:rFonts w:hint="eastAsia" w:ascii="仿宋_GB2312" w:hAnsi="Times New Roman" w:eastAsia="仿宋_GB2312" w:cs="Times New Roman"/>
          <w:sz w:val="28"/>
          <w:highlight w:val="none"/>
        </w:rPr>
        <w:t>力度，严格执行乡村振兴项目管理制度，确保乡村振兴项目正常运行。建立健全资产管理体制和运行机制，持续发挥资产扶持效益，确保资产运行安全，管理高效；为构建长效稳定的乡村振兴环境奠定物质基础。</w:t>
      </w:r>
    </w:p>
    <w:p w14:paraId="2691CACC">
      <w:pPr>
        <w:spacing w:line="560" w:lineRule="exact"/>
        <w:ind w:firstLine="562" w:firstLineChars="200"/>
        <w:rPr>
          <w:rStyle w:val="21"/>
          <w:rFonts w:ascii="楷体_GB2312"/>
          <w:sz w:val="28"/>
          <w:highlight w:val="none"/>
        </w:rPr>
      </w:pPr>
      <w:r>
        <w:rPr>
          <w:rStyle w:val="21"/>
          <w:rFonts w:hint="eastAsia" w:ascii="楷体_GB2312"/>
          <w:sz w:val="28"/>
          <w:highlight w:val="none"/>
        </w:rPr>
        <w:t>（六）项目绩效公告公示情况</w:t>
      </w:r>
    </w:p>
    <w:p w14:paraId="5D86EEC4">
      <w:pPr>
        <w:pStyle w:val="54"/>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w:t>
      </w:r>
      <w:r>
        <w:rPr>
          <w:rFonts w:hint="eastAsia" w:ascii="仿宋_GB2312"/>
          <w:color w:val="auto"/>
          <w:highlight w:val="none"/>
          <w:lang w:val="en-US" w:eastAsia="zh-CN"/>
        </w:rPr>
        <w:t>张贴</w:t>
      </w:r>
      <w:r>
        <w:rPr>
          <w:rFonts w:hint="eastAsia" w:ascii="仿宋_GB2312"/>
          <w:color w:val="auto"/>
          <w:highlight w:val="none"/>
        </w:rPr>
        <w:t>公示向社会</w:t>
      </w:r>
      <w:r>
        <w:rPr>
          <w:rFonts w:hint="eastAsia" w:ascii="仿宋_GB2312"/>
          <w:color w:val="auto"/>
          <w:highlight w:val="none"/>
          <w:lang w:val="en-US" w:eastAsia="zh-CN"/>
        </w:rPr>
        <w:t>群众</w:t>
      </w:r>
      <w:r>
        <w:rPr>
          <w:rFonts w:hint="eastAsia" w:ascii="仿宋_GB2312"/>
          <w:color w:val="auto"/>
          <w:highlight w:val="none"/>
        </w:rPr>
        <w:t>公开，接受社会</w:t>
      </w:r>
      <w:r>
        <w:rPr>
          <w:rFonts w:hint="eastAsia" w:ascii="仿宋_GB2312"/>
          <w:color w:val="auto"/>
          <w:highlight w:val="none"/>
          <w:lang w:val="en-US" w:eastAsia="zh-CN"/>
        </w:rPr>
        <w:t>群众的</w:t>
      </w:r>
      <w:r>
        <w:rPr>
          <w:rFonts w:hint="eastAsia" w:ascii="仿宋_GB2312"/>
          <w:color w:val="auto"/>
          <w:highlight w:val="none"/>
        </w:rPr>
        <w:t>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3BAEA138">
        <w:pPr>
          <w:pStyle w:val="15"/>
          <w:jc w:val="center"/>
        </w:pPr>
        <w:r>
          <w:fldChar w:fldCharType="begin"/>
        </w:r>
        <w:r>
          <w:instrText xml:space="preserve">PAGE   \* MERGEFORMAT</w:instrText>
        </w:r>
        <w:r>
          <w:fldChar w:fldCharType="separate"/>
        </w:r>
        <w:r>
          <w:rPr>
            <w:lang w:val="zh-CN"/>
          </w:rPr>
          <w:t>1</w:t>
        </w:r>
        <w:r>
          <w:fldChar w:fldCharType="end"/>
        </w:r>
      </w:p>
    </w:sdtContent>
  </w:sdt>
  <w:p w14:paraId="717E0996">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38AAB">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99C2AA"/>
    <w:multiLevelType w:val="singleLevel"/>
    <w:tmpl w:val="DE99C2A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3FBF"/>
    <w:rsid w:val="00407329"/>
    <w:rsid w:val="0042774A"/>
    <w:rsid w:val="00433105"/>
    <w:rsid w:val="0043529B"/>
    <w:rsid w:val="00444004"/>
    <w:rsid w:val="004447F6"/>
    <w:rsid w:val="00452A7B"/>
    <w:rsid w:val="004765F9"/>
    <w:rsid w:val="004B2577"/>
    <w:rsid w:val="004D19E3"/>
    <w:rsid w:val="004E156F"/>
    <w:rsid w:val="004F278C"/>
    <w:rsid w:val="004F71F5"/>
    <w:rsid w:val="00502531"/>
    <w:rsid w:val="005033D8"/>
    <w:rsid w:val="00545496"/>
    <w:rsid w:val="005469CF"/>
    <w:rsid w:val="00550BD8"/>
    <w:rsid w:val="00561ADC"/>
    <w:rsid w:val="005B4348"/>
    <w:rsid w:val="005B7749"/>
    <w:rsid w:val="005D7C18"/>
    <w:rsid w:val="005F7D5D"/>
    <w:rsid w:val="00600873"/>
    <w:rsid w:val="00601C6E"/>
    <w:rsid w:val="00607547"/>
    <w:rsid w:val="00642C18"/>
    <w:rsid w:val="00661281"/>
    <w:rsid w:val="00661CC0"/>
    <w:rsid w:val="00696A43"/>
    <w:rsid w:val="006C2EB3"/>
    <w:rsid w:val="006F23BE"/>
    <w:rsid w:val="00702BA4"/>
    <w:rsid w:val="00704F2C"/>
    <w:rsid w:val="00713A95"/>
    <w:rsid w:val="007658DB"/>
    <w:rsid w:val="00783147"/>
    <w:rsid w:val="007C501F"/>
    <w:rsid w:val="007F690F"/>
    <w:rsid w:val="0080022F"/>
    <w:rsid w:val="0081784A"/>
    <w:rsid w:val="008703E2"/>
    <w:rsid w:val="00886219"/>
    <w:rsid w:val="00897839"/>
    <w:rsid w:val="008A3305"/>
    <w:rsid w:val="008A49C0"/>
    <w:rsid w:val="008B044F"/>
    <w:rsid w:val="008B4230"/>
    <w:rsid w:val="008B6B8E"/>
    <w:rsid w:val="008C3F3B"/>
    <w:rsid w:val="0091422D"/>
    <w:rsid w:val="0093300C"/>
    <w:rsid w:val="00941946"/>
    <w:rsid w:val="0094736A"/>
    <w:rsid w:val="0095335C"/>
    <w:rsid w:val="00956D07"/>
    <w:rsid w:val="00995842"/>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A4"/>
    <w:rsid w:val="00DC00CB"/>
    <w:rsid w:val="00DE5C9F"/>
    <w:rsid w:val="00E20066"/>
    <w:rsid w:val="00E215D5"/>
    <w:rsid w:val="00E231E6"/>
    <w:rsid w:val="00E35D4C"/>
    <w:rsid w:val="00E36AF4"/>
    <w:rsid w:val="00E417AF"/>
    <w:rsid w:val="00E5760D"/>
    <w:rsid w:val="00E62F01"/>
    <w:rsid w:val="00E65E86"/>
    <w:rsid w:val="00E66C44"/>
    <w:rsid w:val="00E70807"/>
    <w:rsid w:val="00E72FF5"/>
    <w:rsid w:val="00E952C7"/>
    <w:rsid w:val="00EB734B"/>
    <w:rsid w:val="00EE2F0B"/>
    <w:rsid w:val="00F326A5"/>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1736731"/>
    <w:rsid w:val="01A36CEE"/>
    <w:rsid w:val="023D5371"/>
    <w:rsid w:val="027F63AE"/>
    <w:rsid w:val="0325119A"/>
    <w:rsid w:val="03B40D4F"/>
    <w:rsid w:val="03C15EB9"/>
    <w:rsid w:val="046B096A"/>
    <w:rsid w:val="04BF4CB7"/>
    <w:rsid w:val="04E00A6C"/>
    <w:rsid w:val="04EA72FB"/>
    <w:rsid w:val="05437E33"/>
    <w:rsid w:val="05714AA9"/>
    <w:rsid w:val="05B820E5"/>
    <w:rsid w:val="05C25A64"/>
    <w:rsid w:val="05F873C5"/>
    <w:rsid w:val="0624235D"/>
    <w:rsid w:val="0674200F"/>
    <w:rsid w:val="069350E4"/>
    <w:rsid w:val="06D63663"/>
    <w:rsid w:val="071163A2"/>
    <w:rsid w:val="076B7873"/>
    <w:rsid w:val="07BF6C7B"/>
    <w:rsid w:val="084130A5"/>
    <w:rsid w:val="09122105"/>
    <w:rsid w:val="09320078"/>
    <w:rsid w:val="099A3488"/>
    <w:rsid w:val="0A14277E"/>
    <w:rsid w:val="0A2C3DE4"/>
    <w:rsid w:val="0A7040FF"/>
    <w:rsid w:val="0AD23243"/>
    <w:rsid w:val="0AE47CFE"/>
    <w:rsid w:val="0AF36AD9"/>
    <w:rsid w:val="0B091BAB"/>
    <w:rsid w:val="0B3D5CBE"/>
    <w:rsid w:val="0B5D0F4E"/>
    <w:rsid w:val="0C9056DF"/>
    <w:rsid w:val="0D3716DE"/>
    <w:rsid w:val="0D6331E6"/>
    <w:rsid w:val="0DB4343E"/>
    <w:rsid w:val="0DBC6205"/>
    <w:rsid w:val="0DC50F98"/>
    <w:rsid w:val="0DDA30F3"/>
    <w:rsid w:val="0F97689C"/>
    <w:rsid w:val="0FA14A05"/>
    <w:rsid w:val="0FB8469B"/>
    <w:rsid w:val="10201226"/>
    <w:rsid w:val="10C57A75"/>
    <w:rsid w:val="1151736E"/>
    <w:rsid w:val="11D80923"/>
    <w:rsid w:val="11E73444"/>
    <w:rsid w:val="11F44487"/>
    <w:rsid w:val="12287FF3"/>
    <w:rsid w:val="12866486"/>
    <w:rsid w:val="132976D6"/>
    <w:rsid w:val="135C30B0"/>
    <w:rsid w:val="13A045BD"/>
    <w:rsid w:val="141875ED"/>
    <w:rsid w:val="1442443F"/>
    <w:rsid w:val="14523BDA"/>
    <w:rsid w:val="162A5F70"/>
    <w:rsid w:val="16FE3373"/>
    <w:rsid w:val="17526E1E"/>
    <w:rsid w:val="178B5566"/>
    <w:rsid w:val="17A84B25"/>
    <w:rsid w:val="17D6183A"/>
    <w:rsid w:val="18B71A64"/>
    <w:rsid w:val="1A234C7E"/>
    <w:rsid w:val="1B62698C"/>
    <w:rsid w:val="1B90020D"/>
    <w:rsid w:val="1C954FC9"/>
    <w:rsid w:val="1CAA656A"/>
    <w:rsid w:val="1CBB0515"/>
    <w:rsid w:val="1DF256D0"/>
    <w:rsid w:val="1E4725ED"/>
    <w:rsid w:val="1EEB5EFE"/>
    <w:rsid w:val="1F257970"/>
    <w:rsid w:val="1F3504A2"/>
    <w:rsid w:val="1F597D00"/>
    <w:rsid w:val="1F8C05C5"/>
    <w:rsid w:val="1FD0538F"/>
    <w:rsid w:val="1FEE39F6"/>
    <w:rsid w:val="204121A1"/>
    <w:rsid w:val="205125B9"/>
    <w:rsid w:val="206474E1"/>
    <w:rsid w:val="20885025"/>
    <w:rsid w:val="20925BC1"/>
    <w:rsid w:val="21304794"/>
    <w:rsid w:val="21421357"/>
    <w:rsid w:val="21A50045"/>
    <w:rsid w:val="21C01FC7"/>
    <w:rsid w:val="22602296"/>
    <w:rsid w:val="231C63E7"/>
    <w:rsid w:val="23377FF5"/>
    <w:rsid w:val="23F863C1"/>
    <w:rsid w:val="24577D9F"/>
    <w:rsid w:val="245B4C98"/>
    <w:rsid w:val="253D3738"/>
    <w:rsid w:val="25943ACA"/>
    <w:rsid w:val="26122394"/>
    <w:rsid w:val="262C5472"/>
    <w:rsid w:val="263E0D0F"/>
    <w:rsid w:val="26AF18CD"/>
    <w:rsid w:val="26FA2A83"/>
    <w:rsid w:val="28135D8C"/>
    <w:rsid w:val="28604CF3"/>
    <w:rsid w:val="28643E0F"/>
    <w:rsid w:val="2926098E"/>
    <w:rsid w:val="297124F0"/>
    <w:rsid w:val="29A13C47"/>
    <w:rsid w:val="29AF4B8B"/>
    <w:rsid w:val="2A7F41CD"/>
    <w:rsid w:val="2A9E46AE"/>
    <w:rsid w:val="2AB53D53"/>
    <w:rsid w:val="2AC45C7E"/>
    <w:rsid w:val="2AFD4B9D"/>
    <w:rsid w:val="2B016451"/>
    <w:rsid w:val="2B11642F"/>
    <w:rsid w:val="2B483BDB"/>
    <w:rsid w:val="2B803191"/>
    <w:rsid w:val="2BEF7C4A"/>
    <w:rsid w:val="2BFE6C33"/>
    <w:rsid w:val="2C7B5BD1"/>
    <w:rsid w:val="2DA22198"/>
    <w:rsid w:val="2DEC66E8"/>
    <w:rsid w:val="2DF33037"/>
    <w:rsid w:val="2E383E55"/>
    <w:rsid w:val="2E54551A"/>
    <w:rsid w:val="2EAC278D"/>
    <w:rsid w:val="2EC54364"/>
    <w:rsid w:val="2F124362"/>
    <w:rsid w:val="2FED5C8C"/>
    <w:rsid w:val="30043280"/>
    <w:rsid w:val="300656CD"/>
    <w:rsid w:val="30DA0BA0"/>
    <w:rsid w:val="313856CC"/>
    <w:rsid w:val="31FB7B74"/>
    <w:rsid w:val="320415E3"/>
    <w:rsid w:val="32BC3622"/>
    <w:rsid w:val="32C46296"/>
    <w:rsid w:val="32CF5D35"/>
    <w:rsid w:val="332F3F51"/>
    <w:rsid w:val="335847DE"/>
    <w:rsid w:val="3364758B"/>
    <w:rsid w:val="33D6717B"/>
    <w:rsid w:val="34156198"/>
    <w:rsid w:val="346409FF"/>
    <w:rsid w:val="353030FF"/>
    <w:rsid w:val="35AA5315"/>
    <w:rsid w:val="372F515E"/>
    <w:rsid w:val="37452596"/>
    <w:rsid w:val="375600DD"/>
    <w:rsid w:val="38136AE8"/>
    <w:rsid w:val="38E4611E"/>
    <w:rsid w:val="3919044F"/>
    <w:rsid w:val="39871296"/>
    <w:rsid w:val="3A4B3943"/>
    <w:rsid w:val="3B2E21A8"/>
    <w:rsid w:val="3BE92741"/>
    <w:rsid w:val="3BF03DED"/>
    <w:rsid w:val="3C7D70DA"/>
    <w:rsid w:val="3CD3075D"/>
    <w:rsid w:val="3D2402FF"/>
    <w:rsid w:val="3D3317B0"/>
    <w:rsid w:val="3D380530"/>
    <w:rsid w:val="3D5E1131"/>
    <w:rsid w:val="3E0E1B79"/>
    <w:rsid w:val="3E982E81"/>
    <w:rsid w:val="3EB850CA"/>
    <w:rsid w:val="3F7F3BE4"/>
    <w:rsid w:val="3F831741"/>
    <w:rsid w:val="3FEA3A2F"/>
    <w:rsid w:val="400C2C7D"/>
    <w:rsid w:val="408849DF"/>
    <w:rsid w:val="40AD5A2A"/>
    <w:rsid w:val="40D64F3C"/>
    <w:rsid w:val="4133059C"/>
    <w:rsid w:val="413E720B"/>
    <w:rsid w:val="416A6F9C"/>
    <w:rsid w:val="4174622E"/>
    <w:rsid w:val="41D01D50"/>
    <w:rsid w:val="41D51F7A"/>
    <w:rsid w:val="4249317C"/>
    <w:rsid w:val="426A289B"/>
    <w:rsid w:val="42726E7A"/>
    <w:rsid w:val="432F5109"/>
    <w:rsid w:val="43317288"/>
    <w:rsid w:val="436E06D9"/>
    <w:rsid w:val="43870367"/>
    <w:rsid w:val="43AD0DDB"/>
    <w:rsid w:val="43E64511"/>
    <w:rsid w:val="44F11970"/>
    <w:rsid w:val="44FD32E9"/>
    <w:rsid w:val="450C05A0"/>
    <w:rsid w:val="464C1B58"/>
    <w:rsid w:val="467E21CE"/>
    <w:rsid w:val="46AB12E9"/>
    <w:rsid w:val="46B143FB"/>
    <w:rsid w:val="48137443"/>
    <w:rsid w:val="489F355F"/>
    <w:rsid w:val="490C5A11"/>
    <w:rsid w:val="492D3872"/>
    <w:rsid w:val="49886878"/>
    <w:rsid w:val="49A3515D"/>
    <w:rsid w:val="4B092D88"/>
    <w:rsid w:val="4BBC6310"/>
    <w:rsid w:val="4C330C89"/>
    <w:rsid w:val="4C434013"/>
    <w:rsid w:val="4CB35B87"/>
    <w:rsid w:val="4DD80699"/>
    <w:rsid w:val="4E9B2184"/>
    <w:rsid w:val="4ECA68F0"/>
    <w:rsid w:val="4EEC5350"/>
    <w:rsid w:val="4EFA10DC"/>
    <w:rsid w:val="4F026A9E"/>
    <w:rsid w:val="4F0E4EA3"/>
    <w:rsid w:val="4F870A0B"/>
    <w:rsid w:val="4FB4646E"/>
    <w:rsid w:val="4FF12795"/>
    <w:rsid w:val="500D03F4"/>
    <w:rsid w:val="501F2FAD"/>
    <w:rsid w:val="50493837"/>
    <w:rsid w:val="50D45F86"/>
    <w:rsid w:val="51970DCF"/>
    <w:rsid w:val="52AE56BC"/>
    <w:rsid w:val="53A91B52"/>
    <w:rsid w:val="53E26203"/>
    <w:rsid w:val="54174C1E"/>
    <w:rsid w:val="54694136"/>
    <w:rsid w:val="55AB4CFC"/>
    <w:rsid w:val="56667281"/>
    <w:rsid w:val="566A57D0"/>
    <w:rsid w:val="56BC14CC"/>
    <w:rsid w:val="57040EC7"/>
    <w:rsid w:val="577C3C7F"/>
    <w:rsid w:val="57B40121"/>
    <w:rsid w:val="57D16450"/>
    <w:rsid w:val="58541C04"/>
    <w:rsid w:val="5A346B49"/>
    <w:rsid w:val="5A3C6825"/>
    <w:rsid w:val="5A442951"/>
    <w:rsid w:val="5B5D3CAE"/>
    <w:rsid w:val="5BC91F40"/>
    <w:rsid w:val="5C7D248A"/>
    <w:rsid w:val="5CE74F49"/>
    <w:rsid w:val="5CF43D92"/>
    <w:rsid w:val="5D1C416C"/>
    <w:rsid w:val="5D4C56C2"/>
    <w:rsid w:val="5D5440F0"/>
    <w:rsid w:val="5EFF3C47"/>
    <w:rsid w:val="5F4D1074"/>
    <w:rsid w:val="5F8B0AD9"/>
    <w:rsid w:val="5FB243FD"/>
    <w:rsid w:val="5FF86F82"/>
    <w:rsid w:val="608A742D"/>
    <w:rsid w:val="611C73D6"/>
    <w:rsid w:val="612E12B4"/>
    <w:rsid w:val="614C3496"/>
    <w:rsid w:val="615C0468"/>
    <w:rsid w:val="61AF63F1"/>
    <w:rsid w:val="61B55E70"/>
    <w:rsid w:val="62374AB0"/>
    <w:rsid w:val="631244BB"/>
    <w:rsid w:val="63325C32"/>
    <w:rsid w:val="63AE6093"/>
    <w:rsid w:val="63D85922"/>
    <w:rsid w:val="64001A54"/>
    <w:rsid w:val="647916AD"/>
    <w:rsid w:val="64A50F41"/>
    <w:rsid w:val="64D20838"/>
    <w:rsid w:val="64EF6A61"/>
    <w:rsid w:val="65014E41"/>
    <w:rsid w:val="655734E6"/>
    <w:rsid w:val="657168A7"/>
    <w:rsid w:val="65F904C7"/>
    <w:rsid w:val="66D43F30"/>
    <w:rsid w:val="67B12F99"/>
    <w:rsid w:val="68592339"/>
    <w:rsid w:val="68912E4E"/>
    <w:rsid w:val="694614B9"/>
    <w:rsid w:val="69E934E8"/>
    <w:rsid w:val="69E97C41"/>
    <w:rsid w:val="6A665AA7"/>
    <w:rsid w:val="6A710E0B"/>
    <w:rsid w:val="6A7E2834"/>
    <w:rsid w:val="6B2230D1"/>
    <w:rsid w:val="6B4822F6"/>
    <w:rsid w:val="6BE95382"/>
    <w:rsid w:val="6C2B4D8F"/>
    <w:rsid w:val="6CD67BA3"/>
    <w:rsid w:val="6D046BC7"/>
    <w:rsid w:val="6D13641E"/>
    <w:rsid w:val="6D40564D"/>
    <w:rsid w:val="6D5C581C"/>
    <w:rsid w:val="6DA8693E"/>
    <w:rsid w:val="6DC67C57"/>
    <w:rsid w:val="6DED7F18"/>
    <w:rsid w:val="6DF73EA8"/>
    <w:rsid w:val="6E0504F1"/>
    <w:rsid w:val="6E39648E"/>
    <w:rsid w:val="6E4938EE"/>
    <w:rsid w:val="6F077459"/>
    <w:rsid w:val="701461CD"/>
    <w:rsid w:val="70150897"/>
    <w:rsid w:val="704571D3"/>
    <w:rsid w:val="706C5DBD"/>
    <w:rsid w:val="70A252BC"/>
    <w:rsid w:val="71BA7F04"/>
    <w:rsid w:val="72660665"/>
    <w:rsid w:val="72E865A1"/>
    <w:rsid w:val="72EF04C8"/>
    <w:rsid w:val="73A07546"/>
    <w:rsid w:val="73DB01FA"/>
    <w:rsid w:val="74281D94"/>
    <w:rsid w:val="7435749E"/>
    <w:rsid w:val="74366F62"/>
    <w:rsid w:val="74702F2D"/>
    <w:rsid w:val="74B05A0E"/>
    <w:rsid w:val="74E813F3"/>
    <w:rsid w:val="750900E2"/>
    <w:rsid w:val="752641FD"/>
    <w:rsid w:val="75603B4D"/>
    <w:rsid w:val="756C1C47"/>
    <w:rsid w:val="75767500"/>
    <w:rsid w:val="75D95B02"/>
    <w:rsid w:val="76035AD7"/>
    <w:rsid w:val="763871F0"/>
    <w:rsid w:val="76772C8D"/>
    <w:rsid w:val="7742427D"/>
    <w:rsid w:val="779305BF"/>
    <w:rsid w:val="77DF1A43"/>
    <w:rsid w:val="78403E44"/>
    <w:rsid w:val="78711370"/>
    <w:rsid w:val="794762A8"/>
    <w:rsid w:val="79BB114F"/>
    <w:rsid w:val="7A1C3932"/>
    <w:rsid w:val="7B38751A"/>
    <w:rsid w:val="7B866E43"/>
    <w:rsid w:val="7BD608AD"/>
    <w:rsid w:val="7C803577"/>
    <w:rsid w:val="7CE52B42"/>
    <w:rsid w:val="7D20786B"/>
    <w:rsid w:val="7DEC3FDC"/>
    <w:rsid w:val="7E173876"/>
    <w:rsid w:val="7EA2479F"/>
    <w:rsid w:val="7F00709B"/>
    <w:rsid w:val="7F172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4">
    <w:name w:val="heading 1"/>
    <w:basedOn w:val="1"/>
    <w:next w:val="1"/>
    <w:link w:val="23"/>
    <w:qFormat/>
    <w:uiPriority w:val="9"/>
    <w:pPr>
      <w:keepNext/>
      <w:keepLines/>
      <w:spacing w:before="340" w:after="330" w:line="576" w:lineRule="auto"/>
      <w:outlineLvl w:val="0"/>
    </w:pPr>
    <w:rPr>
      <w:rFonts w:cs="宋体"/>
      <w:b/>
      <w:bCs/>
      <w:kern w:val="44"/>
      <w:sz w:val="44"/>
      <w:szCs w:val="44"/>
    </w:rPr>
  </w:style>
  <w:style w:type="paragraph" w:styleId="5">
    <w:name w:val="heading 2"/>
    <w:basedOn w:val="1"/>
    <w:next w:val="1"/>
    <w:link w:val="24"/>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6">
    <w:name w:val="heading 3"/>
    <w:basedOn w:val="1"/>
    <w:next w:val="1"/>
    <w:link w:val="25"/>
    <w:qFormat/>
    <w:uiPriority w:val="9"/>
    <w:pPr>
      <w:keepNext/>
      <w:keepLines/>
      <w:spacing w:before="260" w:after="260" w:line="415" w:lineRule="auto"/>
      <w:outlineLvl w:val="2"/>
    </w:pPr>
    <w:rPr>
      <w:rFonts w:cs="宋体"/>
      <w:b/>
      <w:bCs/>
      <w:szCs w:val="32"/>
    </w:rPr>
  </w:style>
  <w:style w:type="paragraph" w:styleId="7">
    <w:name w:val="heading 4"/>
    <w:basedOn w:val="1"/>
    <w:next w:val="1"/>
    <w:link w:val="26"/>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8">
    <w:name w:val="heading 5"/>
    <w:basedOn w:val="1"/>
    <w:next w:val="1"/>
    <w:link w:val="27"/>
    <w:qFormat/>
    <w:uiPriority w:val="9"/>
    <w:pPr>
      <w:keepNext/>
      <w:keepLines/>
      <w:spacing w:before="280" w:after="290" w:line="374" w:lineRule="auto"/>
      <w:outlineLvl w:val="4"/>
    </w:pPr>
    <w:rPr>
      <w:rFonts w:cs="宋体"/>
      <w:b/>
      <w:bCs/>
      <w:sz w:val="28"/>
      <w:szCs w:val="28"/>
    </w:rPr>
  </w:style>
  <w:style w:type="paragraph" w:styleId="9">
    <w:name w:val="heading 6"/>
    <w:basedOn w:val="1"/>
    <w:next w:val="1"/>
    <w:link w:val="38"/>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10">
    <w:name w:val="heading 7"/>
    <w:basedOn w:val="1"/>
    <w:next w:val="1"/>
    <w:link w:val="64"/>
    <w:qFormat/>
    <w:uiPriority w:val="9"/>
    <w:pPr>
      <w:keepNext/>
      <w:keepLines/>
      <w:spacing w:before="240" w:after="64" w:line="320" w:lineRule="auto"/>
      <w:outlineLvl w:val="6"/>
    </w:pPr>
    <w:rPr>
      <w:b/>
      <w:bCs/>
      <w:sz w:val="24"/>
      <w:szCs w:val="24"/>
    </w:rPr>
  </w:style>
  <w:style w:type="paragraph" w:styleId="11">
    <w:name w:val="heading 8"/>
    <w:basedOn w:val="1"/>
    <w:next w:val="1"/>
    <w:link w:val="65"/>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66"/>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qFormat/>
    <w:uiPriority w:val="0"/>
    <w:pPr>
      <w:ind w:firstLine="420" w:firstLineChars="200"/>
    </w:pPr>
  </w:style>
  <w:style w:type="paragraph" w:customStyle="1" w:styleId="3">
    <w:name w:val="正文文本缩进1"/>
    <w:basedOn w:val="1"/>
    <w:qFormat/>
    <w:uiPriority w:val="0"/>
    <w:pPr>
      <w:spacing w:after="120"/>
      <w:ind w:left="420" w:leftChars="200"/>
    </w:pPr>
  </w:style>
  <w:style w:type="paragraph" w:styleId="13">
    <w:name w:val="annotation text"/>
    <w:basedOn w:val="1"/>
    <w:link w:val="69"/>
    <w:semiHidden/>
    <w:unhideWhenUsed/>
    <w:qFormat/>
    <w:uiPriority w:val="99"/>
    <w:pPr>
      <w:jc w:val="left"/>
    </w:pPr>
  </w:style>
  <w:style w:type="paragraph" w:styleId="14">
    <w:name w:val="Balloon Text"/>
    <w:basedOn w:val="1"/>
    <w:link w:val="71"/>
    <w:semiHidden/>
    <w:unhideWhenUsed/>
    <w:qFormat/>
    <w:uiPriority w:val="99"/>
    <w:rPr>
      <w:sz w:val="18"/>
      <w:szCs w:val="18"/>
    </w:rPr>
  </w:style>
  <w:style w:type="paragraph" w:styleId="15">
    <w:name w:val="footer"/>
    <w:basedOn w:val="1"/>
    <w:link w:val="68"/>
    <w:unhideWhenUsed/>
    <w:qFormat/>
    <w:uiPriority w:val="99"/>
    <w:pPr>
      <w:tabs>
        <w:tab w:val="center" w:pos="4153"/>
        <w:tab w:val="right" w:pos="8306"/>
      </w:tabs>
      <w:snapToGrid w:val="0"/>
      <w:jc w:val="left"/>
    </w:pPr>
    <w:rPr>
      <w:sz w:val="18"/>
      <w:szCs w:val="18"/>
    </w:rPr>
  </w:style>
  <w:style w:type="paragraph" w:styleId="16">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annotation subject"/>
    <w:basedOn w:val="13"/>
    <w:next w:val="13"/>
    <w:link w:val="70"/>
    <w:semiHidden/>
    <w:unhideWhenUsed/>
    <w:qFormat/>
    <w:uiPriority w:val="99"/>
    <w:rPr>
      <w:b/>
      <w:bCs/>
    </w:rPr>
  </w:style>
  <w:style w:type="character" w:styleId="21">
    <w:name w:val="Strong"/>
    <w:basedOn w:val="20"/>
    <w:qFormat/>
    <w:uiPriority w:val="0"/>
    <w:rPr>
      <w:b/>
      <w:bCs/>
    </w:rPr>
  </w:style>
  <w:style w:type="character" w:styleId="22">
    <w:name w:val="annotation reference"/>
    <w:basedOn w:val="20"/>
    <w:semiHidden/>
    <w:unhideWhenUsed/>
    <w:qFormat/>
    <w:uiPriority w:val="99"/>
    <w:rPr>
      <w:sz w:val="21"/>
      <w:szCs w:val="21"/>
    </w:rPr>
  </w:style>
  <w:style w:type="character" w:customStyle="1" w:styleId="23">
    <w:name w:val="标题 1 字符"/>
    <w:basedOn w:val="20"/>
    <w:link w:val="4"/>
    <w:qFormat/>
    <w:locked/>
    <w:uiPriority w:val="9"/>
    <w:rPr>
      <w:b/>
      <w:bCs/>
      <w:kern w:val="44"/>
      <w:sz w:val="44"/>
      <w:szCs w:val="44"/>
    </w:rPr>
  </w:style>
  <w:style w:type="character" w:customStyle="1" w:styleId="24">
    <w:name w:val="标题 2 字符"/>
    <w:basedOn w:val="20"/>
    <w:link w:val="5"/>
    <w:semiHidden/>
    <w:qFormat/>
    <w:locked/>
    <w:uiPriority w:val="9"/>
    <w:rPr>
      <w:rFonts w:hint="eastAsia" w:asciiTheme="majorHAnsi" w:hAnsiTheme="majorHAnsi" w:eastAsiaTheme="majorEastAsia" w:cstheme="majorBidi"/>
      <w:b/>
      <w:bCs/>
      <w:sz w:val="32"/>
      <w:szCs w:val="32"/>
    </w:rPr>
  </w:style>
  <w:style w:type="character" w:customStyle="1" w:styleId="25">
    <w:name w:val="标题 3 字符"/>
    <w:basedOn w:val="20"/>
    <w:link w:val="6"/>
    <w:semiHidden/>
    <w:qFormat/>
    <w:locked/>
    <w:uiPriority w:val="9"/>
    <w:rPr>
      <w:b/>
      <w:bCs/>
      <w:sz w:val="32"/>
      <w:szCs w:val="32"/>
    </w:rPr>
  </w:style>
  <w:style w:type="character" w:customStyle="1" w:styleId="26">
    <w:name w:val="标题 4 字符"/>
    <w:basedOn w:val="20"/>
    <w:link w:val="7"/>
    <w:semiHidden/>
    <w:qFormat/>
    <w:locked/>
    <w:uiPriority w:val="9"/>
    <w:rPr>
      <w:rFonts w:hint="eastAsia" w:asciiTheme="majorHAnsi" w:hAnsiTheme="majorHAnsi" w:eastAsiaTheme="majorEastAsia" w:cstheme="majorBidi"/>
      <w:b/>
      <w:bCs/>
      <w:sz w:val="28"/>
      <w:szCs w:val="28"/>
    </w:rPr>
  </w:style>
  <w:style w:type="character" w:customStyle="1" w:styleId="27">
    <w:name w:val="标题 5 字符"/>
    <w:basedOn w:val="20"/>
    <w:link w:val="8"/>
    <w:semiHidden/>
    <w:qFormat/>
    <w:locked/>
    <w:uiPriority w:val="9"/>
    <w:rPr>
      <w:b/>
      <w:bCs/>
      <w:sz w:val="28"/>
      <w:szCs w:val="28"/>
    </w:rPr>
  </w:style>
  <w:style w:type="character" w:customStyle="1" w:styleId="28">
    <w:name w:val="FZ标题1 字符"/>
    <w:basedOn w:val="20"/>
    <w:link w:val="29"/>
    <w:qFormat/>
    <w:locked/>
    <w:uiPriority w:val="0"/>
    <w:rPr>
      <w:rFonts w:hint="eastAsia" w:ascii="宋体" w:hAnsi="宋体" w:eastAsia="宋体"/>
      <w:b/>
      <w:color w:val="000000"/>
      <w:sz w:val="32"/>
    </w:rPr>
  </w:style>
  <w:style w:type="paragraph" w:customStyle="1" w:styleId="29">
    <w:name w:val="FZ标题1"/>
    <w:basedOn w:val="4"/>
    <w:link w:val="28"/>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30">
    <w:name w:val="FZ标题2 字符"/>
    <w:basedOn w:val="20"/>
    <w:link w:val="31"/>
    <w:qFormat/>
    <w:locked/>
    <w:uiPriority w:val="0"/>
    <w:rPr>
      <w:rFonts w:eastAsia="黑体"/>
      <w:b/>
      <w:bCs/>
      <w:color w:val="000000"/>
      <w:kern w:val="2"/>
      <w:sz w:val="28"/>
      <w:szCs w:val="44"/>
    </w:rPr>
  </w:style>
  <w:style w:type="paragraph" w:customStyle="1" w:styleId="31">
    <w:name w:val="FZ标题2"/>
    <w:basedOn w:val="5"/>
    <w:link w:val="30"/>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2">
    <w:name w:val="FZ标题3 字符"/>
    <w:basedOn w:val="20"/>
    <w:link w:val="33"/>
    <w:qFormat/>
    <w:locked/>
    <w:uiPriority w:val="0"/>
    <w:rPr>
      <w:rFonts w:eastAsia="仿宋_GB2312" w:cstheme="majorBidi"/>
      <w:b/>
      <w:bCs/>
      <w:color w:val="000000"/>
      <w:kern w:val="2"/>
      <w:sz w:val="28"/>
      <w:szCs w:val="32"/>
    </w:rPr>
  </w:style>
  <w:style w:type="paragraph" w:customStyle="1" w:styleId="33">
    <w:name w:val="FZ标题3"/>
    <w:basedOn w:val="6"/>
    <w:link w:val="32"/>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4">
    <w:name w:val="FZ标题4 字符"/>
    <w:basedOn w:val="20"/>
    <w:link w:val="35"/>
    <w:qFormat/>
    <w:locked/>
    <w:uiPriority w:val="0"/>
    <w:rPr>
      <w:rFonts w:ascii="仿宋_GB2312" w:eastAsia="仿宋_GB2312"/>
      <w:bCs/>
      <w:color w:val="000000"/>
      <w:kern w:val="2"/>
      <w:sz w:val="28"/>
      <w:szCs w:val="32"/>
    </w:rPr>
  </w:style>
  <w:style w:type="paragraph" w:customStyle="1" w:styleId="35">
    <w:name w:val="FZ标题4"/>
    <w:basedOn w:val="7"/>
    <w:link w:val="34"/>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6">
    <w:name w:val="FZ标题5 字符"/>
    <w:basedOn w:val="20"/>
    <w:link w:val="37"/>
    <w:qFormat/>
    <w:locked/>
    <w:uiPriority w:val="0"/>
    <w:rPr>
      <w:rFonts w:hint="eastAsia" w:ascii="宋体" w:hAnsi="宋体" w:eastAsia="宋体" w:cstheme="majorBidi"/>
      <w:bCs/>
      <w:color w:val="000000"/>
      <w:szCs w:val="28"/>
    </w:rPr>
  </w:style>
  <w:style w:type="paragraph" w:customStyle="1" w:styleId="37">
    <w:name w:val="FZ标题5"/>
    <w:basedOn w:val="8"/>
    <w:link w:val="36"/>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8">
    <w:name w:val="标题 6 字符"/>
    <w:basedOn w:val="20"/>
    <w:link w:val="9"/>
    <w:semiHidden/>
    <w:qFormat/>
    <w:uiPriority w:val="9"/>
    <w:rPr>
      <w:rFonts w:asciiTheme="majorHAnsi" w:hAnsiTheme="majorHAnsi" w:eastAsiaTheme="majorEastAsia" w:cstheme="majorBidi"/>
      <w:b/>
      <w:bCs/>
      <w:kern w:val="2"/>
      <w:sz w:val="24"/>
      <w:szCs w:val="24"/>
    </w:rPr>
  </w:style>
  <w:style w:type="character" w:customStyle="1" w:styleId="39">
    <w:name w:val="FZ标题6 字符"/>
    <w:basedOn w:val="20"/>
    <w:link w:val="40"/>
    <w:qFormat/>
    <w:locked/>
    <w:uiPriority w:val="0"/>
    <w:rPr>
      <w:rFonts w:hint="eastAsia" w:ascii="宋体" w:hAnsi="宋体" w:eastAsia="宋体"/>
      <w:bCs/>
      <w:color w:val="000000"/>
      <w:szCs w:val="28"/>
    </w:rPr>
  </w:style>
  <w:style w:type="paragraph" w:customStyle="1" w:styleId="40">
    <w:name w:val="FZ标题6"/>
    <w:basedOn w:val="9"/>
    <w:link w:val="39"/>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1">
    <w:name w:val="FZ表格标题行首列 字符"/>
    <w:basedOn w:val="20"/>
    <w:link w:val="42"/>
    <w:qFormat/>
    <w:locked/>
    <w:uiPriority w:val="0"/>
    <w:rPr>
      <w:rFonts w:hint="eastAsia" w:ascii="宋体" w:hAnsi="宋体" w:eastAsia="宋体"/>
      <w:color w:val="000000"/>
      <w:sz w:val="18"/>
    </w:rPr>
  </w:style>
  <w:style w:type="paragraph" w:customStyle="1" w:styleId="42">
    <w:name w:val="FZ表格标题行首列"/>
    <w:basedOn w:val="1"/>
    <w:link w:val="41"/>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3">
    <w:name w:val="FZ表格标题行 字符"/>
    <w:basedOn w:val="20"/>
    <w:link w:val="44"/>
    <w:qFormat/>
    <w:locked/>
    <w:uiPriority w:val="0"/>
    <w:rPr>
      <w:rFonts w:hint="eastAsia" w:ascii="宋体" w:hAnsi="宋体" w:eastAsia="宋体"/>
      <w:color w:val="000000"/>
      <w:sz w:val="18"/>
    </w:rPr>
  </w:style>
  <w:style w:type="paragraph" w:customStyle="1" w:styleId="44">
    <w:name w:val="FZ表格标题行"/>
    <w:basedOn w:val="1"/>
    <w:link w:val="43"/>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5">
    <w:name w:val="FZ表格正文行首列 字符"/>
    <w:basedOn w:val="20"/>
    <w:link w:val="46"/>
    <w:qFormat/>
    <w:locked/>
    <w:uiPriority w:val="0"/>
    <w:rPr>
      <w:rFonts w:hint="eastAsia" w:ascii="宋体" w:hAnsi="宋体" w:eastAsia="宋体"/>
      <w:color w:val="000000"/>
      <w:sz w:val="18"/>
    </w:rPr>
  </w:style>
  <w:style w:type="paragraph" w:customStyle="1" w:styleId="46">
    <w:name w:val="FZ表格正文行首列"/>
    <w:basedOn w:val="1"/>
    <w:link w:val="45"/>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7">
    <w:name w:val="FZ表格正文行 字符"/>
    <w:basedOn w:val="20"/>
    <w:link w:val="48"/>
    <w:qFormat/>
    <w:locked/>
    <w:uiPriority w:val="0"/>
    <w:rPr>
      <w:rFonts w:hint="eastAsia" w:ascii="宋体" w:hAnsi="宋体" w:eastAsia="宋体"/>
      <w:color w:val="000000"/>
      <w:sz w:val="18"/>
    </w:rPr>
  </w:style>
  <w:style w:type="paragraph" w:customStyle="1" w:styleId="48">
    <w:name w:val="FZ表格正文行"/>
    <w:basedOn w:val="1"/>
    <w:link w:val="47"/>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9">
    <w:name w:val="FZ表格合计行首列 字符"/>
    <w:basedOn w:val="20"/>
    <w:link w:val="50"/>
    <w:qFormat/>
    <w:locked/>
    <w:uiPriority w:val="0"/>
    <w:rPr>
      <w:rFonts w:hint="eastAsia" w:ascii="宋体" w:hAnsi="宋体" w:eastAsia="宋体"/>
      <w:color w:val="000000"/>
      <w:sz w:val="18"/>
    </w:rPr>
  </w:style>
  <w:style w:type="paragraph" w:customStyle="1" w:styleId="50">
    <w:name w:val="FZ表格合计行首列"/>
    <w:basedOn w:val="1"/>
    <w:link w:val="49"/>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1">
    <w:name w:val="FZ表格合计行 字符"/>
    <w:basedOn w:val="20"/>
    <w:link w:val="52"/>
    <w:qFormat/>
    <w:locked/>
    <w:uiPriority w:val="0"/>
    <w:rPr>
      <w:rFonts w:hint="eastAsia" w:ascii="宋体" w:hAnsi="宋体" w:eastAsia="宋体"/>
      <w:color w:val="000000"/>
      <w:sz w:val="18"/>
    </w:rPr>
  </w:style>
  <w:style w:type="paragraph" w:customStyle="1" w:styleId="52">
    <w:name w:val="FZ表格合计行"/>
    <w:basedOn w:val="1"/>
    <w:link w:val="51"/>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3">
    <w:name w:val="FZ正文 字符"/>
    <w:basedOn w:val="20"/>
    <w:link w:val="54"/>
    <w:qFormat/>
    <w:locked/>
    <w:uiPriority w:val="0"/>
    <w:rPr>
      <w:rFonts w:ascii="Times New Roman" w:hAnsi="Times New Roman" w:eastAsia="仿宋_GB2312" w:cs="Times New Roman"/>
      <w:color w:val="000000"/>
      <w:kern w:val="2"/>
      <w:sz w:val="28"/>
      <w:szCs w:val="22"/>
    </w:rPr>
  </w:style>
  <w:style w:type="paragraph" w:customStyle="1" w:styleId="54">
    <w:name w:val="FZ正文"/>
    <w:basedOn w:val="1"/>
    <w:link w:val="53"/>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5">
    <w:name w:val="FZ副标题 字符"/>
    <w:basedOn w:val="20"/>
    <w:link w:val="56"/>
    <w:qFormat/>
    <w:locked/>
    <w:uiPriority w:val="0"/>
    <w:rPr>
      <w:rFonts w:hint="eastAsia" w:ascii="宋体" w:hAnsi="宋体" w:eastAsia="宋体"/>
      <w:color w:val="000000"/>
    </w:rPr>
  </w:style>
  <w:style w:type="paragraph" w:customStyle="1" w:styleId="56">
    <w:name w:val="FZ副标题"/>
    <w:basedOn w:val="1"/>
    <w:link w:val="55"/>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7">
    <w:name w:val="FZ落款 字符"/>
    <w:basedOn w:val="20"/>
    <w:link w:val="58"/>
    <w:qFormat/>
    <w:locked/>
    <w:uiPriority w:val="0"/>
    <w:rPr>
      <w:rFonts w:hint="eastAsia" w:ascii="宋体" w:hAnsi="宋体" w:eastAsia="宋体"/>
      <w:color w:val="000000"/>
    </w:rPr>
  </w:style>
  <w:style w:type="paragraph" w:customStyle="1" w:styleId="58">
    <w:name w:val="FZ落款"/>
    <w:basedOn w:val="1"/>
    <w:link w:val="57"/>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9">
    <w:name w:val="FZ注释 字符"/>
    <w:basedOn w:val="20"/>
    <w:link w:val="60"/>
    <w:qFormat/>
    <w:locked/>
    <w:uiPriority w:val="0"/>
    <w:rPr>
      <w:rFonts w:hint="eastAsia" w:ascii="宋体" w:hAnsi="宋体" w:eastAsia="宋体"/>
      <w:color w:val="000000"/>
      <w:sz w:val="18"/>
    </w:rPr>
  </w:style>
  <w:style w:type="paragraph" w:customStyle="1" w:styleId="60">
    <w:name w:val="FZ注释"/>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1">
    <w:name w:val="FZ小标题 字符"/>
    <w:basedOn w:val="20"/>
    <w:link w:val="62"/>
    <w:qFormat/>
    <w:locked/>
    <w:uiPriority w:val="0"/>
    <w:rPr>
      <w:rFonts w:hint="eastAsia" w:ascii="宋体" w:hAnsi="宋体" w:eastAsia="宋体"/>
      <w:color w:val="000000"/>
      <w:sz w:val="18"/>
    </w:rPr>
  </w:style>
  <w:style w:type="paragraph" w:customStyle="1" w:styleId="62">
    <w:name w:val="FZ小标题"/>
    <w:basedOn w:val="1"/>
    <w:link w:val="61"/>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3">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4">
    <w:name w:val="标题 7 字符"/>
    <w:basedOn w:val="20"/>
    <w:link w:val="10"/>
    <w:semiHidden/>
    <w:uiPriority w:val="9"/>
    <w:rPr>
      <w:rFonts w:asciiTheme="minorHAnsi" w:hAnsiTheme="minorHAnsi" w:eastAsiaTheme="minorEastAsia"/>
      <w:b/>
      <w:bCs/>
      <w:kern w:val="2"/>
      <w:sz w:val="24"/>
      <w:szCs w:val="24"/>
    </w:rPr>
  </w:style>
  <w:style w:type="character" w:customStyle="1" w:styleId="65">
    <w:name w:val="标题 8 字符"/>
    <w:basedOn w:val="20"/>
    <w:link w:val="11"/>
    <w:semiHidden/>
    <w:qFormat/>
    <w:uiPriority w:val="9"/>
    <w:rPr>
      <w:rFonts w:asciiTheme="majorHAnsi" w:hAnsiTheme="majorHAnsi" w:eastAsiaTheme="majorEastAsia" w:cstheme="majorBidi"/>
      <w:kern w:val="2"/>
      <w:sz w:val="24"/>
      <w:szCs w:val="24"/>
    </w:rPr>
  </w:style>
  <w:style w:type="character" w:customStyle="1" w:styleId="66">
    <w:name w:val="标题 9 字符"/>
    <w:basedOn w:val="20"/>
    <w:link w:val="12"/>
    <w:semiHidden/>
    <w:uiPriority w:val="9"/>
    <w:rPr>
      <w:rFonts w:asciiTheme="majorHAnsi" w:hAnsiTheme="majorHAnsi" w:eastAsiaTheme="majorEastAsia" w:cstheme="majorBidi"/>
      <w:kern w:val="2"/>
      <w:sz w:val="21"/>
      <w:szCs w:val="21"/>
    </w:rPr>
  </w:style>
  <w:style w:type="character" w:customStyle="1" w:styleId="67">
    <w:name w:val="页眉 字符"/>
    <w:basedOn w:val="20"/>
    <w:link w:val="16"/>
    <w:uiPriority w:val="99"/>
    <w:rPr>
      <w:rFonts w:asciiTheme="minorHAnsi" w:hAnsiTheme="minorHAnsi" w:eastAsiaTheme="minorEastAsia"/>
      <w:kern w:val="2"/>
      <w:sz w:val="18"/>
      <w:szCs w:val="18"/>
    </w:rPr>
  </w:style>
  <w:style w:type="character" w:customStyle="1" w:styleId="68">
    <w:name w:val="页脚 字符"/>
    <w:basedOn w:val="20"/>
    <w:link w:val="15"/>
    <w:uiPriority w:val="99"/>
    <w:rPr>
      <w:rFonts w:asciiTheme="minorHAnsi" w:hAnsiTheme="minorHAnsi" w:eastAsiaTheme="minorEastAsia"/>
      <w:kern w:val="2"/>
      <w:sz w:val="18"/>
      <w:szCs w:val="18"/>
    </w:rPr>
  </w:style>
  <w:style w:type="character" w:customStyle="1" w:styleId="69">
    <w:name w:val="批注文字 字符"/>
    <w:basedOn w:val="20"/>
    <w:link w:val="13"/>
    <w:semiHidden/>
    <w:uiPriority w:val="99"/>
    <w:rPr>
      <w:rFonts w:asciiTheme="minorHAnsi" w:hAnsiTheme="minorHAnsi" w:eastAsiaTheme="minorEastAsia"/>
      <w:kern w:val="2"/>
      <w:sz w:val="21"/>
      <w:szCs w:val="22"/>
    </w:rPr>
  </w:style>
  <w:style w:type="character" w:customStyle="1" w:styleId="70">
    <w:name w:val="批注主题 字符"/>
    <w:basedOn w:val="69"/>
    <w:link w:val="18"/>
    <w:semiHidden/>
    <w:uiPriority w:val="99"/>
    <w:rPr>
      <w:rFonts w:asciiTheme="minorHAnsi" w:hAnsiTheme="minorHAnsi" w:eastAsiaTheme="minorEastAsia"/>
      <w:b/>
      <w:bCs/>
      <w:kern w:val="2"/>
      <w:sz w:val="21"/>
      <w:szCs w:val="22"/>
    </w:rPr>
  </w:style>
  <w:style w:type="character" w:customStyle="1" w:styleId="71">
    <w:name w:val="批注框文本 字符"/>
    <w:basedOn w:val="20"/>
    <w:link w:val="14"/>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Template>
  <Pages>13</Pages>
  <Words>1284</Words>
  <Characters>7319</Characters>
  <Lines>60</Lines>
  <Paragraphs>17</Paragraphs>
  <TotalTime>4</TotalTime>
  <ScaleCrop>false</ScaleCrop>
  <LinksUpToDate>false</LinksUpToDate>
  <CharactersWithSpaces>8586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2025-12-15T09:58:40Z</dcterms:modified>
  <dc:title>C:\Users\Xueyang\Desktop\170号自评报告\57.艾力西湖镇巴扎（10）村花卉生产基地配套建设项目绩效自评报告.xlsx</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ies>
</file>