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after="120" w:line="480" w:lineRule="auto"/>
        <w:ind w:firstLine="883" w:firstLineChars="200"/>
        <w:jc w:val="center"/>
        <w:outlineLvl w:val="0"/>
        <w:rPr>
          <w:rFonts w:ascii="仿宋_GB2312" w:hAnsi="Arial"/>
          <w:b/>
          <w:color w:val="auto"/>
          <w:sz w:val="44"/>
          <w:szCs w:val="44"/>
          <w:highlight w:val="none"/>
        </w:rPr>
      </w:pPr>
    </w:p>
    <w:p>
      <w:pPr>
        <w:jc w:val="center"/>
        <w:rPr>
          <w:rFonts w:ascii="方正大标宋简体" w:hAnsi="华文中宋" w:eastAsia="方正大标宋简体" w:cs="宋体"/>
          <w:color w:val="auto"/>
          <w:kern w:val="0"/>
          <w:sz w:val="52"/>
          <w:szCs w:val="52"/>
          <w:highlight w:val="none"/>
        </w:rPr>
      </w:pPr>
      <w:r>
        <w:rPr>
          <w:rFonts w:hint="eastAsia" w:ascii="方正大标宋简体" w:hAnsi="华文中宋" w:eastAsia="方正大标宋简体" w:cs="宋体"/>
          <w:color w:val="auto"/>
          <w:kern w:val="0"/>
          <w:sz w:val="52"/>
          <w:szCs w:val="52"/>
          <w:highlight w:val="none"/>
        </w:rPr>
        <w:t>和田地区于田县乡村振兴衔接资金项目支出绩效自评报告</w:t>
      </w:r>
    </w:p>
    <w:p>
      <w:pPr>
        <w:spacing w:line="700" w:lineRule="exact"/>
        <w:ind w:firstLine="1040" w:firstLineChars="200"/>
        <w:jc w:val="center"/>
        <w:rPr>
          <w:rFonts w:ascii="方正大标宋简体" w:hAnsi="华文中宋" w:eastAsia="方正大标宋简体" w:cs="宋体"/>
          <w:color w:val="auto"/>
          <w:kern w:val="0"/>
          <w:sz w:val="52"/>
          <w:szCs w:val="52"/>
          <w:highlight w:val="none"/>
        </w:rPr>
      </w:pPr>
    </w:p>
    <w:p>
      <w:pPr>
        <w:spacing w:line="540" w:lineRule="exact"/>
        <w:ind w:firstLine="720" w:firstLineChars="200"/>
        <w:jc w:val="center"/>
        <w:rPr>
          <w:rFonts w:hAnsi="宋体" w:cs="宋体"/>
          <w:color w:val="auto"/>
          <w:kern w:val="0"/>
          <w:sz w:val="36"/>
          <w:szCs w:val="36"/>
          <w:highlight w:val="none"/>
        </w:rPr>
      </w:pPr>
      <w:r>
        <w:rPr>
          <w:rFonts w:hint="eastAsia" w:hAnsi="宋体" w:cs="宋体"/>
          <w:color w:val="auto"/>
          <w:kern w:val="0"/>
          <w:sz w:val="36"/>
          <w:szCs w:val="36"/>
          <w:highlight w:val="none"/>
        </w:rPr>
        <w:t>（202</w:t>
      </w:r>
      <w:r>
        <w:rPr>
          <w:rFonts w:hint="eastAsia" w:hAnsi="宋体" w:cs="宋体"/>
          <w:color w:val="auto"/>
          <w:kern w:val="0"/>
          <w:sz w:val="36"/>
          <w:szCs w:val="36"/>
          <w:highlight w:val="none"/>
          <w:lang w:val="en-US" w:eastAsia="zh-CN"/>
        </w:rPr>
        <w:t>4</w:t>
      </w:r>
      <w:r>
        <w:rPr>
          <w:rFonts w:hint="eastAsia" w:hAnsi="宋体" w:cs="宋体"/>
          <w:color w:val="auto"/>
          <w:kern w:val="0"/>
          <w:sz w:val="36"/>
          <w:szCs w:val="36"/>
          <w:highlight w:val="none"/>
        </w:rPr>
        <w:t>年度）</w:t>
      </w:r>
    </w:p>
    <w:p>
      <w:pPr>
        <w:spacing w:line="540" w:lineRule="exact"/>
        <w:ind w:firstLine="600" w:firstLineChars="200"/>
        <w:jc w:val="center"/>
        <w:rPr>
          <w:rFonts w:hAnsi="宋体" w:cs="宋体"/>
          <w:color w:val="auto"/>
          <w:kern w:val="0"/>
          <w:sz w:val="30"/>
          <w:szCs w:val="30"/>
          <w:highlight w:val="none"/>
        </w:rPr>
      </w:pPr>
    </w:p>
    <w:p>
      <w:pPr>
        <w:spacing w:line="540" w:lineRule="exact"/>
        <w:ind w:firstLine="600" w:firstLineChars="200"/>
        <w:jc w:val="center"/>
        <w:rPr>
          <w:rFonts w:hAnsi="宋体" w:cs="宋体"/>
          <w:color w:val="auto"/>
          <w:kern w:val="0"/>
          <w:sz w:val="30"/>
          <w:szCs w:val="30"/>
          <w:highlight w:val="none"/>
        </w:rPr>
      </w:pPr>
    </w:p>
    <w:p>
      <w:pPr>
        <w:spacing w:line="540" w:lineRule="exact"/>
        <w:ind w:firstLine="600" w:firstLineChars="200"/>
        <w:jc w:val="center"/>
        <w:rPr>
          <w:rFonts w:hAnsi="宋体" w:cs="宋体"/>
          <w:color w:val="auto"/>
          <w:kern w:val="0"/>
          <w:sz w:val="30"/>
          <w:szCs w:val="30"/>
          <w:highlight w:val="none"/>
        </w:rPr>
      </w:pPr>
    </w:p>
    <w:p>
      <w:pPr>
        <w:spacing w:line="540" w:lineRule="exact"/>
        <w:ind w:firstLine="600" w:firstLineChars="200"/>
        <w:jc w:val="center"/>
        <w:rPr>
          <w:rFonts w:hAnsi="宋体" w:cs="宋体"/>
          <w:color w:val="auto"/>
          <w:kern w:val="0"/>
          <w:sz w:val="30"/>
          <w:szCs w:val="30"/>
          <w:highlight w:val="none"/>
        </w:rPr>
      </w:pPr>
    </w:p>
    <w:p>
      <w:pPr>
        <w:spacing w:line="540" w:lineRule="exact"/>
        <w:ind w:firstLine="600" w:firstLineChars="200"/>
        <w:rPr>
          <w:rFonts w:hAnsi="宋体" w:cs="宋体"/>
          <w:color w:val="auto"/>
          <w:kern w:val="0"/>
          <w:sz w:val="30"/>
          <w:szCs w:val="30"/>
          <w:highlight w:val="none"/>
        </w:rPr>
      </w:pPr>
    </w:p>
    <w:p>
      <w:pPr>
        <w:spacing w:line="540" w:lineRule="exact"/>
        <w:ind w:firstLine="600" w:firstLineChars="200"/>
        <w:rPr>
          <w:rFonts w:hAnsi="宋体" w:cs="宋体"/>
          <w:color w:val="auto"/>
          <w:kern w:val="0"/>
          <w:sz w:val="30"/>
          <w:szCs w:val="30"/>
          <w:highlight w:val="none"/>
        </w:rPr>
      </w:pPr>
    </w:p>
    <w:p>
      <w:pPr>
        <w:spacing w:line="360" w:lineRule="auto"/>
        <w:ind w:left="640" w:leftChars="200" w:firstLine="640" w:firstLineChars="200"/>
        <w:rPr>
          <w:rFonts w:ascii="仿宋" w:hAnsi="仿宋" w:eastAsia="仿宋" w:cs="仿宋"/>
          <w:color w:val="auto"/>
          <w:szCs w:val="32"/>
          <w:highlight w:val="none"/>
        </w:rPr>
      </w:pPr>
    </w:p>
    <w:p>
      <w:pPr>
        <w:spacing w:line="360" w:lineRule="auto"/>
        <w:ind w:left="640" w:leftChars="200" w:firstLine="640" w:firstLineChars="200"/>
        <w:rPr>
          <w:rFonts w:ascii="仿宋" w:hAnsi="仿宋" w:eastAsia="仿宋" w:cs="仿宋"/>
          <w:color w:val="auto"/>
          <w:szCs w:val="32"/>
          <w:highlight w:val="none"/>
        </w:rPr>
      </w:pPr>
    </w:p>
    <w:p>
      <w:pPr>
        <w:spacing w:line="560" w:lineRule="exact"/>
        <w:ind w:left="640" w:leftChars="200" w:firstLine="640" w:firstLineChars="200"/>
        <w:rPr>
          <w:rFonts w:ascii="仿宋" w:hAnsi="仿宋" w:eastAsia="仿宋" w:cs="仿宋"/>
          <w:color w:val="auto"/>
          <w:szCs w:val="32"/>
          <w:highlight w:val="none"/>
        </w:rPr>
      </w:pPr>
    </w:p>
    <w:p>
      <w:pPr>
        <w:spacing w:line="560" w:lineRule="exact"/>
        <w:ind w:firstLine="640" w:firstLineChars="200"/>
        <w:rPr>
          <w:rFonts w:ascii="仿宋" w:hAnsi="仿宋" w:eastAsia="仿宋" w:cs="仿宋"/>
          <w:color w:val="auto"/>
          <w:szCs w:val="32"/>
          <w:highlight w:val="none"/>
        </w:rPr>
      </w:pPr>
      <w:r>
        <w:rPr>
          <w:rFonts w:hint="eastAsia" w:ascii="仿宋" w:hAnsi="仿宋" w:eastAsia="仿宋" w:cs="仿宋"/>
          <w:color w:val="auto"/>
          <w:szCs w:val="32"/>
          <w:highlight w:val="none"/>
        </w:rPr>
        <w:t>项目名称:于田县兰干乡片区工厂附属配套设施建设项目</w:t>
      </w:r>
      <w:r>
        <w:rPr>
          <w:rFonts w:hint="eastAsia" w:ascii="仿宋" w:hAnsi="仿宋" w:eastAsia="仿宋" w:cs="仿宋"/>
          <w:color w:val="auto"/>
          <w:szCs w:val="32"/>
          <w:highlight w:val="none"/>
        </w:rPr>
        <w:tab/>
      </w:r>
    </w:p>
    <w:p>
      <w:pPr>
        <w:spacing w:line="560" w:lineRule="exact"/>
        <w:ind w:firstLine="640" w:firstLineChars="200"/>
        <w:rPr>
          <w:rFonts w:hint="default" w:ascii="仿宋" w:hAnsi="仿宋" w:eastAsia="仿宋" w:cs="仿宋"/>
          <w:color w:val="auto"/>
          <w:szCs w:val="32"/>
          <w:highlight w:val="none"/>
          <w:lang w:val="en-US" w:eastAsia="zh-CN"/>
        </w:rPr>
      </w:pPr>
      <w:r>
        <w:rPr>
          <w:rFonts w:hint="eastAsia" w:ascii="仿宋" w:hAnsi="仿宋" w:eastAsia="仿宋" w:cs="仿宋"/>
          <w:color w:val="auto"/>
          <w:szCs w:val="32"/>
          <w:highlight w:val="none"/>
        </w:rPr>
        <w:t>实施单位(公章):</w:t>
      </w:r>
      <w:r>
        <w:rPr>
          <w:rFonts w:hint="eastAsia" w:ascii="仿宋" w:hAnsi="仿宋" w:eastAsia="仿宋" w:cs="仿宋"/>
          <w:color w:val="auto"/>
          <w:szCs w:val="32"/>
          <w:highlight w:val="none"/>
          <w:lang w:val="en-US" w:eastAsia="zh-CN"/>
        </w:rPr>
        <w:t>于田县兰干乡人民政府</w:t>
      </w:r>
    </w:p>
    <w:p>
      <w:pPr>
        <w:spacing w:line="560" w:lineRule="exact"/>
        <w:ind w:firstLine="640" w:firstLineChars="200"/>
        <w:rPr>
          <w:rFonts w:ascii="仿宋" w:hAnsi="仿宋" w:eastAsia="仿宋" w:cs="仿宋"/>
          <w:color w:val="auto"/>
          <w:szCs w:val="32"/>
          <w:highlight w:val="none"/>
        </w:rPr>
      </w:pPr>
      <w:r>
        <w:rPr>
          <w:rFonts w:hint="eastAsia" w:ascii="仿宋" w:hAnsi="仿宋" w:eastAsia="仿宋" w:cs="仿宋"/>
          <w:color w:val="auto"/>
          <w:szCs w:val="32"/>
          <w:highlight w:val="none"/>
        </w:rPr>
        <w:t>主管部门(公章):于田县商务和工业信息化局</w:t>
      </w:r>
      <w:r>
        <w:rPr>
          <w:rFonts w:hint="eastAsia" w:ascii="仿宋" w:hAnsi="仿宋" w:eastAsia="仿宋" w:cs="仿宋"/>
          <w:color w:val="auto"/>
          <w:szCs w:val="32"/>
          <w:highlight w:val="none"/>
        </w:rPr>
        <w:tab/>
      </w:r>
      <w:r>
        <w:rPr>
          <w:rFonts w:hint="eastAsia" w:ascii="仿宋" w:hAnsi="仿宋" w:eastAsia="仿宋" w:cs="仿宋"/>
          <w:color w:val="auto"/>
          <w:szCs w:val="32"/>
          <w:highlight w:val="none"/>
        </w:rPr>
        <w:tab/>
      </w:r>
    </w:p>
    <w:p>
      <w:pPr>
        <w:spacing w:line="560" w:lineRule="exact"/>
        <w:ind w:firstLine="640" w:firstLineChars="200"/>
        <w:rPr>
          <w:rFonts w:hint="eastAsia" w:ascii="仿宋" w:hAnsi="仿宋" w:eastAsia="仿宋" w:cs="仿宋"/>
          <w:color w:val="auto"/>
          <w:szCs w:val="32"/>
          <w:highlight w:val="none"/>
          <w:lang w:eastAsia="zh-CN"/>
        </w:rPr>
      </w:pPr>
      <w:r>
        <w:rPr>
          <w:rFonts w:hint="eastAsia" w:ascii="仿宋" w:hAnsi="仿宋" w:eastAsia="仿宋" w:cs="仿宋"/>
          <w:color w:val="auto"/>
          <w:szCs w:val="32"/>
          <w:highlight w:val="none"/>
        </w:rPr>
        <w:t>项目负责人(签章):</w:t>
      </w:r>
      <w:r>
        <w:rPr>
          <w:rFonts w:hint="eastAsia" w:ascii="仿宋" w:hAnsi="仿宋" w:eastAsia="仿宋" w:cs="仿宋"/>
          <w:color w:val="auto"/>
          <w:szCs w:val="32"/>
          <w:highlight w:val="none"/>
          <w:lang w:val="en-US" w:eastAsia="zh-CN"/>
        </w:rPr>
        <w:t>舒纪祥</w:t>
      </w:r>
    </w:p>
    <w:p>
      <w:pPr>
        <w:spacing w:line="560" w:lineRule="exact"/>
        <w:ind w:firstLine="640" w:firstLineChars="200"/>
        <w:rPr>
          <w:color w:val="auto"/>
          <w:highlight w:val="none"/>
        </w:rPr>
      </w:pPr>
      <w:r>
        <w:rPr>
          <w:rFonts w:hint="eastAsia" w:ascii="仿宋" w:hAnsi="仿宋" w:eastAsia="仿宋" w:cs="仿宋"/>
          <w:color w:val="auto"/>
          <w:szCs w:val="32"/>
          <w:highlight w:val="none"/>
        </w:rPr>
        <w:t>填  报  时  间:</w:t>
      </w:r>
      <w:r>
        <w:rPr>
          <w:rFonts w:ascii="仿宋" w:hAnsi="仿宋" w:eastAsia="仿宋" w:cs="仿宋"/>
          <w:color w:val="auto"/>
          <w:szCs w:val="32"/>
          <w:highlight w:val="none"/>
        </w:rPr>
        <w:t>20</w:t>
      </w:r>
      <w:r>
        <w:rPr>
          <w:rFonts w:hint="eastAsia" w:ascii="仿宋" w:hAnsi="仿宋" w:eastAsia="仿宋" w:cs="仿宋"/>
          <w:color w:val="auto"/>
          <w:szCs w:val="32"/>
          <w:highlight w:val="none"/>
        </w:rPr>
        <w:t>2</w:t>
      </w:r>
      <w:r>
        <w:rPr>
          <w:rFonts w:hint="eastAsia" w:ascii="仿宋" w:hAnsi="仿宋" w:eastAsia="仿宋" w:cs="仿宋"/>
          <w:color w:val="auto"/>
          <w:szCs w:val="32"/>
          <w:highlight w:val="none"/>
          <w:lang w:val="en-US" w:eastAsia="zh-CN"/>
        </w:rPr>
        <w:t>5</w:t>
      </w:r>
      <w:r>
        <w:rPr>
          <w:rFonts w:ascii="仿宋" w:hAnsi="仿宋" w:eastAsia="仿宋" w:cs="仿宋"/>
          <w:color w:val="auto"/>
          <w:szCs w:val="32"/>
          <w:highlight w:val="none"/>
        </w:rPr>
        <w:t>年</w:t>
      </w:r>
      <w:r>
        <w:rPr>
          <w:rFonts w:hint="eastAsia" w:ascii="仿宋" w:hAnsi="仿宋" w:eastAsia="仿宋" w:cs="仿宋"/>
          <w:color w:val="auto"/>
          <w:szCs w:val="32"/>
          <w:highlight w:val="none"/>
          <w:lang w:val="en-US" w:eastAsia="zh-CN"/>
        </w:rPr>
        <w:t>2</w:t>
      </w:r>
      <w:r>
        <w:rPr>
          <w:rFonts w:ascii="仿宋" w:hAnsi="仿宋" w:eastAsia="仿宋" w:cs="仿宋"/>
          <w:color w:val="auto"/>
          <w:szCs w:val="32"/>
          <w:highlight w:val="none"/>
        </w:rPr>
        <w:t>月</w:t>
      </w:r>
      <w:r>
        <w:rPr>
          <w:rFonts w:hint="eastAsia" w:ascii="仿宋" w:hAnsi="仿宋" w:eastAsia="仿宋" w:cs="仿宋"/>
          <w:color w:val="auto"/>
          <w:szCs w:val="32"/>
          <w:highlight w:val="none"/>
          <w:lang w:val="en-US" w:eastAsia="zh-CN"/>
        </w:rPr>
        <w:t>22</w:t>
      </w:r>
      <w:r>
        <w:rPr>
          <w:rFonts w:ascii="仿宋" w:hAnsi="仿宋" w:eastAsia="仿宋" w:cs="仿宋"/>
          <w:color w:val="auto"/>
          <w:szCs w:val="32"/>
          <w:highlight w:val="none"/>
        </w:rPr>
        <w:t>日</w:t>
      </w:r>
    </w:p>
    <w:p>
      <w:pPr>
        <w:spacing w:line="560" w:lineRule="exact"/>
        <w:ind w:firstLine="640" w:firstLineChars="200"/>
        <w:rPr>
          <w:rFonts w:ascii="仿宋_GB2312" w:hAnsi="仿宋_GB2312" w:cs="仿宋_GB2312"/>
          <w:color w:val="auto"/>
          <w:kern w:val="0"/>
          <w:szCs w:val="32"/>
          <w:highlight w:val="none"/>
          <w:lang w:bidi="en-US"/>
        </w:rPr>
      </w:pPr>
    </w:p>
    <w:p>
      <w:pPr>
        <w:spacing w:line="560" w:lineRule="exact"/>
        <w:ind w:firstLine="640" w:firstLineChars="200"/>
        <w:rPr>
          <w:rFonts w:ascii="仿宋_GB2312" w:hAnsi="仿宋_GB2312" w:cs="仿宋_GB2312"/>
          <w:color w:val="auto"/>
          <w:kern w:val="0"/>
          <w:szCs w:val="32"/>
          <w:highlight w:val="none"/>
          <w:lang w:bidi="en-US"/>
        </w:rPr>
      </w:pPr>
    </w:p>
    <w:p>
      <w:pPr>
        <w:spacing w:line="360" w:lineRule="auto"/>
        <w:ind w:firstLine="627" w:firstLineChars="200"/>
        <w:rPr>
          <w:rStyle w:val="18"/>
          <w:rFonts w:ascii="黑体" w:hAnsi="黑体" w:eastAsia="黑体" w:cs="Times New Roman"/>
          <w:color w:val="auto"/>
          <w:spacing w:val="-4"/>
          <w:szCs w:val="32"/>
          <w:highlight w:val="none"/>
        </w:rPr>
      </w:pPr>
    </w:p>
    <w:p>
      <w:pPr>
        <w:spacing w:line="360" w:lineRule="auto"/>
        <w:ind w:firstLine="627" w:firstLineChars="200"/>
        <w:rPr>
          <w:rStyle w:val="18"/>
          <w:rFonts w:ascii="黑体" w:hAnsi="黑体" w:eastAsia="黑体" w:cs="Times New Roman"/>
          <w:color w:val="auto"/>
          <w:spacing w:val="-4"/>
          <w:szCs w:val="32"/>
          <w:highlight w:val="none"/>
        </w:rPr>
      </w:pPr>
      <w:r>
        <w:rPr>
          <w:rStyle w:val="18"/>
          <w:rFonts w:hint="eastAsia" w:ascii="黑体" w:hAnsi="黑体" w:eastAsia="黑体" w:cs="Times New Roman"/>
          <w:color w:val="auto"/>
          <w:spacing w:val="-4"/>
          <w:szCs w:val="32"/>
          <w:highlight w:val="none"/>
        </w:rPr>
        <w:t>一、绩效目标分解下达情况</w:t>
      </w:r>
    </w:p>
    <w:p>
      <w:pPr>
        <w:spacing w:line="360" w:lineRule="auto"/>
        <w:ind w:firstLine="546" w:firstLineChars="200"/>
        <w:rPr>
          <w:color w:val="auto"/>
          <w:highlight w:val="none"/>
        </w:rPr>
      </w:pPr>
      <w:r>
        <w:rPr>
          <w:rFonts w:hint="eastAsia" w:ascii="楷体_GB2312" w:hAnsi="楷体" w:cs="Times New Roman"/>
          <w:b/>
          <w:color w:val="auto"/>
          <w:spacing w:val="-4"/>
          <w:sz w:val="28"/>
          <w:szCs w:val="32"/>
          <w:highlight w:val="none"/>
        </w:rPr>
        <w:t>（一）财政专项乡村振兴衔接资金下达预算及项目情况</w:t>
      </w:r>
    </w:p>
    <w:p>
      <w:pPr>
        <w:pStyle w:val="52"/>
        <w:ind w:left="3" w:right="3" w:firstLine="562"/>
        <w:rPr>
          <w:rFonts w:ascii="仿宋_GB2312"/>
          <w:b/>
          <w:color w:val="auto"/>
          <w:szCs w:val="32"/>
          <w:highlight w:val="none"/>
        </w:rPr>
      </w:pPr>
      <w:r>
        <w:rPr>
          <w:rFonts w:hint="eastAsia" w:ascii="仿宋_GB2312"/>
          <w:b/>
          <w:color w:val="auto"/>
          <w:szCs w:val="32"/>
          <w:highlight w:val="none"/>
        </w:rPr>
        <w:t>1.下达预算情况</w:t>
      </w:r>
    </w:p>
    <w:p>
      <w:pPr>
        <w:pStyle w:val="52"/>
        <w:ind w:left="3" w:right="3" w:firstLine="560"/>
        <w:rPr>
          <w:rFonts w:hint="eastAsia" w:ascii="仿宋" w:hAnsi="仿宋" w:eastAsia="仿宋" w:cs="仿宋"/>
          <w:color w:val="auto"/>
          <w:szCs w:val="32"/>
          <w:highlight w:val="none"/>
        </w:rPr>
      </w:pPr>
      <w:r>
        <w:rPr>
          <w:rFonts w:hint="eastAsia" w:ascii="仿宋" w:hAnsi="仿宋" w:eastAsia="仿宋" w:cs="仿宋"/>
          <w:color w:val="auto"/>
          <w:szCs w:val="32"/>
          <w:highlight w:val="none"/>
        </w:rPr>
        <w:t>本项目根据于田县商务和工业信息化局</w:t>
      </w:r>
      <w:r>
        <w:rPr>
          <w:rFonts w:hint="eastAsia" w:ascii="仿宋" w:hAnsi="仿宋" w:eastAsia="仿宋" w:cs="仿宋"/>
          <w:color w:val="auto"/>
          <w:szCs w:val="32"/>
          <w:highlight w:val="none"/>
          <w:lang w:val="en-US" w:eastAsia="zh-CN"/>
        </w:rPr>
        <w:t>和</w:t>
      </w:r>
      <w:r>
        <w:rPr>
          <w:rFonts w:hint="eastAsia" w:ascii="仿宋" w:hAnsi="仿宋" w:eastAsia="仿宋" w:cs="仿宋"/>
          <w:color w:val="auto"/>
          <w:szCs w:val="32"/>
          <w:highlight w:val="none"/>
        </w:rPr>
        <w:t>于田县财政局下发的《关于对于田县兰</w:t>
      </w:r>
      <w:r>
        <w:rPr>
          <w:rFonts w:hint="eastAsia" w:ascii="仿宋" w:hAnsi="仿宋" w:eastAsia="仿宋" w:cs="仿宋"/>
          <w:color w:val="auto"/>
          <w:szCs w:val="32"/>
          <w:highlight w:val="none"/>
          <w:lang w:val="en-US" w:eastAsia="zh-CN"/>
        </w:rPr>
        <w:t>干</w:t>
      </w:r>
      <w:r>
        <w:rPr>
          <w:rFonts w:hint="eastAsia" w:ascii="仿宋" w:hAnsi="仿宋" w:eastAsia="仿宋" w:cs="仿宋"/>
          <w:color w:val="auto"/>
          <w:szCs w:val="32"/>
          <w:highlight w:val="none"/>
        </w:rPr>
        <w:t>乡片区工厂附属配套设施建设项目实施方案的批复》（于商工办(2024〕2号）文批复立项实施，于田县兰</w:t>
      </w:r>
      <w:r>
        <w:rPr>
          <w:rFonts w:hint="eastAsia" w:ascii="仿宋" w:hAnsi="仿宋" w:eastAsia="仿宋" w:cs="仿宋"/>
          <w:color w:val="auto"/>
          <w:szCs w:val="32"/>
          <w:highlight w:val="none"/>
          <w:lang w:val="en-US" w:eastAsia="zh-CN"/>
        </w:rPr>
        <w:t>干</w:t>
      </w:r>
      <w:r>
        <w:rPr>
          <w:rFonts w:hint="eastAsia" w:ascii="仿宋" w:hAnsi="仿宋" w:eastAsia="仿宋" w:cs="仿宋"/>
          <w:color w:val="auto"/>
          <w:szCs w:val="32"/>
          <w:highlight w:val="none"/>
        </w:rPr>
        <w:t>乡片区工厂附属配套设施建设项目预算安排总额为</w:t>
      </w:r>
      <w:r>
        <w:rPr>
          <w:rFonts w:hint="eastAsia" w:ascii="仿宋" w:hAnsi="仿宋" w:eastAsia="仿宋" w:cs="仿宋"/>
          <w:color w:val="auto"/>
          <w:szCs w:val="32"/>
          <w:highlight w:val="none"/>
          <w:lang w:val="en-US" w:eastAsia="zh-CN"/>
        </w:rPr>
        <w:t>150</w:t>
      </w:r>
      <w:r>
        <w:rPr>
          <w:rFonts w:hint="eastAsia" w:ascii="仿宋" w:hAnsi="仿宋" w:eastAsia="仿宋" w:cs="仿宋"/>
          <w:color w:val="auto"/>
          <w:szCs w:val="32"/>
          <w:highlight w:val="none"/>
        </w:rPr>
        <w:t>万元，其中：乡村振兴衔接资金</w:t>
      </w:r>
      <w:r>
        <w:rPr>
          <w:rFonts w:hint="eastAsia" w:ascii="仿宋" w:hAnsi="仿宋" w:eastAsia="仿宋" w:cs="仿宋"/>
          <w:color w:val="auto"/>
          <w:szCs w:val="32"/>
          <w:highlight w:val="none"/>
          <w:lang w:val="en-US" w:eastAsia="zh-CN"/>
        </w:rPr>
        <w:t>150</w:t>
      </w:r>
      <w:r>
        <w:rPr>
          <w:rFonts w:hint="eastAsia" w:ascii="仿宋" w:hAnsi="仿宋" w:eastAsia="仿宋" w:cs="仿宋"/>
          <w:color w:val="auto"/>
          <w:szCs w:val="32"/>
          <w:highlight w:val="none"/>
        </w:rPr>
        <w:t>.00万元。预算资金到位率为100.00%。</w:t>
      </w:r>
    </w:p>
    <w:p>
      <w:pPr>
        <w:pStyle w:val="52"/>
        <w:ind w:left="3" w:right="3" w:firstLine="562"/>
        <w:rPr>
          <w:rFonts w:ascii="仿宋_GB2312"/>
          <w:b/>
          <w:color w:val="auto"/>
          <w:szCs w:val="32"/>
          <w:highlight w:val="none"/>
        </w:rPr>
      </w:pPr>
      <w:r>
        <w:rPr>
          <w:rFonts w:hint="eastAsia" w:ascii="仿宋_GB2312"/>
          <w:b/>
          <w:color w:val="auto"/>
          <w:szCs w:val="32"/>
          <w:highlight w:val="none"/>
        </w:rPr>
        <w:t>2.项目实施背景</w:t>
      </w:r>
    </w:p>
    <w:p>
      <w:pPr>
        <w:spacing w:line="560" w:lineRule="exact"/>
        <w:ind w:firstLine="560" w:firstLineChars="200"/>
        <w:rPr>
          <w:rFonts w:ascii="仿宋" w:hAnsi="仿宋" w:eastAsia="仿宋" w:cs="仿宋"/>
          <w:b w:val="0"/>
          <w:bCs w:val="0"/>
          <w:color w:val="auto"/>
          <w:sz w:val="28"/>
          <w:szCs w:val="28"/>
          <w:highlight w:val="none"/>
        </w:rPr>
      </w:pPr>
      <w:r>
        <w:rPr>
          <w:rFonts w:ascii="仿宋" w:hAnsi="仿宋" w:eastAsia="仿宋" w:cs="仿宋"/>
          <w:b w:val="0"/>
          <w:bCs w:val="0"/>
          <w:color w:val="auto"/>
          <w:sz w:val="28"/>
          <w:szCs w:val="28"/>
          <w:highlight w:val="none"/>
        </w:rPr>
        <w:t>2022年1月中共中央 国务院《关于做好 2022 年全面推进乡村振兴重点工作的意见》提出：做好 2022 年“三农”工作，要以习近 平新时代中国特色社会主义思想为指导，全面贯彻党的十九大和十九 届历次全会精神，深入贯彻中央经济工作会议精神，坚持稳中求进工 作总基调，立足新发展阶段、贯彻新发展理念、构建新发展格局、推 动高质量发展，促进共同富裕，坚持和加强党对“三农”工作的全面领导，牢牢守住保障国家粮食安全和不发生规模性返贫两条底线，突出年度性任务、针对性举措、实效性导向，充分发挥农村基层党组织 领导作用，扎实有序做好乡村发展、乡村建设、乡村治理重点工作，推动乡村振兴取得新进展、农业农村现代化迈出新步伐。 新疆维吾尔自治区乡村振兴战略规划（2018—2022 年）指出要 深入贯彻习近平新时代中国特色社会主义思想，深入贯彻党的十九大 和十九届二中、三中全会精神，贯彻落实习近平总书记关于新疆工作 的重要讲话和重要指示精神，贯彻落实以习近平同志为核心的党中央 治疆方略，紧紧围绕社会稳定和长治久安总目标，加强党对“三农” 工作的全面领导，坚持稳中求进工作总基调，牢固树立新发展理念， 落实高质量发展要求，统筹推进“五位一体”总体布局和协调推进“四个全面”战略布局，坚持把解决好“三农”问题作为重中之重，坚持 农业农村优先发展，坚持一产上水平，按照产业兴旺、生态宜居、乡 风文明、治理有效、生活富裕的总要求，建立健全城乡融合发展体制 机制和政策体系，推动乡村产业振兴、人才振兴、文化振兴、生态振 兴、组织振兴，加快推进乡村治理体系和治理能力现代化，加快推进 农业农村现代化，走中国特色社会主义乡村振兴道路，让农业成为有</w:t>
      </w:r>
      <w:r>
        <w:rPr>
          <w:rFonts w:hint="eastAsia" w:ascii="仿宋" w:hAnsi="仿宋" w:eastAsia="仿宋" w:cs="仿宋"/>
          <w:b w:val="0"/>
          <w:bCs w:val="0"/>
          <w:color w:val="auto"/>
          <w:sz w:val="28"/>
          <w:szCs w:val="28"/>
          <w:highlight w:val="none"/>
        </w:rPr>
        <w:t>奔头的产业，让农民成为有吸引力的职业，让农村成为安居乐业的美丽家园。</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 w:hAnsi="仿宋" w:eastAsia="仿宋" w:cs="仿宋"/>
          <w:b w:val="0"/>
          <w:bCs w:val="0"/>
          <w:color w:val="auto"/>
          <w:sz w:val="28"/>
          <w:szCs w:val="28"/>
          <w:highlight w:val="none"/>
        </w:rPr>
      </w:pPr>
      <w:r>
        <w:rPr>
          <w:rFonts w:ascii="仿宋" w:hAnsi="仿宋" w:eastAsia="仿宋" w:cs="仿宋"/>
          <w:b w:val="0"/>
          <w:bCs w:val="0"/>
          <w:color w:val="auto"/>
          <w:sz w:val="28"/>
          <w:szCs w:val="28"/>
          <w:highlight w:val="none"/>
        </w:rPr>
        <w:t>到 2022年，乡村振兴的制度框架和政策体系初步健全。农业综 合生产能力进一步提升，现代农业体系初步构建，农业绿色发展全面 推进；农村一二三产业融合发展格局初步形成，乡村产业加快发展， 农民收入水平进一步提高，脱贫攻坚成果得到进一步巩固；农村基础 设施条件持续改善，城乡统一的社会保障制度体系基本建立；农村人 居环境显著改善，生态宜居的美丽乡村建设扎实推进；城乡融合发展 体制机制初步建立，农村基本公共服务水平进一步提升；乡村文化建 设全面加强，民族团结全面巩固，农民精神文化生活需求基本得到满 足；以党组织为核心的农村基层组织建设明显加强，农村社会全面稳 定，乡村治理能力进一步提升，现代乡村治理体系初步构建。探索形 成一批各具特色的乡村振兴模式和经验，乡村振兴取得阶段性成果。 按照《中华人民共和国国民经济和社会发展第十四个五年规划和 2035 年远景目标纲要》要求：</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 w:hAnsi="仿宋" w:eastAsia="仿宋" w:cs="仿宋"/>
          <w:b w:val="0"/>
          <w:bCs w:val="0"/>
          <w:color w:val="auto"/>
          <w:sz w:val="28"/>
          <w:szCs w:val="28"/>
          <w:highlight w:val="none"/>
        </w:rPr>
      </w:pPr>
      <w:r>
        <w:rPr>
          <w:rFonts w:ascii="仿宋" w:hAnsi="仿宋" w:eastAsia="仿宋" w:cs="仿宋"/>
          <w:b w:val="0"/>
          <w:bCs w:val="0"/>
          <w:color w:val="auto"/>
          <w:sz w:val="28"/>
          <w:szCs w:val="28"/>
          <w:highlight w:val="none"/>
        </w:rPr>
        <w:t xml:space="preserve"> 1、发展县域经济，推进农村一二三产业融合发展，延长农业产 业链条，发展各具特色的现代乡村富民产业。推动种养加结合和产业 链再造，提高农产品加工业和农业生产性服务业发展水平，壮大休闲 农业、乡村旅游、民宿经济等特色产业。加强农产品仓储保鲜和冷链 物流设施建设，健全农村产权交易、商贸流通、检验检测认证等平台 和智能标准厂房等设施，引导农村二三产业集聚发展。完善利益联结 机制，通过“资源变资产、资金变股金、农民变股东”，让农民更多分享产业增值收益。</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700" w:leftChars="0" w:firstLine="0" w:firstLineChars="0"/>
        <w:textAlignment w:val="auto"/>
        <w:rPr>
          <w:rFonts w:ascii="仿宋" w:hAnsi="仿宋" w:eastAsia="仿宋" w:cs="仿宋"/>
          <w:b w:val="0"/>
          <w:bCs w:val="0"/>
          <w:color w:val="auto"/>
          <w:sz w:val="28"/>
          <w:szCs w:val="28"/>
          <w:highlight w:val="none"/>
        </w:rPr>
      </w:pPr>
      <w:r>
        <w:rPr>
          <w:rFonts w:ascii="仿宋" w:hAnsi="仿宋" w:eastAsia="仿宋" w:cs="仿宋"/>
          <w:b w:val="0"/>
          <w:bCs w:val="0"/>
          <w:color w:val="auto"/>
          <w:sz w:val="28"/>
          <w:szCs w:val="28"/>
          <w:highlight w:val="none"/>
        </w:rPr>
        <w:t xml:space="preserve">实施乡村建设行动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ascii="仿宋" w:hAnsi="仿宋" w:eastAsia="仿宋" w:cs="仿宋"/>
          <w:b w:val="0"/>
          <w:bCs w:val="0"/>
          <w:color w:val="auto"/>
          <w:sz w:val="28"/>
          <w:szCs w:val="28"/>
          <w:highlight w:val="none"/>
        </w:rPr>
      </w:pPr>
      <w:r>
        <w:rPr>
          <w:rFonts w:ascii="仿宋" w:hAnsi="仿宋" w:eastAsia="仿宋" w:cs="仿宋"/>
          <w:b w:val="0"/>
          <w:bCs w:val="0"/>
          <w:color w:val="auto"/>
          <w:sz w:val="28"/>
          <w:szCs w:val="28"/>
          <w:highlight w:val="none"/>
        </w:rPr>
        <w:t xml:space="preserve">把乡村建设摆在社会主义现代化建设的重要位置，优化生产生活 生态空间，持续改善村容村貌和人居环境，建设美丽宜居乡村。 </w:t>
      </w:r>
      <w:r>
        <w:rPr>
          <w:rFonts w:hint="eastAsia" w:ascii="仿宋" w:hAnsi="仿宋" w:eastAsia="仿宋" w:cs="仿宋"/>
          <w:b w:val="0"/>
          <w:bCs w:val="0"/>
          <w:color w:val="auto"/>
          <w:sz w:val="28"/>
          <w:szCs w:val="28"/>
          <w:highlight w:val="none"/>
          <w:lang w:val="en-US" w:eastAsia="zh-CN"/>
        </w:rPr>
        <w:t xml:space="preserve">   </w:t>
      </w:r>
    </w:p>
    <w:p>
      <w:pPr>
        <w:spacing w:line="560" w:lineRule="exact"/>
        <w:ind w:firstLine="560" w:firstLineChars="200"/>
        <w:rPr>
          <w:rFonts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（1）强化乡村建设的规划引领</w:t>
      </w:r>
    </w:p>
    <w:p>
      <w:pPr>
        <w:spacing w:line="560" w:lineRule="exact"/>
        <w:ind w:firstLine="560" w:firstLineChars="200"/>
        <w:rPr>
          <w:rFonts w:ascii="仿宋" w:hAnsi="仿宋" w:eastAsia="仿宋" w:cs="仿宋"/>
          <w:b w:val="0"/>
          <w:bCs w:val="0"/>
          <w:color w:val="auto"/>
          <w:sz w:val="28"/>
          <w:szCs w:val="28"/>
          <w:highlight w:val="none"/>
        </w:rPr>
      </w:pPr>
      <w:r>
        <w:rPr>
          <w:rFonts w:ascii="仿宋" w:hAnsi="仿宋" w:eastAsia="仿宋" w:cs="仿宋"/>
          <w:b w:val="0"/>
          <w:bCs w:val="0"/>
          <w:color w:val="auto"/>
          <w:sz w:val="28"/>
          <w:szCs w:val="28"/>
          <w:highlight w:val="none"/>
        </w:rPr>
        <w:t xml:space="preserve">统筹县域城镇和村庄规划建设，通盘考虑土地利用、产业发展、 居民点建设、人居环境整治、生态保护、防灾减灾和历史文化传承。 科学编制县域村庄布局规划，因地制宜、分类推进村庄建设，规范开 展全域土地综合整治，保护传统村落、民族村寨和乡村风貌，严禁随 意撤并村庄搞大社区、违背农民意愿大拆大建。优化布局乡村生活空 间，严格保护农业生产空间和乡村生态空间，科学划定养殖业适养、 限养、禁养区域。鼓励有条件地区编制实用性村庄规划。 </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firstLineChars="200"/>
        <w:textAlignment w:val="auto"/>
        <w:rPr>
          <w:rFonts w:ascii="仿宋" w:hAnsi="仿宋" w:eastAsia="仿宋" w:cs="仿宋"/>
          <w:b w:val="0"/>
          <w:bCs w:val="0"/>
          <w:color w:val="auto"/>
          <w:sz w:val="28"/>
          <w:szCs w:val="28"/>
          <w:highlight w:val="none"/>
        </w:rPr>
      </w:pPr>
      <w:r>
        <w:rPr>
          <w:rFonts w:ascii="仿宋" w:hAnsi="仿宋" w:eastAsia="仿宋" w:cs="仿宋"/>
          <w:b w:val="0"/>
          <w:bCs w:val="0"/>
          <w:color w:val="auto"/>
          <w:sz w:val="28"/>
          <w:szCs w:val="28"/>
          <w:highlight w:val="none"/>
        </w:rPr>
        <w:t xml:space="preserve">提升乡村基础设施和公共服务水平 </w:t>
      </w:r>
    </w:p>
    <w:p>
      <w:pPr>
        <w:numPr>
          <w:ilvl w:val="0"/>
          <w:numId w:val="0"/>
        </w:numPr>
        <w:spacing w:line="560" w:lineRule="exact"/>
        <w:ind w:firstLine="560" w:firstLineChars="200"/>
        <w:rPr>
          <w:rFonts w:ascii="仿宋" w:hAnsi="仿宋" w:eastAsia="仿宋" w:cs="仿宋"/>
          <w:b w:val="0"/>
          <w:bCs w:val="0"/>
          <w:color w:val="auto"/>
          <w:sz w:val="28"/>
          <w:szCs w:val="28"/>
          <w:highlight w:val="none"/>
        </w:rPr>
      </w:pPr>
      <w:r>
        <w:rPr>
          <w:rFonts w:ascii="仿宋" w:hAnsi="仿宋" w:eastAsia="仿宋" w:cs="仿宋"/>
          <w:b w:val="0"/>
          <w:bCs w:val="0"/>
          <w:color w:val="auto"/>
          <w:sz w:val="28"/>
          <w:szCs w:val="28"/>
          <w:highlight w:val="none"/>
        </w:rPr>
        <w:t xml:space="preserve">以县域为基本单元推进城乡融合发展，强化县城综合服务能力和 乡镇服务农民功能。健全城乡基础设施统一规划、统一建设、统一管 护机制，推动市政公用设施向郊区乡村和规模较大中心镇延伸，完善 乡村水、电、路、气、邮政通信、广播电视、物流等基础设施，提升 农房建设质量。推进城乡基本公共服务标准统一、制度并轨，增加农 村教育、医疗、养老、文化等服务供给，推进县域内教师医生交流轮 岗，鼓励社会力量兴办农村公益事业。提高农民科技文化素质，推动 乡村人才振兴。 </w:t>
      </w:r>
      <w:r>
        <w:rPr>
          <w:rFonts w:hint="eastAsia" w:ascii="仿宋" w:hAnsi="仿宋" w:eastAsia="仿宋" w:cs="仿宋"/>
          <w:b w:val="0"/>
          <w:bCs w:val="0"/>
          <w:color w:val="auto"/>
          <w:sz w:val="28"/>
          <w:szCs w:val="28"/>
          <w:highlight w:val="none"/>
          <w:lang w:val="en-US" w:eastAsia="zh-CN"/>
        </w:rPr>
        <w:t xml:space="preserve">    </w:t>
      </w:r>
    </w:p>
    <w:p>
      <w:pPr>
        <w:spacing w:line="560" w:lineRule="exact"/>
        <w:ind w:firstLine="560" w:firstLineChars="200"/>
        <w:rPr>
          <w:rFonts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 xml:space="preserve">（3）改善农村人居环境 </w:t>
      </w:r>
    </w:p>
    <w:p>
      <w:pPr>
        <w:spacing w:line="560" w:lineRule="exact"/>
        <w:ind w:firstLine="560" w:firstLineChars="200"/>
        <w:rPr>
          <w:rFonts w:ascii="仿宋" w:hAnsi="仿宋" w:eastAsia="仿宋" w:cs="仿宋"/>
          <w:b w:val="0"/>
          <w:bCs w:val="0"/>
          <w:color w:val="auto"/>
          <w:sz w:val="28"/>
          <w:szCs w:val="28"/>
          <w:highlight w:val="none"/>
        </w:rPr>
      </w:pPr>
      <w:r>
        <w:rPr>
          <w:rFonts w:ascii="仿宋" w:hAnsi="仿宋" w:eastAsia="仿宋" w:cs="仿宋"/>
          <w:b w:val="0"/>
          <w:bCs w:val="0"/>
          <w:color w:val="auto"/>
          <w:sz w:val="28"/>
          <w:szCs w:val="28"/>
          <w:highlight w:val="none"/>
        </w:rPr>
        <w:t>开展农村人居环境整治提升行动，稳步解决“垃圾围村”和乡村 黑臭水体等突出环境问题。推进农村生活垃圾就地分类和资源化利 用，以乡镇政府驻地和中心村为重点梯次推进农村生活污水治理。支持因地制宜推进农村厕所革命。推进农村水系综合整治。深入开展村庄清洁和绿化行动，实现村庄公共空间及庭院房屋、村庄周边干净整 洁。</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142" w:leftChars="0" w:firstLine="560" w:firstLineChars="200"/>
        <w:textAlignment w:val="auto"/>
        <w:rPr>
          <w:rFonts w:ascii="仿宋" w:hAnsi="仿宋" w:eastAsia="仿宋" w:cs="仿宋"/>
          <w:b w:val="0"/>
          <w:bCs w:val="0"/>
          <w:color w:val="auto"/>
          <w:sz w:val="28"/>
          <w:szCs w:val="28"/>
          <w:highlight w:val="none"/>
        </w:rPr>
      </w:pPr>
      <w:r>
        <w:rPr>
          <w:rFonts w:ascii="仿宋" w:hAnsi="仿宋" w:eastAsia="仿宋" w:cs="仿宋"/>
          <w:b w:val="0"/>
          <w:bCs w:val="0"/>
          <w:color w:val="auto"/>
          <w:sz w:val="28"/>
          <w:szCs w:val="28"/>
          <w:highlight w:val="none"/>
        </w:rPr>
        <w:t xml:space="preserve">实现巩固拓展脱贫攻坚成果同乡村振兴有效衔接 </w:t>
      </w:r>
    </w:p>
    <w:p>
      <w:pPr>
        <w:numPr>
          <w:ilvl w:val="0"/>
          <w:numId w:val="0"/>
        </w:numPr>
        <w:spacing w:line="560" w:lineRule="exact"/>
        <w:ind w:left="140" w:leftChars="0" w:firstLine="560" w:firstLineChars="200"/>
        <w:rPr>
          <w:rFonts w:ascii="仿宋" w:hAnsi="仿宋" w:eastAsia="仿宋" w:cs="仿宋"/>
          <w:b w:val="0"/>
          <w:bCs w:val="0"/>
          <w:color w:val="auto"/>
          <w:sz w:val="28"/>
          <w:szCs w:val="28"/>
          <w:highlight w:val="none"/>
        </w:rPr>
      </w:pPr>
      <w:r>
        <w:rPr>
          <w:rFonts w:ascii="仿宋" w:hAnsi="仿宋" w:eastAsia="仿宋" w:cs="仿宋"/>
          <w:b w:val="0"/>
          <w:bCs w:val="0"/>
          <w:color w:val="auto"/>
          <w:sz w:val="28"/>
          <w:szCs w:val="28"/>
          <w:highlight w:val="none"/>
        </w:rPr>
        <w:t>建立完善农村低收入人口和欠发达地区帮扶机制，保持主要帮扶 政策和财政投入力度总体稳定，接续推进脱贫地区发展。</w:t>
      </w:r>
    </w:p>
    <w:p>
      <w:pPr>
        <w:numPr>
          <w:ilvl w:val="0"/>
          <w:numId w:val="4"/>
        </w:numPr>
        <w:spacing w:line="560" w:lineRule="exact"/>
        <w:ind w:left="420" w:leftChars="0" w:firstLine="0" w:firstLineChars="0"/>
        <w:rPr>
          <w:rFonts w:ascii="仿宋" w:hAnsi="仿宋" w:eastAsia="仿宋" w:cs="仿宋"/>
          <w:b w:val="0"/>
          <w:bCs w:val="0"/>
          <w:color w:val="auto"/>
          <w:sz w:val="28"/>
          <w:szCs w:val="28"/>
          <w:highlight w:val="none"/>
        </w:rPr>
      </w:pPr>
      <w:r>
        <w:rPr>
          <w:rFonts w:ascii="仿宋" w:hAnsi="仿宋" w:eastAsia="仿宋" w:cs="仿宋"/>
          <w:b w:val="0"/>
          <w:bCs w:val="0"/>
          <w:color w:val="auto"/>
          <w:sz w:val="28"/>
          <w:szCs w:val="28"/>
          <w:highlight w:val="none"/>
        </w:rPr>
        <w:t>巩固提升脱贫攻坚成果</w:t>
      </w:r>
    </w:p>
    <w:p>
      <w:pPr>
        <w:numPr>
          <w:ilvl w:val="0"/>
          <w:numId w:val="0"/>
        </w:numPr>
        <w:spacing w:line="560" w:lineRule="exact"/>
        <w:ind w:firstLine="560" w:firstLineChars="200"/>
        <w:rPr>
          <w:rFonts w:ascii="仿宋" w:hAnsi="仿宋" w:eastAsia="仿宋" w:cs="仿宋"/>
          <w:b w:val="0"/>
          <w:bCs w:val="0"/>
          <w:color w:val="auto"/>
          <w:sz w:val="28"/>
          <w:szCs w:val="28"/>
          <w:highlight w:val="none"/>
        </w:rPr>
      </w:pPr>
      <w:r>
        <w:rPr>
          <w:rFonts w:ascii="仿宋" w:hAnsi="仿宋" w:eastAsia="仿宋" w:cs="仿宋"/>
          <w:b w:val="0"/>
          <w:bCs w:val="0"/>
          <w:color w:val="auto"/>
          <w:sz w:val="28"/>
          <w:szCs w:val="28"/>
          <w:highlight w:val="none"/>
        </w:rPr>
        <w:t xml:space="preserve">严格落实“摘帽不摘责任、摘帽不摘政策、摘帽不摘帮扶、摘帽 不摘监管”要求，建立健全巩固拓展脱贫攻坚成果长效机制。健全防 止返贫动态监测和精准帮扶机制，对易返贫致贫人口实施常态化监测，建立健全快速发现和响应机制，分层分类及时纳入帮扶政策范围。 完善农村社会保障和救助制度，健全农村低收入人口常态化帮扶机 制。对脱贫地区继续实施城乡建设用地增减挂钩节余指标省内交易政 策、调整完善跨省域交易政策。加强扶贫项目资金资产管理和监督， 推动特色产业可持续发展。推广以工代赈方式，带动低收入人口就地 就近就业。做好易地扶贫搬迁后续帮扶，加强大型搬迁安置区新型城 镇化建设。 </w:t>
      </w:r>
    </w:p>
    <w:p>
      <w:pPr>
        <w:numPr>
          <w:ilvl w:val="0"/>
          <w:numId w:val="4"/>
        </w:numPr>
        <w:spacing w:line="560" w:lineRule="exact"/>
        <w:ind w:left="420" w:leftChars="0" w:firstLine="0" w:firstLineChars="0"/>
        <w:rPr>
          <w:rFonts w:ascii="仿宋" w:hAnsi="仿宋" w:eastAsia="仿宋" w:cs="仿宋"/>
          <w:b w:val="0"/>
          <w:bCs w:val="0"/>
          <w:color w:val="auto"/>
          <w:sz w:val="28"/>
          <w:szCs w:val="28"/>
          <w:highlight w:val="none"/>
        </w:rPr>
      </w:pPr>
      <w:r>
        <w:rPr>
          <w:rFonts w:ascii="仿宋" w:hAnsi="仿宋" w:eastAsia="仿宋" w:cs="仿宋"/>
          <w:b w:val="0"/>
          <w:bCs w:val="0"/>
          <w:color w:val="auto"/>
          <w:sz w:val="28"/>
          <w:szCs w:val="28"/>
          <w:highlight w:val="none"/>
        </w:rPr>
        <w:t xml:space="preserve">提升脱贫地区整体发展水平 </w:t>
      </w:r>
    </w:p>
    <w:p>
      <w:pPr>
        <w:numPr>
          <w:ilvl w:val="0"/>
          <w:numId w:val="0"/>
        </w:numPr>
        <w:spacing w:line="560" w:lineRule="exact"/>
        <w:ind w:firstLine="560" w:firstLineChars="200"/>
        <w:rPr>
          <w:rFonts w:ascii="仿宋" w:hAnsi="仿宋" w:eastAsia="仿宋" w:cs="仿宋"/>
          <w:b w:val="0"/>
          <w:bCs w:val="0"/>
          <w:color w:val="auto"/>
          <w:sz w:val="28"/>
          <w:szCs w:val="28"/>
          <w:highlight w:val="none"/>
        </w:rPr>
      </w:pPr>
      <w:r>
        <w:rPr>
          <w:rFonts w:ascii="仿宋" w:hAnsi="仿宋" w:eastAsia="仿宋" w:cs="仿宋"/>
          <w:b w:val="0"/>
          <w:bCs w:val="0"/>
          <w:color w:val="auto"/>
          <w:sz w:val="28"/>
          <w:szCs w:val="28"/>
          <w:highlight w:val="none"/>
        </w:rPr>
        <w:t>实施脱贫地区特色种养业提升行动，广泛开展农产品产销对接 活动，深化拓展消费帮扶。在西部地区脱贫县中集中支持一批乡村振 兴重点帮扶县，从财政、金融、土地、人才、基础设施、公共服务等 方面给予集中支持，增强其巩固脱贫成果及内生发展能力。坚持和完 善东西部协作和对口支援、中央单位定点帮扶、社会力量参与帮扶等机制，调整优化东西部协作结对帮扶关系和帮扶方式，强化产业合作 和劳务协作。</w:t>
      </w:r>
    </w:p>
    <w:p>
      <w:pPr>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由于上述原因开展于田县兰干乡片区工厂附属配套设施建设项目</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t>，本项目由于田县商务和工业信息化局主管，</w:t>
      </w:r>
      <w:r>
        <w:rPr>
          <w:rFonts w:hint="eastAsia" w:ascii="仿宋" w:hAnsi="仿宋" w:eastAsia="仿宋" w:cs="仿宋"/>
          <w:color w:val="auto"/>
          <w:sz w:val="28"/>
          <w:szCs w:val="28"/>
          <w:highlight w:val="none"/>
          <w:lang w:val="en-US" w:eastAsia="zh-CN"/>
        </w:rPr>
        <w:t>于田县兰干乡人民政府</w:t>
      </w:r>
      <w:r>
        <w:rPr>
          <w:rFonts w:hint="eastAsia" w:ascii="仿宋" w:hAnsi="仿宋" w:eastAsia="仿宋" w:cs="仿宋"/>
          <w:color w:val="auto"/>
          <w:sz w:val="28"/>
          <w:szCs w:val="28"/>
          <w:highlight w:val="none"/>
        </w:rPr>
        <w:t>负责实施，项目施工期为20</w:t>
      </w:r>
      <w:r>
        <w:rPr>
          <w:rFonts w:hint="eastAsia" w:ascii="仿宋" w:hAnsi="仿宋" w:eastAsia="仿宋" w:cs="仿宋"/>
          <w:color w:val="auto"/>
          <w:sz w:val="28"/>
          <w:szCs w:val="28"/>
          <w:highlight w:val="none"/>
          <w:lang w:val="en-US" w:eastAsia="zh-CN"/>
        </w:rPr>
        <w:t>24</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月-20</w:t>
      </w:r>
      <w:r>
        <w:rPr>
          <w:rFonts w:hint="eastAsia" w:ascii="仿宋" w:hAnsi="仿宋" w:eastAsia="仿宋" w:cs="仿宋"/>
          <w:color w:val="auto"/>
          <w:sz w:val="28"/>
          <w:szCs w:val="28"/>
          <w:highlight w:val="none"/>
          <w:lang w:val="en-US" w:eastAsia="zh-CN"/>
        </w:rPr>
        <w:t>24</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月。</w:t>
      </w:r>
    </w:p>
    <w:p>
      <w:pPr>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通过本项目厂房的建设，带动项目区社会经济发展，推动乡村产业振兴，有利于兰干乡建立完善农帮扶机制，接续推进脱贫地区发展， 实现巩固拓展脱贫攻坚成果同乡村振兴有效衔接。</w:t>
      </w:r>
    </w:p>
    <w:p>
      <w:pPr>
        <w:spacing w:line="560" w:lineRule="exact"/>
        <w:ind w:firstLine="562" w:firstLineChars="200"/>
        <w:rPr>
          <w:rFonts w:ascii="仿宋_GB2312" w:hAnsi="Times New Roman" w:eastAsia="仿宋_GB2312" w:cs="Times New Roman"/>
          <w:b/>
          <w:bCs/>
          <w:color w:val="auto"/>
          <w:sz w:val="28"/>
          <w:szCs w:val="32"/>
          <w:highlight w:val="none"/>
        </w:rPr>
      </w:pPr>
      <w:r>
        <w:rPr>
          <w:rFonts w:ascii="仿宋_GB2312" w:hAnsi="Times New Roman" w:eastAsia="仿宋_GB2312" w:cs="Times New Roman"/>
          <w:b/>
          <w:bCs/>
          <w:color w:val="auto"/>
          <w:sz w:val="28"/>
          <w:szCs w:val="32"/>
          <w:highlight w:val="none"/>
        </w:rPr>
        <w:t>3</w:t>
      </w:r>
      <w:r>
        <w:rPr>
          <w:rFonts w:hint="eastAsia" w:ascii="仿宋_GB2312" w:hAnsi="Times New Roman" w:eastAsia="仿宋_GB2312" w:cs="Times New Roman"/>
          <w:b/>
          <w:bCs/>
          <w:color w:val="auto"/>
          <w:sz w:val="28"/>
          <w:szCs w:val="32"/>
          <w:highlight w:val="none"/>
        </w:rPr>
        <w:t>、项目实施依据及范围</w:t>
      </w:r>
    </w:p>
    <w:p>
      <w:pPr>
        <w:spacing w:line="560" w:lineRule="exact"/>
        <w:ind w:firstLine="560" w:firstLineChars="200"/>
        <w:rPr>
          <w:rFonts w:hint="eastAsia" w:ascii="仿宋" w:hAnsi="仿宋" w:eastAsia="仿宋" w:cs="仿宋"/>
          <w:color w:val="auto"/>
          <w:sz w:val="28"/>
          <w:szCs w:val="32"/>
          <w:highlight w:val="none"/>
          <w:lang w:eastAsia="zh-CN"/>
        </w:rPr>
      </w:pPr>
      <w:r>
        <w:rPr>
          <w:rFonts w:hint="eastAsia" w:ascii="仿宋" w:hAnsi="仿宋" w:eastAsia="仿宋" w:cs="仿宋"/>
          <w:color w:val="auto"/>
          <w:sz w:val="28"/>
          <w:szCs w:val="32"/>
          <w:highlight w:val="none"/>
        </w:rPr>
        <w:t>于田县兰干乡片区工厂附属配套设施建设项目</w:t>
      </w:r>
      <w:r>
        <w:rPr>
          <w:rFonts w:hint="eastAsia" w:ascii="仿宋" w:hAnsi="仿宋" w:eastAsia="仿宋" w:cs="仿宋"/>
          <w:color w:val="auto"/>
          <w:sz w:val="28"/>
          <w:szCs w:val="32"/>
          <w:highlight w:val="none"/>
        </w:rPr>
        <w:tab/>
      </w:r>
      <w:r>
        <w:rPr>
          <w:rFonts w:hint="eastAsia" w:ascii="仿宋" w:hAnsi="仿宋" w:eastAsia="仿宋" w:cs="仿宋"/>
          <w:color w:val="auto"/>
          <w:sz w:val="28"/>
          <w:szCs w:val="32"/>
          <w:highlight w:val="none"/>
        </w:rPr>
        <w:t>，根据于田县商务和工业信息化局和于田县财政局下发的《关于对于田县兰干乡片区工厂附属配套设施建设项目实施方案的批复》（于商工办(2024〕2号）文批复立项实施，实施范围涉及</w:t>
      </w:r>
      <w:r>
        <w:rPr>
          <w:rFonts w:hint="eastAsia" w:ascii="仿宋" w:hAnsi="仿宋" w:eastAsia="仿宋" w:cs="仿宋"/>
          <w:color w:val="auto"/>
          <w:sz w:val="28"/>
          <w:szCs w:val="32"/>
          <w:highlight w:val="none"/>
          <w:lang w:val="en-US" w:eastAsia="zh-CN"/>
        </w:rPr>
        <w:t>兰干乡英巴扎村</w:t>
      </w:r>
      <w:r>
        <w:rPr>
          <w:rFonts w:hint="eastAsia" w:ascii="仿宋" w:hAnsi="仿宋" w:eastAsia="仿宋" w:cs="仿宋"/>
          <w:color w:val="auto"/>
          <w:sz w:val="28"/>
          <w:szCs w:val="32"/>
          <w:highlight w:val="none"/>
        </w:rPr>
        <w:t>。 建设内容：</w:t>
      </w:r>
      <w:r>
        <w:rPr>
          <w:rFonts w:hint="eastAsia" w:ascii="仿宋" w:hAnsi="仿宋" w:eastAsia="仿宋" w:cs="仿宋"/>
          <w:b w:val="0"/>
          <w:bCs w:val="0"/>
          <w:color w:val="auto"/>
          <w:sz w:val="28"/>
          <w:szCs w:val="28"/>
          <w:highlight w:val="none"/>
        </w:rPr>
        <w:t>新建连廊5座(单座146.97平方米),共计734.85平方米;门斗1座(单座50.41平方米)，共计50.41平方米</w:t>
      </w:r>
      <w:r>
        <w:rPr>
          <w:rFonts w:hint="eastAsia" w:ascii="仿宋" w:hAnsi="仿宋" w:eastAsia="仿宋" w:cs="仿宋"/>
          <w:b w:val="0"/>
          <w:bCs w:val="0"/>
          <w:color w:val="auto"/>
          <w:sz w:val="28"/>
          <w:szCs w:val="28"/>
          <w:highlight w:val="none"/>
          <w:lang w:eastAsia="zh-CN"/>
        </w:rPr>
        <w:t>。通过本项目的实施，使片区工厂进一步发展，做大做前强轻工业经济，提升片区工厂承载能力，促进产业发展的需要，进而带动经济更进一步发展。</w:t>
      </w:r>
    </w:p>
    <w:p>
      <w:pPr>
        <w:spacing w:line="560" w:lineRule="exact"/>
        <w:ind w:firstLine="562" w:firstLineChars="200"/>
        <w:rPr>
          <w:rFonts w:ascii="仿宋_GB2312" w:hAnsi="Times New Roman" w:eastAsia="仿宋_GB2312" w:cs="Times New Roman"/>
          <w:b/>
          <w:bCs/>
          <w:color w:val="auto"/>
          <w:sz w:val="28"/>
          <w:szCs w:val="32"/>
          <w:highlight w:val="none"/>
        </w:rPr>
      </w:pPr>
      <w:r>
        <w:rPr>
          <w:rFonts w:ascii="仿宋_GB2312" w:hAnsi="Times New Roman" w:eastAsia="仿宋_GB2312" w:cs="Times New Roman"/>
          <w:b/>
          <w:bCs/>
          <w:color w:val="auto"/>
          <w:sz w:val="28"/>
          <w:szCs w:val="32"/>
          <w:highlight w:val="none"/>
        </w:rPr>
        <w:t>4</w:t>
      </w:r>
      <w:r>
        <w:rPr>
          <w:rFonts w:hint="eastAsia" w:ascii="仿宋_GB2312" w:hAnsi="Times New Roman" w:eastAsia="仿宋_GB2312" w:cs="Times New Roman"/>
          <w:b/>
          <w:bCs/>
          <w:color w:val="auto"/>
          <w:sz w:val="28"/>
          <w:szCs w:val="32"/>
          <w:highlight w:val="none"/>
        </w:rPr>
        <w:t>、项目基本性质及类别</w:t>
      </w:r>
    </w:p>
    <w:p>
      <w:pPr>
        <w:spacing w:line="560" w:lineRule="exact"/>
        <w:ind w:firstLine="560" w:firstLineChars="200"/>
        <w:rPr>
          <w:rFonts w:hint="eastAsia" w:ascii="仿宋" w:hAnsi="仿宋" w:eastAsia="仿宋" w:cs="仿宋"/>
          <w:b w:val="0"/>
          <w:bCs w:val="0"/>
          <w:color w:val="auto"/>
          <w:sz w:val="28"/>
          <w:szCs w:val="28"/>
          <w:highlight w:val="none"/>
          <w:lang w:eastAsia="zh-CN"/>
        </w:rPr>
      </w:pPr>
      <w:r>
        <w:rPr>
          <w:rFonts w:hint="eastAsia" w:ascii="仿宋" w:hAnsi="仿宋" w:eastAsia="仿宋" w:cs="仿宋"/>
          <w:b w:val="0"/>
          <w:bCs w:val="0"/>
          <w:color w:val="auto"/>
          <w:sz w:val="28"/>
          <w:szCs w:val="28"/>
          <w:highlight w:val="none"/>
          <w:lang w:eastAsia="zh-CN"/>
        </w:rPr>
        <w:t>于田县兰干乡片区工厂附属配套设施建设项目</w:t>
      </w:r>
      <w:r>
        <w:rPr>
          <w:rFonts w:hint="eastAsia" w:ascii="仿宋" w:hAnsi="仿宋" w:eastAsia="仿宋" w:cs="仿宋"/>
          <w:b w:val="0"/>
          <w:bCs w:val="0"/>
          <w:color w:val="auto"/>
          <w:sz w:val="28"/>
          <w:szCs w:val="28"/>
          <w:highlight w:val="none"/>
          <w:lang w:val="en-US" w:eastAsia="zh-CN"/>
        </w:rPr>
        <w:t>属于基础设施配套项目</w:t>
      </w:r>
      <w:r>
        <w:rPr>
          <w:rFonts w:hint="eastAsia" w:ascii="仿宋" w:hAnsi="仿宋" w:eastAsia="仿宋" w:cs="仿宋"/>
          <w:b w:val="0"/>
          <w:bCs w:val="0"/>
          <w:color w:val="auto"/>
          <w:sz w:val="28"/>
          <w:szCs w:val="28"/>
          <w:highlight w:val="none"/>
          <w:lang w:eastAsia="zh-CN"/>
        </w:rPr>
        <w:t>，属于乡村振兴衔接资金项目。</w:t>
      </w:r>
    </w:p>
    <w:p>
      <w:pPr>
        <w:spacing w:line="560" w:lineRule="exact"/>
        <w:ind w:firstLine="546" w:firstLineChars="200"/>
        <w:rPr>
          <w:rStyle w:val="18"/>
          <w:rFonts w:ascii="楷体_GB2312" w:hAnsi="楷体" w:cs="Times New Roman"/>
          <w:color w:val="auto"/>
          <w:spacing w:val="-4"/>
          <w:sz w:val="28"/>
          <w:szCs w:val="32"/>
          <w:highlight w:val="none"/>
        </w:rPr>
      </w:pPr>
      <w:r>
        <w:rPr>
          <w:rStyle w:val="18"/>
          <w:rFonts w:hint="eastAsia" w:ascii="楷体_GB2312" w:hAnsi="楷体" w:cs="Times New Roman"/>
          <w:color w:val="auto"/>
          <w:spacing w:val="-4"/>
          <w:sz w:val="28"/>
          <w:szCs w:val="32"/>
          <w:highlight w:val="none"/>
        </w:rPr>
        <w:t>（二）财政专项乡村振兴衔接资金项目绩效目标设定情况</w:t>
      </w:r>
    </w:p>
    <w:p>
      <w:pPr>
        <w:spacing w:line="560" w:lineRule="exact"/>
        <w:ind w:firstLine="562" w:firstLineChars="200"/>
        <w:rPr>
          <w:rFonts w:ascii="仿宋_GB2312" w:hAnsi="Times New Roman" w:eastAsia="仿宋_GB2312" w:cs="Times New Roman"/>
          <w:b/>
          <w:bCs/>
          <w:color w:val="auto"/>
          <w:sz w:val="28"/>
          <w:szCs w:val="32"/>
          <w:highlight w:val="none"/>
        </w:rPr>
      </w:pPr>
      <w:r>
        <w:rPr>
          <w:rFonts w:hint="eastAsia" w:ascii="仿宋_GB2312" w:hAnsi="Times New Roman" w:eastAsia="仿宋_GB2312" w:cs="Times New Roman"/>
          <w:b/>
          <w:bCs/>
          <w:color w:val="auto"/>
          <w:sz w:val="28"/>
          <w:szCs w:val="32"/>
          <w:highlight w:val="none"/>
        </w:rPr>
        <w:t>1.项目绩效总体目标</w:t>
      </w:r>
    </w:p>
    <w:p>
      <w:pPr>
        <w:pStyle w:val="52"/>
        <w:spacing w:line="560" w:lineRule="exact"/>
        <w:ind w:left="3" w:right="3" w:firstLine="560"/>
        <w:rPr>
          <w:rFonts w:hint="eastAsia" w:ascii="仿宋" w:hAnsi="仿宋" w:eastAsia="仿宋" w:cs="仿宋"/>
          <w:color w:val="auto"/>
          <w:szCs w:val="32"/>
          <w:highlight w:val="none"/>
        </w:rPr>
      </w:pPr>
      <w:r>
        <w:rPr>
          <w:rFonts w:hint="eastAsia" w:ascii="仿宋" w:hAnsi="仿宋" w:eastAsia="仿宋" w:cs="仿宋"/>
          <w:color w:val="auto"/>
          <w:szCs w:val="32"/>
          <w:highlight w:val="none"/>
        </w:rPr>
        <w:t>于田县兰干乡片区工厂附属配套设施建设项目总投资</w:t>
      </w:r>
      <w:r>
        <w:rPr>
          <w:rFonts w:hint="eastAsia" w:ascii="仿宋" w:hAnsi="仿宋" w:eastAsia="仿宋" w:cs="仿宋"/>
          <w:color w:val="auto"/>
          <w:szCs w:val="32"/>
          <w:highlight w:val="none"/>
          <w:lang w:val="en-US" w:eastAsia="zh-CN"/>
        </w:rPr>
        <w:t>150</w:t>
      </w:r>
      <w:r>
        <w:rPr>
          <w:rFonts w:hint="eastAsia" w:ascii="仿宋" w:hAnsi="仿宋" w:eastAsia="仿宋" w:cs="仿宋"/>
          <w:color w:val="auto"/>
          <w:szCs w:val="32"/>
          <w:highlight w:val="none"/>
        </w:rPr>
        <w:t>万元，全部申请以乡村振兴衔接资金。主要内容为：</w:t>
      </w:r>
      <w:r>
        <w:rPr>
          <w:rFonts w:hint="eastAsia" w:ascii="仿宋" w:hAnsi="仿宋" w:eastAsia="仿宋" w:cs="仿宋"/>
          <w:b w:val="0"/>
          <w:bCs w:val="0"/>
          <w:color w:val="auto"/>
          <w:sz w:val="28"/>
          <w:szCs w:val="28"/>
          <w:highlight w:val="none"/>
        </w:rPr>
        <w:t>新建连廊5座(单座146.97平方米),共计734.85平方米;门斗1座(单座50.41平方米)，共计50.41平方米</w:t>
      </w:r>
      <w:r>
        <w:rPr>
          <w:rFonts w:hint="eastAsia" w:ascii="仿宋" w:hAnsi="仿宋" w:eastAsia="仿宋" w:cs="仿宋"/>
          <w:b w:val="0"/>
          <w:bCs w:val="0"/>
          <w:color w:val="auto"/>
          <w:sz w:val="28"/>
          <w:szCs w:val="28"/>
          <w:highlight w:val="none"/>
          <w:lang w:eastAsia="zh-CN"/>
        </w:rPr>
        <w:t>。</w:t>
      </w:r>
    </w:p>
    <w:p>
      <w:pPr>
        <w:pStyle w:val="52"/>
        <w:spacing w:line="560" w:lineRule="exact"/>
        <w:ind w:left="3" w:right="3" w:firstLine="560"/>
        <w:rPr>
          <w:rFonts w:ascii="仿宋_GB2312"/>
          <w:color w:val="auto"/>
          <w:szCs w:val="32"/>
          <w:highlight w:val="none"/>
        </w:rPr>
      </w:pPr>
      <w:r>
        <w:rPr>
          <w:rFonts w:hint="eastAsia" w:ascii="仿宋" w:hAnsi="仿宋" w:eastAsia="仿宋" w:cs="仿宋"/>
          <w:color w:val="auto"/>
          <w:szCs w:val="32"/>
          <w:highlight w:val="none"/>
        </w:rPr>
        <w:t>通过</w:t>
      </w:r>
      <w:r>
        <w:rPr>
          <w:rFonts w:hint="eastAsia" w:ascii="仿宋" w:hAnsi="仿宋" w:eastAsia="仿宋" w:cs="仿宋"/>
          <w:color w:val="auto"/>
          <w:szCs w:val="32"/>
          <w:highlight w:val="none"/>
        </w:rPr>
        <w:t>于田县兰干乡片区工厂附属配套设施建设项目实施，使片区工厂进一步发展，做大做前强轻工业经济，提升片区工厂承载能力，促进产业发展的需要，进而带动经济更进一步发展。</w:t>
      </w:r>
    </w:p>
    <w:p>
      <w:pPr>
        <w:pStyle w:val="52"/>
        <w:spacing w:line="560" w:lineRule="exact"/>
        <w:ind w:left="3" w:right="3" w:firstLine="562"/>
        <w:rPr>
          <w:rFonts w:ascii="仿宋_GB2312"/>
          <w:b/>
          <w:bCs/>
          <w:color w:val="auto"/>
          <w:szCs w:val="32"/>
          <w:highlight w:val="none"/>
        </w:rPr>
      </w:pPr>
      <w:r>
        <w:rPr>
          <w:rFonts w:hint="eastAsia" w:ascii="仿宋_GB2312"/>
          <w:b/>
          <w:bCs/>
          <w:color w:val="auto"/>
          <w:szCs w:val="32"/>
          <w:highlight w:val="none"/>
        </w:rPr>
        <w:t>2.具体绩效指标</w:t>
      </w:r>
    </w:p>
    <w:p>
      <w:pPr>
        <w:pStyle w:val="52"/>
        <w:spacing w:line="560" w:lineRule="exact"/>
        <w:ind w:left="3" w:right="3" w:firstLine="560"/>
        <w:rPr>
          <w:rFonts w:ascii="仿宋_GB2312"/>
          <w:color w:val="auto"/>
          <w:szCs w:val="32"/>
          <w:highlight w:val="none"/>
        </w:rPr>
      </w:pPr>
      <w:r>
        <w:rPr>
          <w:rFonts w:hint="eastAsia" w:ascii="仿宋" w:hAnsi="仿宋" w:eastAsia="仿宋" w:cs="仿宋"/>
          <w:color w:val="auto"/>
          <w:szCs w:val="32"/>
          <w:highlight w:val="none"/>
        </w:rPr>
        <w:t>根据《自治区财政专项扶贫资金绩效管理操作指南》（新财预〔2019〕170号）的规定，结合项目具体情况，本项目共设置一级指标3个，二级指标</w:t>
      </w:r>
      <w:r>
        <w:rPr>
          <w:rFonts w:hint="eastAsia" w:ascii="仿宋" w:hAnsi="仿宋" w:eastAsia="仿宋" w:cs="仿宋"/>
          <w:color w:val="auto"/>
          <w:szCs w:val="32"/>
          <w:highlight w:val="none"/>
          <w:lang w:val="en-US" w:eastAsia="zh-CN"/>
        </w:rPr>
        <w:t>7</w:t>
      </w:r>
      <w:r>
        <w:rPr>
          <w:rFonts w:hint="eastAsia" w:ascii="仿宋" w:hAnsi="仿宋" w:eastAsia="仿宋" w:cs="仿宋"/>
          <w:color w:val="auto"/>
          <w:szCs w:val="32"/>
          <w:highlight w:val="none"/>
        </w:rPr>
        <w:t>个，三级指标</w:t>
      </w:r>
      <w:r>
        <w:rPr>
          <w:rFonts w:hint="eastAsia" w:ascii="仿宋" w:hAnsi="仿宋" w:eastAsia="仿宋" w:cs="仿宋"/>
          <w:color w:val="auto"/>
          <w:szCs w:val="32"/>
          <w:highlight w:val="none"/>
          <w:lang w:val="en-US" w:eastAsia="zh-CN"/>
        </w:rPr>
        <w:t>12</w:t>
      </w:r>
      <w:r>
        <w:rPr>
          <w:rFonts w:hint="eastAsia" w:ascii="仿宋" w:hAnsi="仿宋" w:eastAsia="仿宋" w:cs="仿宋"/>
          <w:color w:val="auto"/>
          <w:szCs w:val="32"/>
          <w:highlight w:val="none"/>
        </w:rPr>
        <w:t>个。</w:t>
      </w:r>
    </w:p>
    <w:p>
      <w:pPr>
        <w:pStyle w:val="29"/>
        <w:spacing w:before="120"/>
        <w:ind w:left="0" w:leftChars="0" w:right="3" w:firstLine="562" w:firstLineChars="200"/>
        <w:rPr>
          <w:rFonts w:eastAsia="宋体"/>
          <w:color w:val="auto"/>
          <w:sz w:val="21"/>
          <w:highlight w:val="none"/>
        </w:rPr>
      </w:pPr>
      <w:r>
        <w:rPr>
          <w:rFonts w:hint="eastAsia"/>
          <w:color w:val="auto"/>
          <w:highlight w:val="none"/>
        </w:rPr>
        <w:t>二、绩效自评工作开展情况</w:t>
      </w:r>
    </w:p>
    <w:p>
      <w:pPr>
        <w:spacing w:line="560" w:lineRule="exact"/>
        <w:ind w:firstLine="546" w:firstLineChars="200"/>
        <w:rPr>
          <w:rStyle w:val="18"/>
          <w:rFonts w:ascii="楷体_GB2312" w:hAnsi="楷体" w:cs="Times New Roman"/>
          <w:color w:val="auto"/>
          <w:spacing w:val="-4"/>
          <w:sz w:val="28"/>
          <w:szCs w:val="32"/>
          <w:highlight w:val="none"/>
        </w:rPr>
      </w:pPr>
      <w:r>
        <w:rPr>
          <w:rStyle w:val="18"/>
          <w:rFonts w:hint="eastAsia" w:ascii="楷体_GB2312" w:hAnsi="楷体" w:cs="Times New Roman"/>
          <w:color w:val="auto"/>
          <w:spacing w:val="-4"/>
          <w:sz w:val="28"/>
          <w:szCs w:val="32"/>
          <w:highlight w:val="none"/>
        </w:rPr>
        <w:t>（一）绩效自评工作开展范围</w:t>
      </w:r>
    </w:p>
    <w:p>
      <w:pPr>
        <w:pStyle w:val="52"/>
        <w:spacing w:line="560" w:lineRule="exact"/>
        <w:ind w:left="3" w:right="3" w:firstLine="560"/>
        <w:rPr>
          <w:color w:val="auto"/>
          <w:highlight w:val="none"/>
        </w:rPr>
      </w:pPr>
      <w:r>
        <w:rPr>
          <w:rFonts w:hint="eastAsia" w:ascii="仿宋" w:hAnsi="仿宋" w:eastAsia="仿宋" w:cs="仿宋"/>
          <w:color w:val="auto"/>
          <w:highlight w:val="none"/>
        </w:rPr>
        <w:t>本次自评范围涵盖项目总体绩效目标、各项绩效指标完成情况以及预算执行情况。</w:t>
      </w:r>
    </w:p>
    <w:p>
      <w:pPr>
        <w:spacing w:line="560" w:lineRule="exact"/>
        <w:ind w:firstLine="546" w:firstLineChars="200"/>
        <w:rPr>
          <w:rStyle w:val="18"/>
          <w:rFonts w:ascii="楷体_GB2312" w:hAnsi="楷体" w:cs="Times New Roman"/>
          <w:color w:val="auto"/>
          <w:spacing w:val="-4"/>
          <w:sz w:val="28"/>
          <w:szCs w:val="32"/>
          <w:highlight w:val="none"/>
        </w:rPr>
      </w:pPr>
      <w:r>
        <w:rPr>
          <w:rStyle w:val="18"/>
          <w:rFonts w:hint="eastAsia" w:ascii="楷体_GB2312" w:hAnsi="楷体" w:cs="Times New Roman"/>
          <w:color w:val="auto"/>
          <w:spacing w:val="-4"/>
          <w:sz w:val="28"/>
          <w:szCs w:val="32"/>
          <w:highlight w:val="none"/>
        </w:rPr>
        <w:t>（二）绩效自评工作对象</w:t>
      </w:r>
    </w:p>
    <w:p>
      <w:pPr>
        <w:pStyle w:val="52"/>
        <w:spacing w:line="560" w:lineRule="exact"/>
        <w:ind w:left="3" w:right="3" w:firstLine="560"/>
        <w:rPr>
          <w:rFonts w:hint="eastAsia" w:ascii="仿宋" w:hAnsi="仿宋" w:eastAsia="仿宋" w:cs="仿宋"/>
          <w:color w:val="auto"/>
          <w:highlight w:val="none"/>
        </w:rPr>
      </w:pPr>
      <w:r>
        <w:rPr>
          <w:rFonts w:hint="eastAsia" w:ascii="仿宋" w:hAnsi="仿宋" w:eastAsia="仿宋" w:cs="仿宋"/>
          <w:color w:val="auto"/>
          <w:highlight w:val="none"/>
        </w:rP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ascii="仿宋" w:hAnsi="仿宋" w:eastAsia="仿宋" w:cs="仿宋"/>
          <w:color w:val="auto"/>
          <w:szCs w:val="32"/>
          <w:highlight w:val="none"/>
        </w:rPr>
        <w:t>于田县兰干乡片区工厂附属配套设施建设项目</w:t>
      </w:r>
      <w:r>
        <w:rPr>
          <w:rFonts w:hint="eastAsia" w:ascii="仿宋" w:hAnsi="仿宋" w:eastAsia="仿宋" w:cs="仿宋"/>
          <w:color w:val="auto"/>
          <w:highlight w:val="none"/>
        </w:rPr>
        <w:t>资金的使用管理、项目产出、综合效益等进行评价。</w:t>
      </w:r>
    </w:p>
    <w:p>
      <w:pPr>
        <w:spacing w:line="560" w:lineRule="exact"/>
        <w:ind w:firstLine="546" w:firstLineChars="200"/>
        <w:rPr>
          <w:rStyle w:val="18"/>
          <w:rFonts w:ascii="楷体_GB2312" w:hAnsi="楷体" w:cs="Times New Roman"/>
          <w:color w:val="auto"/>
          <w:spacing w:val="-4"/>
          <w:sz w:val="28"/>
          <w:szCs w:val="32"/>
          <w:highlight w:val="none"/>
        </w:rPr>
      </w:pPr>
      <w:r>
        <w:rPr>
          <w:rStyle w:val="18"/>
          <w:rFonts w:hint="eastAsia" w:ascii="楷体_GB2312" w:hAnsi="楷体" w:cs="Times New Roman"/>
          <w:color w:val="auto"/>
          <w:spacing w:val="-4"/>
          <w:sz w:val="28"/>
          <w:szCs w:val="32"/>
          <w:highlight w:val="none"/>
        </w:rPr>
        <w:t>（三）绩效自评工作方式</w:t>
      </w:r>
    </w:p>
    <w:p>
      <w:pPr>
        <w:pStyle w:val="33"/>
        <w:rPr>
          <w:rFonts w:hint="eastAsia" w:ascii="仿宋" w:hAnsi="仿宋" w:eastAsia="仿宋" w:cs="仿宋"/>
          <w:color w:val="auto"/>
          <w:highlight w:val="none"/>
        </w:rPr>
      </w:pPr>
      <w:r>
        <w:rPr>
          <w:rFonts w:hint="eastAsia" w:ascii="仿宋" w:hAnsi="仿宋" w:eastAsia="仿宋" w:cs="仿宋"/>
          <w:color w:val="auto"/>
          <w:highlight w:val="none"/>
        </w:rPr>
        <w:t>1.前期准备</w:t>
      </w:r>
    </w:p>
    <w:p>
      <w:pPr>
        <w:pStyle w:val="52"/>
        <w:spacing w:line="560" w:lineRule="exact"/>
        <w:ind w:left="3" w:right="0" w:rightChars="0" w:firstLine="560"/>
        <w:rPr>
          <w:rFonts w:hint="eastAsia" w:ascii="仿宋" w:hAnsi="仿宋" w:eastAsia="仿宋" w:cs="仿宋"/>
          <w:color w:val="auto"/>
          <w:highlight w:val="none"/>
        </w:rPr>
      </w:pPr>
      <w:r>
        <w:rPr>
          <w:rFonts w:hint="eastAsia" w:ascii="仿宋" w:hAnsi="仿宋" w:eastAsia="仿宋" w:cs="仿宋"/>
          <w:color w:val="auto"/>
          <w:highlight w:val="none"/>
        </w:rPr>
        <w:t>202</w:t>
      </w:r>
      <w:r>
        <w:rPr>
          <w:rFonts w:hint="eastAsia" w:ascii="仿宋" w:hAnsi="仿宋" w:eastAsia="仿宋" w:cs="仿宋"/>
          <w:color w:val="auto"/>
          <w:highlight w:val="none"/>
          <w:lang w:val="en-US" w:eastAsia="zh-CN"/>
        </w:rPr>
        <w:t>4</w:t>
      </w:r>
      <w:r>
        <w:rPr>
          <w:rFonts w:hint="eastAsia" w:ascii="仿宋" w:hAnsi="仿宋" w:eastAsia="仿宋" w:cs="仿宋"/>
          <w:color w:val="auto"/>
          <w:highlight w:val="none"/>
        </w:rPr>
        <w:t>年，认真学习相关要求与规定，成立绩效自评工作组，作为绩效自评工作具体实施机构。成员构成如下：</w:t>
      </w:r>
    </w:p>
    <w:p>
      <w:pPr>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组  长：覃舜波                            乡党委书记</w:t>
      </w:r>
    </w:p>
    <w:p>
      <w:pPr>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阿地力江·阿不都拉                乡党委副书记、乡长</w:t>
      </w:r>
    </w:p>
    <w:p>
      <w:pPr>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副组长：牛聚鹏                                副乡长</w:t>
      </w:r>
    </w:p>
    <w:p>
      <w:pPr>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  员：舒纪祥                            项目办干部</w:t>
      </w:r>
    </w:p>
    <w:p>
      <w:pPr>
        <w:spacing w:line="560" w:lineRule="exact"/>
        <w:ind w:firstLine="1680" w:firstLineChars="6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美合日阿依·阿卜来提</w:t>
      </w:r>
      <w:r>
        <w:rPr>
          <w:rFonts w:hint="eastAsia" w:ascii="仿宋" w:hAnsi="仿宋" w:eastAsia="仿宋" w:cs="仿宋"/>
          <w:color w:val="auto"/>
          <w:sz w:val="28"/>
          <w:szCs w:val="28"/>
          <w:highlight w:val="none"/>
        </w:rPr>
        <w:t xml:space="preserve">             项目办干部</w:t>
      </w:r>
    </w:p>
    <w:p>
      <w:pPr>
        <w:spacing w:line="560" w:lineRule="exact"/>
        <w:ind w:firstLine="1680" w:firstLineChars="6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吾麦尔将·阿吾力孜              乡财政所所长</w:t>
      </w:r>
    </w:p>
    <w:p>
      <w:pPr>
        <w:pStyle w:val="52"/>
        <w:spacing w:line="560" w:lineRule="exact"/>
        <w:ind w:left="3" w:right="3" w:firstLine="560"/>
        <w:rPr>
          <w:rFonts w:hint="eastAsia" w:ascii="仿宋" w:hAnsi="仿宋" w:eastAsia="仿宋" w:cs="仿宋"/>
          <w:color w:val="auto"/>
          <w:highlight w:val="none"/>
        </w:rPr>
      </w:pPr>
      <w:r>
        <w:rPr>
          <w:rFonts w:hint="eastAsia" w:ascii="仿宋" w:hAnsi="仿宋" w:eastAsia="仿宋" w:cs="仿宋"/>
          <w:color w:val="auto"/>
          <w:highlight w:val="none"/>
        </w:rPr>
        <w:t>办公室负责项目的计划制定、实施，督查、指导相关单位共同做好项目管理工作。切实把该项目作为</w:t>
      </w:r>
      <w:r>
        <w:rPr>
          <w:rFonts w:hint="eastAsia" w:ascii="仿宋" w:hAnsi="仿宋" w:eastAsia="仿宋" w:cs="仿宋"/>
          <w:color w:val="auto"/>
          <w:sz w:val="28"/>
          <w:szCs w:val="28"/>
          <w:highlight w:val="none"/>
        </w:rPr>
        <w:t>农村发展</w:t>
      </w:r>
      <w:r>
        <w:rPr>
          <w:rFonts w:hint="eastAsia" w:ascii="仿宋" w:hAnsi="仿宋" w:eastAsia="仿宋" w:cs="仿宋"/>
          <w:color w:val="auto"/>
          <w:highlight w:val="none"/>
        </w:rPr>
        <w:t>的重要举措来抓，加强领导，明确分工，落实责任，密切配合，形成合力，推动该项目顺利实施。由</w:t>
      </w:r>
      <w:r>
        <w:rPr>
          <w:rFonts w:hint="eastAsia" w:ascii="仿宋" w:hAnsi="仿宋" w:eastAsia="仿宋" w:cs="仿宋"/>
          <w:color w:val="auto"/>
          <w:sz w:val="28"/>
          <w:szCs w:val="28"/>
          <w:highlight w:val="none"/>
        </w:rPr>
        <w:t>于田县兰干乡人民政</w:t>
      </w:r>
      <w:r>
        <w:rPr>
          <w:rFonts w:hint="eastAsia" w:ascii="仿宋" w:hAnsi="仿宋" w:eastAsia="仿宋" w:cs="仿宋"/>
          <w:color w:val="auto"/>
          <w:highlight w:val="none"/>
        </w:rPr>
        <w:t>牵头，负责整个项目的统筹安排和经费使用管理工作，实现分级管理制度。</w:t>
      </w:r>
    </w:p>
    <w:p>
      <w:pPr>
        <w:pStyle w:val="33"/>
        <w:rPr>
          <w:rFonts w:hint="eastAsia" w:ascii="仿宋" w:hAnsi="仿宋" w:eastAsia="仿宋" w:cs="仿宋"/>
          <w:color w:val="auto"/>
          <w:highlight w:val="none"/>
        </w:rPr>
      </w:pPr>
      <w:r>
        <w:rPr>
          <w:rFonts w:hint="eastAsia" w:ascii="仿宋" w:hAnsi="仿宋" w:eastAsia="仿宋" w:cs="仿宋"/>
          <w:color w:val="auto"/>
          <w:highlight w:val="none"/>
        </w:rPr>
        <w:t>2.组织实施</w:t>
      </w:r>
    </w:p>
    <w:p>
      <w:pPr>
        <w:pStyle w:val="52"/>
        <w:spacing w:line="560" w:lineRule="exact"/>
        <w:ind w:left="3" w:right="3" w:firstLine="560"/>
        <w:rPr>
          <w:rFonts w:hint="eastAsia" w:ascii="仿宋" w:hAnsi="仿宋" w:eastAsia="仿宋" w:cs="仿宋"/>
          <w:color w:val="auto"/>
          <w:highlight w:val="none"/>
        </w:rPr>
      </w:pPr>
      <w:r>
        <w:rPr>
          <w:rFonts w:hint="eastAsia" w:ascii="仿宋" w:hAnsi="仿宋" w:eastAsia="仿宋" w:cs="仿宋"/>
          <w:color w:val="auto"/>
          <w:highlight w:val="none"/>
        </w:rPr>
        <w:t>成立绩效自评工作组后，经评价组通过实地调研等方式，采用综合分析法对项目的决策、管理、绩效进行的综合评价分析。</w:t>
      </w:r>
    </w:p>
    <w:p>
      <w:pPr>
        <w:pStyle w:val="33"/>
        <w:rPr>
          <w:rFonts w:hint="eastAsia" w:ascii="仿宋" w:hAnsi="仿宋" w:eastAsia="仿宋" w:cs="仿宋"/>
          <w:color w:val="auto"/>
          <w:highlight w:val="none"/>
        </w:rPr>
      </w:pPr>
      <w:r>
        <w:rPr>
          <w:rFonts w:hint="eastAsia" w:ascii="仿宋" w:hAnsi="仿宋" w:eastAsia="仿宋" w:cs="仿宋"/>
          <w:color w:val="auto"/>
          <w:highlight w:val="none"/>
        </w:rPr>
        <w:t>3.分析评价。</w:t>
      </w:r>
    </w:p>
    <w:p>
      <w:pPr>
        <w:pStyle w:val="52"/>
        <w:spacing w:line="560" w:lineRule="exact"/>
        <w:ind w:left="3" w:right="3" w:firstLine="560"/>
        <w:rPr>
          <w:rFonts w:hint="eastAsia" w:ascii="仿宋" w:hAnsi="仿宋" w:eastAsia="仿宋" w:cs="仿宋"/>
          <w:color w:val="auto"/>
          <w:highlight w:val="none"/>
        </w:rPr>
      </w:pPr>
      <w:r>
        <w:rPr>
          <w:rFonts w:hint="eastAsia" w:ascii="仿宋" w:hAnsi="仿宋" w:eastAsia="仿宋" w:cs="仿宋"/>
          <w:color w:val="auto"/>
          <w:highlight w:val="none"/>
        </w:rPr>
        <w:t>首先按照指标体系进行定量、定性分析。其次开展量化打分、综合评价工作，形成初步评价结论。最后归纳整体项目情况与存在问题，撰写绩效自评报告。</w:t>
      </w:r>
    </w:p>
    <w:p>
      <w:pPr>
        <w:pStyle w:val="52"/>
        <w:spacing w:line="560" w:lineRule="exact"/>
        <w:ind w:left="3" w:right="3" w:firstLine="560"/>
        <w:rPr>
          <w:rFonts w:hint="eastAsia" w:ascii="仿宋" w:hAnsi="仿宋" w:eastAsia="仿宋" w:cs="仿宋"/>
          <w:color w:val="auto"/>
          <w:highlight w:val="none"/>
        </w:rPr>
      </w:pPr>
      <w:r>
        <w:rPr>
          <w:rFonts w:hint="eastAsia" w:ascii="仿宋" w:hAnsi="仿宋" w:eastAsia="仿宋" w:cs="仿宋"/>
          <w:color w:val="auto"/>
          <w:highlight w:val="none"/>
        </w:rPr>
        <w:t>（1）绩效自评指标体系</w:t>
      </w:r>
    </w:p>
    <w:p>
      <w:pPr>
        <w:pStyle w:val="52"/>
        <w:spacing w:line="560" w:lineRule="exact"/>
        <w:ind w:left="3" w:right="3" w:firstLine="560"/>
        <w:rPr>
          <w:rFonts w:hint="eastAsia" w:ascii="仿宋" w:hAnsi="仿宋" w:eastAsia="仿宋" w:cs="仿宋"/>
          <w:color w:val="auto"/>
          <w:highlight w:val="none"/>
        </w:rPr>
      </w:pPr>
      <w:r>
        <w:rPr>
          <w:rFonts w:hint="eastAsia" w:ascii="仿宋" w:hAnsi="仿宋" w:eastAsia="仿宋" w:cs="仿宋"/>
          <w:color w:val="auto"/>
          <w:highlight w:val="none"/>
        </w:rPr>
        <w:t>按照《自治区财政专项扶贫资金绩效管理操作指南》（新财预〔2019〕170号）文件要求，并根据项目各项指标重要程度确定二级指标的分值，并对核心指标赋予更高的权重。其中：数量指标</w:t>
      </w:r>
      <w:r>
        <w:rPr>
          <w:rFonts w:hint="eastAsia" w:ascii="仿宋" w:hAnsi="仿宋" w:eastAsia="仿宋" w:cs="仿宋"/>
          <w:color w:val="auto"/>
          <w:highlight w:val="none"/>
          <w:lang w:val="en-US" w:eastAsia="zh-CN"/>
        </w:rPr>
        <w:t>12</w:t>
      </w:r>
      <w:r>
        <w:rPr>
          <w:rFonts w:hint="eastAsia" w:ascii="仿宋" w:hAnsi="仿宋" w:eastAsia="仿宋" w:cs="仿宋"/>
          <w:color w:val="auto"/>
          <w:highlight w:val="none"/>
        </w:rPr>
        <w:t>分、质量指标</w:t>
      </w:r>
      <w:r>
        <w:rPr>
          <w:rFonts w:hint="eastAsia" w:ascii="仿宋" w:hAnsi="仿宋" w:eastAsia="仿宋" w:cs="仿宋"/>
          <w:color w:val="auto"/>
          <w:highlight w:val="none"/>
          <w:lang w:val="en-US" w:eastAsia="zh-CN"/>
        </w:rPr>
        <w:t>11</w:t>
      </w:r>
      <w:r>
        <w:rPr>
          <w:rFonts w:hint="eastAsia" w:ascii="仿宋" w:hAnsi="仿宋" w:eastAsia="仿宋" w:cs="仿宋"/>
          <w:color w:val="auto"/>
          <w:highlight w:val="none"/>
        </w:rPr>
        <w:t>分，时效指标</w:t>
      </w:r>
      <w:r>
        <w:rPr>
          <w:rFonts w:hint="eastAsia" w:ascii="仿宋" w:hAnsi="仿宋" w:eastAsia="仿宋" w:cs="仿宋"/>
          <w:color w:val="auto"/>
          <w:highlight w:val="none"/>
          <w:lang w:val="en-US" w:eastAsia="zh-CN"/>
        </w:rPr>
        <w:t>15</w:t>
      </w:r>
      <w:r>
        <w:rPr>
          <w:rFonts w:hint="eastAsia" w:ascii="仿宋" w:hAnsi="仿宋" w:eastAsia="仿宋" w:cs="仿宋"/>
          <w:color w:val="auto"/>
          <w:highlight w:val="none"/>
        </w:rPr>
        <w:t>分、成本指标</w:t>
      </w:r>
      <w:r>
        <w:rPr>
          <w:rFonts w:hint="eastAsia" w:ascii="仿宋" w:hAnsi="仿宋" w:eastAsia="仿宋" w:cs="仿宋"/>
          <w:color w:val="auto"/>
          <w:highlight w:val="none"/>
          <w:lang w:val="en-US" w:eastAsia="zh-CN"/>
        </w:rPr>
        <w:t>12</w:t>
      </w:r>
      <w:r>
        <w:rPr>
          <w:rFonts w:hint="eastAsia" w:ascii="仿宋" w:hAnsi="仿宋" w:eastAsia="仿宋" w:cs="仿宋"/>
          <w:color w:val="auto"/>
          <w:highlight w:val="none"/>
        </w:rPr>
        <w:t>分、社会效益指标</w:t>
      </w:r>
      <w:r>
        <w:rPr>
          <w:rFonts w:hint="eastAsia" w:ascii="仿宋" w:hAnsi="仿宋" w:eastAsia="仿宋" w:cs="仿宋"/>
          <w:color w:val="auto"/>
          <w:highlight w:val="none"/>
          <w:lang w:val="en-US" w:eastAsia="zh-CN"/>
        </w:rPr>
        <w:t>15</w:t>
      </w:r>
      <w:r>
        <w:rPr>
          <w:rFonts w:hint="eastAsia" w:ascii="仿宋" w:hAnsi="仿宋" w:eastAsia="仿宋" w:cs="仿宋"/>
          <w:color w:val="auto"/>
          <w:highlight w:val="none"/>
        </w:rPr>
        <w:t>分、可持续影响指标</w:t>
      </w:r>
      <w:r>
        <w:rPr>
          <w:rFonts w:hint="eastAsia" w:ascii="仿宋" w:hAnsi="仿宋" w:eastAsia="仿宋" w:cs="仿宋"/>
          <w:color w:val="auto"/>
          <w:highlight w:val="none"/>
          <w:lang w:val="en-US" w:eastAsia="zh-CN"/>
        </w:rPr>
        <w:t>1</w:t>
      </w:r>
      <w:r>
        <w:rPr>
          <w:rFonts w:hint="eastAsia" w:ascii="仿宋" w:hAnsi="仿宋" w:eastAsia="仿宋" w:cs="仿宋"/>
          <w:color w:val="auto"/>
          <w:highlight w:val="none"/>
        </w:rPr>
        <w:t>5分、服务对象满意度指标10分、满分100分。</w:t>
      </w:r>
    </w:p>
    <w:p>
      <w:pPr>
        <w:pStyle w:val="52"/>
        <w:spacing w:line="560" w:lineRule="exact"/>
        <w:ind w:left="3" w:right="3" w:firstLine="560"/>
        <w:rPr>
          <w:rFonts w:hint="eastAsia" w:ascii="仿宋" w:hAnsi="仿宋" w:eastAsia="仿宋" w:cs="仿宋"/>
          <w:color w:val="auto"/>
          <w:highlight w:val="none"/>
        </w:rPr>
      </w:pPr>
      <w:r>
        <w:rPr>
          <w:rFonts w:hint="eastAsia" w:ascii="仿宋" w:hAnsi="仿宋" w:eastAsia="仿宋" w:cs="仿宋"/>
          <w:color w:val="auto"/>
          <w:highlight w:val="none"/>
        </w:rPr>
        <w:t>（2）绩效自评方法</w:t>
      </w:r>
    </w:p>
    <w:p>
      <w:pPr>
        <w:pStyle w:val="52"/>
        <w:spacing w:line="560" w:lineRule="exact"/>
        <w:ind w:left="3" w:right="3" w:firstLine="560"/>
        <w:rPr>
          <w:rFonts w:hint="eastAsia" w:ascii="仿宋" w:hAnsi="仿宋" w:eastAsia="仿宋" w:cs="仿宋"/>
          <w:color w:val="auto"/>
          <w:highlight w:val="none"/>
        </w:rPr>
      </w:pPr>
      <w:r>
        <w:rPr>
          <w:rFonts w:hint="eastAsia" w:ascii="仿宋" w:hAnsi="仿宋" w:eastAsia="仿宋" w:cs="仿宋"/>
          <w:color w:val="auto"/>
          <w:highlight w:val="none"/>
        </w:rPr>
        <w:t>本次绩效自评采用比较法和综合分析法对项目资金的使用管理、项目产出、综合效益等进行评价。</w:t>
      </w:r>
    </w:p>
    <w:p>
      <w:pPr>
        <w:pStyle w:val="52"/>
        <w:spacing w:line="560" w:lineRule="exact"/>
        <w:ind w:left="3" w:right="3" w:firstLine="560"/>
        <w:rPr>
          <w:rFonts w:hint="eastAsia" w:ascii="仿宋" w:hAnsi="仿宋" w:eastAsia="仿宋" w:cs="仿宋"/>
          <w:color w:val="auto"/>
          <w:highlight w:val="none"/>
        </w:rPr>
      </w:pPr>
      <w:r>
        <w:rPr>
          <w:rFonts w:hint="eastAsia" w:ascii="仿宋" w:hAnsi="仿宋" w:eastAsia="仿宋" w:cs="仿宋"/>
          <w:color w:val="auto"/>
          <w:highlight w:val="none"/>
        </w:rPr>
        <w:t>（3）绩效自评标准</w:t>
      </w:r>
    </w:p>
    <w:p>
      <w:pPr>
        <w:pStyle w:val="52"/>
        <w:spacing w:line="560" w:lineRule="exact"/>
        <w:ind w:left="3" w:right="3" w:firstLine="560"/>
        <w:rPr>
          <w:rFonts w:hint="eastAsia" w:ascii="仿宋" w:hAnsi="仿宋" w:eastAsia="仿宋" w:cs="仿宋"/>
          <w:color w:val="auto"/>
          <w:highlight w:val="none"/>
        </w:rPr>
      </w:pPr>
      <w:r>
        <w:rPr>
          <w:rFonts w:hint="eastAsia" w:ascii="仿宋" w:hAnsi="仿宋" w:eastAsia="仿宋" w:cs="仿宋"/>
          <w:color w:val="auto"/>
          <w:highlight w:val="none"/>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pPr>
        <w:pStyle w:val="52"/>
        <w:spacing w:line="560" w:lineRule="exact"/>
        <w:ind w:left="3" w:right="3" w:firstLine="560"/>
        <w:rPr>
          <w:rFonts w:hint="eastAsia" w:ascii="仿宋" w:hAnsi="仿宋" w:eastAsia="仿宋" w:cs="仿宋"/>
          <w:color w:val="auto"/>
          <w:highlight w:val="none"/>
        </w:rPr>
      </w:pPr>
      <w:r>
        <w:rPr>
          <w:rFonts w:hint="eastAsia" w:ascii="仿宋" w:hAnsi="仿宋" w:eastAsia="仿宋" w:cs="仿宋"/>
          <w:color w:val="auto"/>
          <w:highlight w:val="none"/>
        </w:rPr>
        <w:t>（4）绩效自评等级</w:t>
      </w:r>
    </w:p>
    <w:p>
      <w:pPr>
        <w:pStyle w:val="52"/>
        <w:spacing w:line="560" w:lineRule="exact"/>
        <w:ind w:left="3" w:right="3" w:firstLine="560"/>
        <w:rPr>
          <w:rFonts w:hint="eastAsia" w:ascii="仿宋" w:hAnsi="仿宋" w:eastAsia="仿宋" w:cs="仿宋"/>
          <w:color w:val="auto"/>
          <w:highlight w:val="none"/>
        </w:rPr>
      </w:pPr>
      <w:r>
        <w:rPr>
          <w:rFonts w:hint="eastAsia" w:ascii="仿宋" w:hAnsi="仿宋" w:eastAsia="仿宋" w:cs="仿宋"/>
          <w:color w:val="auto"/>
          <w:highlight w:val="none"/>
        </w:rPr>
        <w:t>绩效自评总分值100分，根据评分结果，90（含）-100分为优、80（含）-90分为良、60（含）-80分为中、60分以下为差。</w:t>
      </w:r>
    </w:p>
    <w:p>
      <w:pPr>
        <w:pStyle w:val="29"/>
        <w:spacing w:before="120"/>
        <w:ind w:leftChars="0" w:right="3" w:firstLine="562" w:firstLineChars="200"/>
        <w:rPr>
          <w:color w:val="auto"/>
          <w:highlight w:val="none"/>
        </w:rPr>
      </w:pPr>
      <w:r>
        <w:rPr>
          <w:rFonts w:hint="eastAsia"/>
          <w:color w:val="auto"/>
          <w:highlight w:val="none"/>
        </w:rPr>
        <w:t>三、绩效目标自评完成情况分析</w:t>
      </w:r>
    </w:p>
    <w:p>
      <w:pPr>
        <w:spacing w:line="560" w:lineRule="exact"/>
        <w:ind w:firstLine="546" w:firstLineChars="200"/>
        <w:rPr>
          <w:rStyle w:val="18"/>
          <w:rFonts w:ascii="楷体_GB2312" w:hAnsi="楷体" w:cs="Times New Roman"/>
          <w:color w:val="auto"/>
          <w:spacing w:val="-4"/>
          <w:sz w:val="28"/>
          <w:szCs w:val="32"/>
          <w:highlight w:val="none"/>
        </w:rPr>
      </w:pPr>
      <w:r>
        <w:rPr>
          <w:rStyle w:val="18"/>
          <w:rFonts w:hint="eastAsia" w:ascii="楷体_GB2312" w:hAnsi="楷体" w:cs="Times New Roman"/>
          <w:color w:val="auto"/>
          <w:spacing w:val="-4"/>
          <w:sz w:val="28"/>
          <w:szCs w:val="32"/>
          <w:highlight w:val="none"/>
        </w:rPr>
        <w:t>（一）资金投入情况分析</w:t>
      </w:r>
    </w:p>
    <w:p>
      <w:pPr>
        <w:pStyle w:val="33"/>
        <w:rPr>
          <w:rFonts w:hint="eastAsia" w:ascii="仿宋" w:hAnsi="仿宋" w:eastAsia="仿宋" w:cs="仿宋"/>
          <w:color w:val="auto"/>
          <w:highlight w:val="none"/>
        </w:rPr>
      </w:pPr>
      <w:r>
        <w:rPr>
          <w:rFonts w:hint="eastAsia" w:ascii="仿宋" w:hAnsi="仿宋" w:eastAsia="仿宋" w:cs="仿宋"/>
          <w:color w:val="auto"/>
          <w:highlight w:val="none"/>
        </w:rPr>
        <w:t>1.项目资金到位情况分析</w:t>
      </w:r>
    </w:p>
    <w:p>
      <w:pPr>
        <w:pStyle w:val="52"/>
        <w:spacing w:line="560" w:lineRule="exact"/>
        <w:ind w:left="0" w:leftChars="0" w:right="3" w:firstLine="560"/>
        <w:rPr>
          <w:rFonts w:hint="eastAsia" w:ascii="仿宋" w:hAnsi="仿宋" w:eastAsia="仿宋" w:cs="仿宋"/>
          <w:color w:val="auto"/>
          <w:highlight w:val="none"/>
        </w:rPr>
      </w:pPr>
      <w:r>
        <w:rPr>
          <w:rFonts w:hint="eastAsia" w:ascii="仿宋" w:hAnsi="仿宋" w:eastAsia="仿宋" w:cs="仿宋"/>
          <w:color w:val="auto"/>
          <w:szCs w:val="32"/>
          <w:highlight w:val="none"/>
        </w:rPr>
        <w:t>于田县兰干乡片区工厂附属配套设施建设项目</w:t>
      </w:r>
      <w:r>
        <w:rPr>
          <w:rFonts w:hint="eastAsia" w:ascii="仿宋" w:hAnsi="仿宋" w:eastAsia="仿宋" w:cs="仿宋"/>
          <w:color w:val="auto"/>
          <w:highlight w:val="none"/>
        </w:rPr>
        <w:t>预算安排总额为</w:t>
      </w:r>
      <w:r>
        <w:rPr>
          <w:rFonts w:hint="eastAsia" w:ascii="仿宋" w:hAnsi="仿宋" w:eastAsia="仿宋" w:cs="仿宋"/>
          <w:color w:val="auto"/>
          <w:highlight w:val="none"/>
          <w:lang w:val="en-US" w:eastAsia="zh-CN"/>
        </w:rPr>
        <w:t>150</w:t>
      </w:r>
      <w:r>
        <w:rPr>
          <w:rFonts w:hint="eastAsia" w:ascii="仿宋" w:hAnsi="仿宋" w:eastAsia="仿宋" w:cs="仿宋"/>
          <w:color w:val="auto"/>
          <w:highlight w:val="none"/>
        </w:rPr>
        <w:t>万元，其中：乡村振兴衔接资金项目</w:t>
      </w:r>
      <w:r>
        <w:rPr>
          <w:rFonts w:hint="eastAsia" w:ascii="仿宋" w:hAnsi="仿宋" w:eastAsia="仿宋" w:cs="仿宋"/>
          <w:color w:val="auto"/>
          <w:highlight w:val="none"/>
          <w:lang w:val="en-US" w:eastAsia="zh-CN"/>
        </w:rPr>
        <w:t>150</w:t>
      </w:r>
      <w:r>
        <w:rPr>
          <w:rFonts w:hint="eastAsia" w:ascii="仿宋" w:hAnsi="仿宋" w:eastAsia="仿宋" w:cs="仿宋"/>
          <w:color w:val="auto"/>
          <w:highlight w:val="none"/>
        </w:rPr>
        <w:t>万元。预算资金到位率为100.00%。</w:t>
      </w:r>
    </w:p>
    <w:p>
      <w:pPr>
        <w:pStyle w:val="52"/>
        <w:spacing w:line="560" w:lineRule="exact"/>
        <w:ind w:left="0" w:leftChars="0" w:right="3" w:firstLine="562"/>
        <w:rPr>
          <w:b/>
          <w:color w:val="auto"/>
          <w:highlight w:val="none"/>
        </w:rPr>
      </w:pPr>
      <w:r>
        <w:rPr>
          <w:rFonts w:hint="eastAsia"/>
          <w:b/>
          <w:color w:val="auto"/>
          <w:highlight w:val="none"/>
        </w:rPr>
        <w:t>2.项目资金执行情况分析</w:t>
      </w:r>
    </w:p>
    <w:p>
      <w:pPr>
        <w:pStyle w:val="52"/>
        <w:spacing w:line="560" w:lineRule="exact"/>
        <w:ind w:left="0" w:leftChars="0" w:right="3" w:firstLine="560"/>
        <w:rPr>
          <w:color w:val="auto"/>
          <w:highlight w:val="none"/>
        </w:rPr>
      </w:pPr>
      <w:r>
        <w:rPr>
          <w:rFonts w:hint="eastAsia" w:ascii="仿宋" w:hAnsi="仿宋" w:eastAsia="仿宋" w:cs="仿宋"/>
          <w:color w:val="auto"/>
          <w:szCs w:val="32"/>
          <w:highlight w:val="none"/>
        </w:rPr>
        <w:t>于田县兰干乡片区工厂附属配套设施建设项目预算投入资金</w:t>
      </w:r>
      <w:r>
        <w:rPr>
          <w:rFonts w:hint="eastAsia" w:ascii="仿宋" w:hAnsi="仿宋" w:eastAsia="仿宋" w:cs="仿宋"/>
          <w:color w:val="auto"/>
          <w:szCs w:val="32"/>
          <w:highlight w:val="none"/>
          <w:lang w:val="en-US" w:eastAsia="zh-CN"/>
        </w:rPr>
        <w:t>150</w:t>
      </w:r>
      <w:r>
        <w:rPr>
          <w:rFonts w:hint="eastAsia" w:ascii="仿宋" w:hAnsi="仿宋" w:eastAsia="仿宋" w:cs="仿宋"/>
          <w:color w:val="auto"/>
          <w:szCs w:val="32"/>
          <w:highlight w:val="none"/>
        </w:rPr>
        <w:t>万元，经财务决算，项目实际完成投资共142.3</w:t>
      </w:r>
      <w:r>
        <w:rPr>
          <w:rFonts w:hint="eastAsia" w:ascii="仿宋" w:hAnsi="仿宋" w:eastAsia="仿宋" w:cs="仿宋"/>
          <w:color w:val="auto"/>
          <w:szCs w:val="32"/>
          <w:highlight w:val="none"/>
          <w:lang w:val="en-US" w:eastAsia="zh-CN"/>
        </w:rPr>
        <w:t>5</w:t>
      </w:r>
      <w:r>
        <w:rPr>
          <w:rFonts w:hint="eastAsia" w:ascii="仿宋" w:hAnsi="仿宋" w:eastAsia="仿宋" w:cs="仿宋"/>
          <w:color w:val="auto"/>
          <w:szCs w:val="32"/>
          <w:highlight w:val="none"/>
        </w:rPr>
        <w:t>万元，其中：建筑安装工程投资</w:t>
      </w:r>
      <w:r>
        <w:rPr>
          <w:rFonts w:hint="eastAsia" w:ascii="仿宋" w:hAnsi="仿宋" w:eastAsia="仿宋" w:cs="仿宋"/>
          <w:color w:val="auto"/>
          <w:szCs w:val="32"/>
          <w:highlight w:val="none"/>
          <w:lang w:val="en-US" w:eastAsia="zh-CN"/>
        </w:rPr>
        <w:t>137.7</w:t>
      </w:r>
      <w:r>
        <w:rPr>
          <w:rFonts w:hint="eastAsia" w:ascii="仿宋" w:hAnsi="仿宋" w:eastAsia="仿宋" w:cs="仿宋"/>
          <w:color w:val="auto"/>
          <w:szCs w:val="32"/>
          <w:highlight w:val="none"/>
        </w:rPr>
        <w:t>万元，待摊投资</w:t>
      </w:r>
      <w:r>
        <w:rPr>
          <w:rFonts w:hint="eastAsia" w:ascii="仿宋" w:hAnsi="仿宋" w:eastAsia="仿宋" w:cs="仿宋"/>
          <w:color w:val="auto"/>
          <w:szCs w:val="32"/>
          <w:highlight w:val="none"/>
          <w:lang w:val="en-US" w:eastAsia="zh-CN"/>
        </w:rPr>
        <w:t>4.75</w:t>
      </w:r>
      <w:r>
        <w:rPr>
          <w:rFonts w:hint="eastAsia" w:ascii="仿宋" w:hAnsi="仿宋" w:eastAsia="仿宋" w:cs="仿宋"/>
          <w:color w:val="auto"/>
          <w:szCs w:val="32"/>
          <w:highlight w:val="none"/>
        </w:rPr>
        <w:t>万元</w:t>
      </w:r>
      <w:r>
        <w:rPr>
          <w:rFonts w:hint="eastAsia" w:ascii="仿宋" w:hAnsi="仿宋" w:eastAsia="仿宋" w:cs="仿宋"/>
          <w:color w:val="auto"/>
          <w:szCs w:val="32"/>
          <w:highlight w:val="none"/>
          <w:lang w:eastAsia="zh-CN"/>
        </w:rPr>
        <w:t>，</w:t>
      </w:r>
      <w:r>
        <w:rPr>
          <w:rFonts w:hint="eastAsia" w:ascii="仿宋" w:hAnsi="仿宋" w:eastAsia="仿宋" w:cs="仿宋"/>
          <w:color w:val="auto"/>
          <w:szCs w:val="32"/>
          <w:highlight w:val="none"/>
        </w:rPr>
        <w:t>截至202</w:t>
      </w:r>
      <w:r>
        <w:rPr>
          <w:rFonts w:hint="eastAsia" w:ascii="仿宋" w:hAnsi="仿宋" w:eastAsia="仿宋" w:cs="仿宋"/>
          <w:color w:val="auto"/>
          <w:szCs w:val="32"/>
          <w:highlight w:val="none"/>
          <w:lang w:val="en-US" w:eastAsia="zh-CN"/>
        </w:rPr>
        <w:t>4</w:t>
      </w:r>
      <w:r>
        <w:rPr>
          <w:rFonts w:hint="eastAsia" w:ascii="仿宋" w:hAnsi="仿宋" w:eastAsia="仿宋" w:cs="仿宋"/>
          <w:color w:val="auto"/>
          <w:szCs w:val="32"/>
          <w:highlight w:val="none"/>
        </w:rPr>
        <w:t>年12月31日，项目实际支出</w:t>
      </w:r>
      <w:r>
        <w:rPr>
          <w:rFonts w:hint="eastAsia" w:ascii="仿宋" w:hAnsi="仿宋" w:eastAsia="仿宋" w:cs="仿宋"/>
          <w:color w:val="auto"/>
          <w:szCs w:val="32"/>
          <w:highlight w:val="none"/>
          <w:lang w:val="en-US" w:eastAsia="zh-CN"/>
        </w:rPr>
        <w:t>142.35</w:t>
      </w:r>
      <w:r>
        <w:rPr>
          <w:rFonts w:hint="eastAsia" w:ascii="仿宋" w:hAnsi="仿宋" w:eastAsia="仿宋" w:cs="仿宋"/>
          <w:color w:val="auto"/>
          <w:szCs w:val="32"/>
          <w:highlight w:val="none"/>
        </w:rPr>
        <w:t>万元，预算资金执行率</w:t>
      </w:r>
      <w:r>
        <w:rPr>
          <w:rFonts w:hint="eastAsia" w:ascii="仿宋" w:hAnsi="仿宋" w:eastAsia="仿宋" w:cs="仿宋"/>
          <w:color w:val="auto"/>
          <w:szCs w:val="32"/>
          <w:highlight w:val="none"/>
          <w:lang w:val="en-US" w:eastAsia="zh-CN"/>
        </w:rPr>
        <w:t>94.90</w:t>
      </w:r>
      <w:r>
        <w:rPr>
          <w:rFonts w:hint="eastAsia" w:ascii="仿宋" w:hAnsi="仿宋" w:eastAsia="仿宋" w:cs="仿宋"/>
          <w:color w:val="auto"/>
          <w:szCs w:val="32"/>
          <w:highlight w:val="none"/>
        </w:rPr>
        <w:t>%</w:t>
      </w:r>
      <w:r>
        <w:rPr>
          <w:rFonts w:hint="eastAsia" w:ascii="仿宋" w:hAnsi="仿宋" w:eastAsia="仿宋" w:cs="仿宋"/>
          <w:color w:val="auto"/>
          <w:highlight w:val="none"/>
        </w:rPr>
        <w:t>。</w:t>
      </w:r>
    </w:p>
    <w:p>
      <w:pPr>
        <w:pStyle w:val="33"/>
        <w:rPr>
          <w:color w:val="auto"/>
          <w:highlight w:val="none"/>
        </w:rPr>
      </w:pPr>
      <w:r>
        <w:rPr>
          <w:rFonts w:hint="eastAsia"/>
          <w:color w:val="auto"/>
          <w:highlight w:val="none"/>
        </w:rPr>
        <w:t>3.项目资金管理情况分析</w:t>
      </w:r>
    </w:p>
    <w:p>
      <w:pPr>
        <w:pStyle w:val="52"/>
        <w:spacing w:line="560" w:lineRule="exact"/>
        <w:ind w:left="0" w:leftChars="0" w:right="3" w:firstLine="560"/>
        <w:rPr>
          <w:color w:val="auto"/>
          <w:highlight w:val="none"/>
        </w:rPr>
      </w:pPr>
      <w:r>
        <w:rPr>
          <w:rFonts w:hint="eastAsia" w:ascii="仿宋" w:hAnsi="仿宋" w:eastAsia="仿宋" w:cs="仿宋"/>
          <w:color w:val="auto"/>
          <w:highlight w:val="none"/>
        </w:rP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pPr>
        <w:pStyle w:val="52"/>
        <w:spacing w:line="560" w:lineRule="exact"/>
        <w:ind w:leftChars="0" w:right="3" w:firstLine="562"/>
        <w:rPr>
          <w:b/>
          <w:color w:val="auto"/>
          <w:highlight w:val="none"/>
        </w:rPr>
      </w:pPr>
      <w:r>
        <w:rPr>
          <w:rFonts w:hint="eastAsia"/>
          <w:b/>
          <w:color w:val="auto"/>
          <w:highlight w:val="none"/>
        </w:rPr>
        <w:t>4.项目管理情况分析</w:t>
      </w:r>
    </w:p>
    <w:p>
      <w:pPr>
        <w:pStyle w:val="52"/>
        <w:spacing w:line="580" w:lineRule="exact"/>
        <w:ind w:left="0" w:leftChars="0" w:right="3" w:firstLine="560"/>
        <w:rPr>
          <w:color w:val="auto"/>
          <w:highlight w:val="none"/>
        </w:rPr>
      </w:pPr>
      <w:r>
        <w:rPr>
          <w:rFonts w:hint="eastAsia" w:ascii="仿宋" w:hAnsi="仿宋" w:eastAsia="仿宋" w:cs="仿宋"/>
          <w:color w:val="auto"/>
          <w:highlight w:val="none"/>
        </w:rPr>
        <w:t>在项目实施中，</w:t>
      </w:r>
      <w:r>
        <w:rPr>
          <w:rFonts w:hint="eastAsia" w:ascii="仿宋" w:hAnsi="仿宋" w:eastAsia="仿宋" w:cs="仿宋"/>
          <w:color w:val="auto"/>
          <w:sz w:val="28"/>
          <w:szCs w:val="28"/>
          <w:highlight w:val="none"/>
        </w:rPr>
        <w:t>于田县兰干乡人民政府</w:t>
      </w:r>
      <w:r>
        <w:rPr>
          <w:rFonts w:hint="eastAsia" w:ascii="仿宋" w:hAnsi="仿宋" w:eastAsia="仿宋" w:cs="仿宋"/>
          <w:color w:val="auto"/>
          <w:highlight w:val="none"/>
        </w:rPr>
        <w:t>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pPr>
        <w:spacing w:line="580" w:lineRule="exact"/>
        <w:ind w:firstLine="546" w:firstLineChars="200"/>
        <w:rPr>
          <w:rStyle w:val="18"/>
          <w:rFonts w:ascii="楷体_GB2312" w:hAnsi="楷体" w:cs="Times New Roman"/>
          <w:color w:val="auto"/>
          <w:spacing w:val="-4"/>
          <w:sz w:val="28"/>
          <w:szCs w:val="32"/>
          <w:highlight w:val="none"/>
        </w:rPr>
      </w:pPr>
      <w:r>
        <w:rPr>
          <w:rStyle w:val="18"/>
          <w:rFonts w:hint="eastAsia" w:ascii="楷体_GB2312" w:hAnsi="楷体" w:cs="Times New Roman"/>
          <w:color w:val="auto"/>
          <w:spacing w:val="-4"/>
          <w:sz w:val="28"/>
          <w:szCs w:val="32"/>
          <w:highlight w:val="none"/>
        </w:rPr>
        <w:t>（二）绩效目标完成情况分析</w:t>
      </w:r>
    </w:p>
    <w:p>
      <w:pPr>
        <w:pStyle w:val="52"/>
        <w:spacing w:line="560" w:lineRule="exact"/>
        <w:ind w:left="3" w:right="3" w:firstLine="560"/>
        <w:rPr>
          <w:rFonts w:hint="eastAsia" w:ascii="仿宋" w:hAnsi="仿宋" w:eastAsia="仿宋" w:cs="仿宋"/>
          <w:color w:val="auto"/>
          <w:highlight w:val="none"/>
          <w:lang w:val="en-US" w:eastAsia="zh-CN"/>
        </w:rPr>
      </w:pPr>
      <w:r>
        <w:rPr>
          <w:rFonts w:hint="eastAsia" w:ascii="仿宋" w:hAnsi="仿宋" w:eastAsia="仿宋" w:cs="仿宋"/>
          <w:color w:val="auto"/>
          <w:highlight w:val="none"/>
        </w:rPr>
        <w:t>本项目在202</w:t>
      </w:r>
      <w:r>
        <w:rPr>
          <w:rFonts w:hint="eastAsia" w:ascii="仿宋" w:hAnsi="仿宋" w:eastAsia="仿宋" w:cs="仿宋"/>
          <w:color w:val="auto"/>
          <w:highlight w:val="none"/>
          <w:lang w:val="en-US" w:eastAsia="zh-CN"/>
        </w:rPr>
        <w:t>4</w:t>
      </w:r>
      <w:r>
        <w:rPr>
          <w:rFonts w:hint="eastAsia" w:ascii="仿宋" w:hAnsi="仿宋" w:eastAsia="仿宋" w:cs="仿宋"/>
          <w:color w:val="auto"/>
          <w:highlight w:val="none"/>
        </w:rPr>
        <w:t>年截止1</w:t>
      </w:r>
      <w:r>
        <w:rPr>
          <w:rFonts w:hint="eastAsia" w:ascii="仿宋" w:hAnsi="仿宋" w:eastAsia="仿宋" w:cs="仿宋"/>
          <w:color w:val="auto"/>
          <w:highlight w:val="none"/>
          <w:lang w:val="en-US" w:eastAsia="zh-CN"/>
        </w:rPr>
        <w:t>2</w:t>
      </w:r>
      <w:r>
        <w:rPr>
          <w:rFonts w:hint="eastAsia" w:ascii="仿宋" w:hAnsi="仿宋" w:eastAsia="仿宋" w:cs="仿宋"/>
          <w:color w:val="auto"/>
          <w:highlight w:val="none"/>
        </w:rPr>
        <w:t>月底，</w:t>
      </w:r>
      <w:r>
        <w:rPr>
          <w:rFonts w:hint="eastAsia" w:ascii="仿宋" w:hAnsi="仿宋" w:eastAsia="仿宋" w:cs="仿宋"/>
          <w:b w:val="0"/>
          <w:bCs w:val="0"/>
          <w:color w:val="auto"/>
          <w:sz w:val="28"/>
          <w:szCs w:val="28"/>
          <w:highlight w:val="none"/>
        </w:rPr>
        <w:t>已完成新建连廊5座(单座146.97平方米),共计734.85平方米;门斗1座(单座50.41平方米)，共计50.41平方米。项目的实施，使片区工厂进一步发展，做大做前强轻工业经济，提升片区工厂承载能力，促进产业发展的需要，进而带动经济更进一步发展</w:t>
      </w: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 xml:space="preserve">                    </w:t>
      </w:r>
    </w:p>
    <w:p>
      <w:pPr>
        <w:pStyle w:val="52"/>
        <w:spacing w:line="560" w:lineRule="exact"/>
        <w:ind w:left="3" w:right="3" w:firstLine="560"/>
        <w:rPr>
          <w:color w:val="auto"/>
          <w:highlight w:val="none"/>
        </w:rPr>
      </w:pPr>
      <w:r>
        <w:rPr>
          <w:rFonts w:hint="eastAsia" w:ascii="仿宋" w:hAnsi="仿宋" w:eastAsia="仿宋" w:cs="仿宋"/>
          <w:color w:val="auto"/>
          <w:highlight w:val="none"/>
        </w:rPr>
        <w:t>本项目共设置一级指标3个，二级指标</w:t>
      </w:r>
      <w:r>
        <w:rPr>
          <w:rFonts w:hint="eastAsia" w:ascii="仿宋" w:hAnsi="仿宋" w:eastAsia="仿宋" w:cs="仿宋"/>
          <w:color w:val="auto"/>
          <w:highlight w:val="none"/>
          <w:lang w:val="en-US" w:eastAsia="zh-CN"/>
        </w:rPr>
        <w:t>7</w:t>
      </w:r>
      <w:r>
        <w:rPr>
          <w:rFonts w:hint="eastAsia" w:ascii="仿宋" w:hAnsi="仿宋" w:eastAsia="仿宋" w:cs="仿宋"/>
          <w:color w:val="auto"/>
          <w:highlight w:val="none"/>
        </w:rPr>
        <w:t>个，三级指标</w:t>
      </w:r>
      <w:r>
        <w:rPr>
          <w:rFonts w:hint="eastAsia" w:ascii="仿宋" w:hAnsi="仿宋" w:eastAsia="仿宋" w:cs="仿宋"/>
          <w:color w:val="auto"/>
          <w:highlight w:val="none"/>
          <w:lang w:val="en-US" w:eastAsia="zh-CN"/>
        </w:rPr>
        <w:t>12</w:t>
      </w:r>
      <w:r>
        <w:rPr>
          <w:rFonts w:hint="eastAsia" w:ascii="仿宋" w:hAnsi="仿宋" w:eastAsia="仿宋" w:cs="仿宋"/>
          <w:color w:val="auto"/>
          <w:highlight w:val="none"/>
        </w:rPr>
        <w:t>个，其中已完成三级指标</w:t>
      </w:r>
      <w:r>
        <w:rPr>
          <w:rFonts w:hint="eastAsia" w:ascii="仿宋" w:hAnsi="仿宋" w:eastAsia="仿宋" w:cs="仿宋"/>
          <w:color w:val="auto"/>
          <w:highlight w:val="none"/>
          <w:lang w:val="en-US" w:eastAsia="zh-CN"/>
        </w:rPr>
        <w:t>10</w:t>
      </w:r>
      <w:r>
        <w:rPr>
          <w:rFonts w:hint="eastAsia" w:ascii="仿宋" w:hAnsi="仿宋" w:eastAsia="仿宋" w:cs="仿宋"/>
          <w:color w:val="auto"/>
          <w:highlight w:val="none"/>
        </w:rPr>
        <w:t>个，指标完成率为</w:t>
      </w:r>
      <w:r>
        <w:rPr>
          <w:rFonts w:hint="eastAsia" w:ascii="仿宋" w:hAnsi="仿宋" w:eastAsia="仿宋" w:cs="仿宋"/>
          <w:color w:val="auto"/>
          <w:highlight w:val="none"/>
          <w:lang w:val="en-US" w:eastAsia="zh-CN"/>
        </w:rPr>
        <w:t>83.33</w:t>
      </w:r>
      <w:r>
        <w:rPr>
          <w:rFonts w:hint="eastAsia" w:ascii="仿宋" w:hAnsi="仿宋" w:eastAsia="仿宋" w:cs="仿宋"/>
          <w:color w:val="auto"/>
          <w:highlight w:val="none"/>
        </w:rPr>
        <w:t>%，指标完成情况分析如下：</w:t>
      </w:r>
    </w:p>
    <w:p>
      <w:pPr>
        <w:pStyle w:val="52"/>
        <w:spacing w:line="580" w:lineRule="exact"/>
        <w:ind w:left="0" w:leftChars="0" w:right="0" w:rightChars="0" w:firstLine="562"/>
        <w:rPr>
          <w:b/>
          <w:color w:val="auto"/>
          <w:highlight w:val="none"/>
        </w:rPr>
      </w:pPr>
      <w:r>
        <w:rPr>
          <w:rFonts w:hint="eastAsia"/>
          <w:b/>
          <w:color w:val="auto"/>
          <w:highlight w:val="none"/>
        </w:rPr>
        <w:t>1.产出指标完成情况分析</w:t>
      </w:r>
    </w:p>
    <w:p>
      <w:pPr>
        <w:pStyle w:val="52"/>
        <w:spacing w:line="580" w:lineRule="exact"/>
        <w:ind w:left="0" w:leftChars="0" w:right="0" w:rightChars="0" w:firstLine="560"/>
        <w:rPr>
          <w:rFonts w:hint="eastAsia" w:ascii="仿宋" w:hAnsi="仿宋" w:eastAsia="仿宋" w:cs="仿宋"/>
          <w:color w:val="auto"/>
          <w:highlight w:val="none"/>
        </w:rPr>
      </w:pPr>
      <w:r>
        <w:rPr>
          <w:rFonts w:hint="eastAsia" w:ascii="仿宋" w:hAnsi="仿宋" w:eastAsia="仿宋" w:cs="仿宋"/>
          <w:color w:val="auto"/>
          <w:highlight w:val="none"/>
        </w:rPr>
        <w:t>1.1项目完成数量</w:t>
      </w:r>
    </w:p>
    <w:p>
      <w:pPr>
        <w:pStyle w:val="52"/>
        <w:spacing w:line="560" w:lineRule="exact"/>
        <w:ind w:left="0" w:leftChars="0" w:right="0" w:rightChars="0" w:firstLine="560"/>
        <w:rPr>
          <w:rFonts w:hint="eastAsia" w:ascii="仿宋" w:hAnsi="仿宋" w:eastAsia="仿宋" w:cs="仿宋"/>
          <w:color w:val="auto"/>
          <w:highlight w:val="none"/>
        </w:rPr>
      </w:pPr>
      <w:r>
        <w:rPr>
          <w:rFonts w:hint="eastAsia" w:ascii="仿宋" w:hAnsi="仿宋" w:eastAsia="仿宋" w:cs="仿宋"/>
          <w:color w:val="auto"/>
          <w:highlight w:val="none"/>
        </w:rPr>
        <w:t>“新建连廊面积（平方米）”指标，预期指标值为</w:t>
      </w:r>
      <w:r>
        <w:rPr>
          <w:rFonts w:hint="eastAsia" w:ascii="仿宋" w:hAnsi="仿宋" w:eastAsia="仿宋" w:cs="仿宋"/>
          <w:color w:val="auto"/>
          <w:highlight w:val="none"/>
          <w:lang w:eastAsia="zh-CN"/>
        </w:rPr>
        <w:t>大于等于</w:t>
      </w:r>
      <w:r>
        <w:rPr>
          <w:rFonts w:hint="eastAsia" w:ascii="仿宋" w:hAnsi="仿宋" w:eastAsia="仿宋" w:cs="仿宋"/>
          <w:color w:val="auto"/>
          <w:highlight w:val="none"/>
        </w:rPr>
        <w:t>734.85平方米,全年实际值为</w:t>
      </w:r>
      <w:r>
        <w:rPr>
          <w:rFonts w:hint="eastAsia" w:ascii="仿宋" w:hAnsi="仿宋" w:eastAsia="仿宋" w:cs="仿宋"/>
          <w:color w:val="auto"/>
          <w:highlight w:val="none"/>
          <w:lang w:val="en-US" w:eastAsia="zh-CN"/>
        </w:rPr>
        <w:t>734.85</w:t>
      </w:r>
      <w:r>
        <w:rPr>
          <w:rFonts w:hint="eastAsia" w:ascii="仿宋" w:hAnsi="仿宋" w:eastAsia="仿宋" w:cs="仿宋"/>
          <w:color w:val="auto"/>
          <w:highlight w:val="none"/>
        </w:rPr>
        <w:t>公里，指标完成率为100.00%。所设分值</w:t>
      </w:r>
      <w:r>
        <w:rPr>
          <w:rFonts w:hint="eastAsia" w:ascii="仿宋" w:hAnsi="仿宋" w:eastAsia="仿宋" w:cs="仿宋"/>
          <w:color w:val="auto"/>
          <w:highlight w:val="none"/>
          <w:lang w:val="en-US" w:eastAsia="zh-CN"/>
        </w:rPr>
        <w:t>6</w:t>
      </w:r>
      <w:r>
        <w:rPr>
          <w:rFonts w:hint="eastAsia" w:ascii="仿宋" w:hAnsi="仿宋" w:eastAsia="仿宋" w:cs="仿宋"/>
          <w:color w:val="auto"/>
          <w:highlight w:val="none"/>
        </w:rPr>
        <w:t>分，实际得分</w:t>
      </w:r>
      <w:r>
        <w:rPr>
          <w:rFonts w:hint="eastAsia" w:ascii="仿宋" w:hAnsi="仿宋" w:eastAsia="仿宋" w:cs="仿宋"/>
          <w:color w:val="auto"/>
          <w:highlight w:val="none"/>
          <w:lang w:val="en-US" w:eastAsia="zh-CN"/>
        </w:rPr>
        <w:t>6</w:t>
      </w:r>
      <w:r>
        <w:rPr>
          <w:rFonts w:hint="eastAsia" w:ascii="仿宋" w:hAnsi="仿宋" w:eastAsia="仿宋" w:cs="仿宋"/>
          <w:color w:val="auto"/>
          <w:highlight w:val="none"/>
        </w:rPr>
        <w:t xml:space="preserve">分。 </w:t>
      </w:r>
    </w:p>
    <w:p>
      <w:pPr>
        <w:pStyle w:val="52"/>
        <w:spacing w:line="560" w:lineRule="exact"/>
        <w:ind w:left="0" w:leftChars="0" w:right="0" w:rightChars="0" w:firstLine="560"/>
        <w:rPr>
          <w:rFonts w:hint="eastAsia" w:ascii="仿宋" w:hAnsi="仿宋" w:eastAsia="仿宋" w:cs="仿宋"/>
          <w:color w:val="auto"/>
          <w:highlight w:val="none"/>
        </w:rPr>
      </w:pPr>
      <w:r>
        <w:rPr>
          <w:rFonts w:hint="eastAsia" w:ascii="仿宋" w:hAnsi="仿宋" w:eastAsia="仿宋" w:cs="仿宋"/>
          <w:color w:val="auto"/>
          <w:highlight w:val="none"/>
        </w:rPr>
        <w:t>“新建门斗面积（平方米）”指标，预期指标值为</w:t>
      </w:r>
      <w:r>
        <w:rPr>
          <w:rFonts w:hint="eastAsia" w:ascii="仿宋" w:hAnsi="仿宋" w:eastAsia="仿宋" w:cs="仿宋"/>
          <w:color w:val="auto"/>
          <w:highlight w:val="none"/>
          <w:lang w:eastAsia="zh-CN"/>
        </w:rPr>
        <w:t>大于等于</w:t>
      </w:r>
      <w:r>
        <w:rPr>
          <w:rFonts w:hint="eastAsia" w:ascii="仿宋" w:hAnsi="仿宋" w:eastAsia="仿宋" w:cs="仿宋"/>
          <w:color w:val="auto"/>
          <w:highlight w:val="none"/>
        </w:rPr>
        <w:t>50.41平方米,全年实际值为50.41平方米，指标完成率为100.00%。所设分值6分，实际得分6分。</w:t>
      </w:r>
    </w:p>
    <w:p>
      <w:pPr>
        <w:pStyle w:val="52"/>
        <w:spacing w:line="560" w:lineRule="exact"/>
        <w:ind w:left="0" w:leftChars="0" w:right="0" w:rightChars="0" w:firstLine="560"/>
        <w:rPr>
          <w:rFonts w:hint="eastAsia" w:ascii="仿宋" w:hAnsi="仿宋" w:eastAsia="仿宋" w:cs="仿宋"/>
          <w:color w:val="auto"/>
          <w:highlight w:val="none"/>
        </w:rPr>
      </w:pPr>
      <w:r>
        <w:rPr>
          <w:rFonts w:hint="eastAsia" w:ascii="仿宋" w:hAnsi="仿宋" w:eastAsia="仿宋" w:cs="仿宋"/>
          <w:color w:val="auto"/>
          <w:highlight w:val="none"/>
        </w:rPr>
        <w:t>1.2项目完成质量</w:t>
      </w:r>
    </w:p>
    <w:p>
      <w:pPr>
        <w:pStyle w:val="52"/>
        <w:spacing w:line="560" w:lineRule="exact"/>
        <w:ind w:left="0" w:leftChars="0" w:right="0" w:rightChars="0" w:firstLine="560"/>
        <w:rPr>
          <w:rFonts w:hint="eastAsia" w:ascii="仿宋" w:hAnsi="仿宋" w:eastAsia="仿宋" w:cs="仿宋"/>
          <w:color w:val="auto"/>
          <w:highlight w:val="none"/>
        </w:rPr>
      </w:pPr>
      <w:r>
        <w:rPr>
          <w:rFonts w:hint="eastAsia" w:ascii="仿宋" w:hAnsi="仿宋" w:eastAsia="仿宋" w:cs="仿宋"/>
          <w:color w:val="auto"/>
          <w:highlight w:val="none"/>
        </w:rPr>
        <w:t>“工程验收合格率”指标，预期指标值为</w:t>
      </w:r>
      <w:r>
        <w:rPr>
          <w:rFonts w:hint="eastAsia" w:ascii="仿宋" w:hAnsi="仿宋" w:eastAsia="仿宋" w:cs="仿宋"/>
          <w:color w:val="auto"/>
          <w:highlight w:val="none"/>
          <w:lang w:eastAsia="zh-CN"/>
        </w:rPr>
        <w:t>等于</w:t>
      </w:r>
      <w:r>
        <w:rPr>
          <w:rFonts w:hint="eastAsia" w:ascii="仿宋" w:hAnsi="仿宋" w:eastAsia="仿宋" w:cs="仿宋"/>
          <w:color w:val="auto"/>
          <w:highlight w:val="none"/>
        </w:rPr>
        <w:t>100.00%,全年实际值为100.00%，指标完成率为100.00%。所设分值6分，实际得分6分。</w:t>
      </w:r>
    </w:p>
    <w:p>
      <w:pPr>
        <w:pStyle w:val="52"/>
        <w:spacing w:line="560" w:lineRule="exact"/>
        <w:ind w:left="0" w:leftChars="0" w:right="0" w:rightChars="0" w:firstLine="560"/>
        <w:rPr>
          <w:rFonts w:hint="eastAsia" w:ascii="仿宋" w:hAnsi="仿宋" w:eastAsia="仿宋" w:cs="仿宋"/>
          <w:color w:val="auto"/>
          <w:highlight w:val="none"/>
        </w:rPr>
      </w:pPr>
      <w:r>
        <w:rPr>
          <w:rFonts w:hint="eastAsia" w:ascii="仿宋" w:hAnsi="仿宋" w:eastAsia="仿宋" w:cs="仿宋"/>
          <w:color w:val="auto"/>
          <w:highlight w:val="none"/>
        </w:rPr>
        <w:t>“资金支付合规率</w:t>
      </w:r>
      <w:r>
        <w:rPr>
          <w:rFonts w:hint="eastAsia" w:ascii="仿宋" w:hAnsi="仿宋" w:eastAsia="仿宋" w:cs="仿宋"/>
          <w:color w:val="auto"/>
          <w:highlight w:val="none"/>
        </w:rPr>
        <w:tab/>
      </w:r>
      <w:r>
        <w:rPr>
          <w:rFonts w:hint="eastAsia" w:ascii="仿宋" w:hAnsi="仿宋" w:eastAsia="仿宋" w:cs="仿宋"/>
          <w:color w:val="auto"/>
          <w:highlight w:val="none"/>
        </w:rPr>
        <w:t>”指标，预期指标值为</w:t>
      </w:r>
      <w:r>
        <w:rPr>
          <w:rFonts w:hint="eastAsia" w:ascii="仿宋" w:hAnsi="仿宋" w:eastAsia="仿宋" w:cs="仿宋"/>
          <w:color w:val="auto"/>
          <w:highlight w:val="none"/>
          <w:lang w:eastAsia="zh-CN"/>
        </w:rPr>
        <w:t>等于</w:t>
      </w:r>
      <w:r>
        <w:rPr>
          <w:rFonts w:hint="eastAsia" w:ascii="仿宋" w:hAnsi="仿宋" w:eastAsia="仿宋" w:cs="仿宋"/>
          <w:color w:val="auto"/>
          <w:highlight w:val="none"/>
        </w:rPr>
        <w:t>100.00%,全年实际值为100.00%，指标完成率为100.00%。所设分值</w:t>
      </w:r>
      <w:r>
        <w:rPr>
          <w:rFonts w:hint="eastAsia" w:ascii="仿宋" w:hAnsi="仿宋" w:eastAsia="仿宋" w:cs="仿宋"/>
          <w:color w:val="auto"/>
          <w:highlight w:val="none"/>
          <w:lang w:val="en-US" w:eastAsia="zh-CN"/>
        </w:rPr>
        <w:t>5</w:t>
      </w:r>
      <w:r>
        <w:rPr>
          <w:rFonts w:hint="eastAsia" w:ascii="仿宋" w:hAnsi="仿宋" w:eastAsia="仿宋" w:cs="仿宋"/>
          <w:color w:val="auto"/>
          <w:highlight w:val="none"/>
        </w:rPr>
        <w:t>分，实际得分</w:t>
      </w:r>
      <w:r>
        <w:rPr>
          <w:rFonts w:hint="eastAsia" w:ascii="仿宋" w:hAnsi="仿宋" w:eastAsia="仿宋" w:cs="仿宋"/>
          <w:color w:val="auto"/>
          <w:highlight w:val="none"/>
          <w:lang w:val="en-US" w:eastAsia="zh-CN"/>
        </w:rPr>
        <w:t>5</w:t>
      </w:r>
      <w:r>
        <w:rPr>
          <w:rFonts w:hint="eastAsia" w:ascii="仿宋" w:hAnsi="仿宋" w:eastAsia="仿宋" w:cs="仿宋"/>
          <w:color w:val="auto"/>
          <w:highlight w:val="none"/>
        </w:rPr>
        <w:t>分。</w:t>
      </w:r>
    </w:p>
    <w:p>
      <w:pPr>
        <w:pStyle w:val="52"/>
        <w:spacing w:line="560" w:lineRule="exact"/>
        <w:ind w:left="0" w:leftChars="0" w:right="0" w:rightChars="0" w:firstLine="560"/>
        <w:rPr>
          <w:rFonts w:hint="eastAsia" w:ascii="仿宋" w:hAnsi="仿宋" w:eastAsia="仿宋" w:cs="仿宋"/>
          <w:color w:val="auto"/>
          <w:highlight w:val="none"/>
        </w:rPr>
      </w:pPr>
      <w:r>
        <w:rPr>
          <w:rFonts w:hint="eastAsia" w:ascii="仿宋" w:hAnsi="仿宋" w:eastAsia="仿宋" w:cs="仿宋"/>
          <w:color w:val="auto"/>
          <w:highlight w:val="none"/>
        </w:rPr>
        <w:t>1.3项目完成时效</w:t>
      </w:r>
    </w:p>
    <w:p>
      <w:pPr>
        <w:pStyle w:val="52"/>
        <w:spacing w:line="560" w:lineRule="exact"/>
        <w:ind w:left="0" w:leftChars="0" w:right="0" w:rightChars="0" w:firstLine="560"/>
        <w:rPr>
          <w:rFonts w:hint="eastAsia" w:ascii="仿宋" w:hAnsi="仿宋" w:eastAsia="仿宋" w:cs="仿宋"/>
          <w:color w:val="auto"/>
          <w:highlight w:val="none"/>
        </w:rPr>
      </w:pPr>
      <w:r>
        <w:rPr>
          <w:rFonts w:hint="eastAsia" w:ascii="仿宋" w:hAnsi="仿宋" w:eastAsia="仿宋" w:cs="仿宋"/>
          <w:color w:val="auto"/>
          <w:highlight w:val="none"/>
        </w:rPr>
        <w:t>“资金支付及时率”指标，预期指标值为</w:t>
      </w:r>
      <w:r>
        <w:rPr>
          <w:rFonts w:hint="eastAsia" w:ascii="仿宋" w:hAnsi="仿宋" w:eastAsia="仿宋" w:cs="仿宋"/>
          <w:color w:val="auto"/>
          <w:highlight w:val="none"/>
          <w:lang w:eastAsia="zh-CN"/>
        </w:rPr>
        <w:t>等于</w:t>
      </w:r>
      <w:r>
        <w:rPr>
          <w:rFonts w:hint="eastAsia" w:ascii="仿宋" w:hAnsi="仿宋" w:eastAsia="仿宋" w:cs="仿宋"/>
          <w:color w:val="auto"/>
          <w:highlight w:val="none"/>
        </w:rPr>
        <w:t>100.00%,全年实际值为100.00%，指标完成率为100.00%。。所设分值</w:t>
      </w:r>
      <w:r>
        <w:rPr>
          <w:rFonts w:hint="eastAsia" w:ascii="仿宋" w:hAnsi="仿宋" w:eastAsia="仿宋" w:cs="仿宋"/>
          <w:color w:val="auto"/>
          <w:highlight w:val="none"/>
          <w:lang w:val="en-US" w:eastAsia="zh-CN"/>
        </w:rPr>
        <w:t>5</w:t>
      </w:r>
      <w:r>
        <w:rPr>
          <w:rFonts w:hint="eastAsia" w:ascii="仿宋" w:hAnsi="仿宋" w:eastAsia="仿宋" w:cs="仿宋"/>
          <w:color w:val="auto"/>
          <w:highlight w:val="none"/>
        </w:rPr>
        <w:t>分，实际得分</w:t>
      </w:r>
      <w:r>
        <w:rPr>
          <w:rFonts w:hint="eastAsia" w:ascii="仿宋" w:hAnsi="仿宋" w:eastAsia="仿宋" w:cs="仿宋"/>
          <w:color w:val="auto"/>
          <w:highlight w:val="none"/>
          <w:lang w:val="en-US" w:eastAsia="zh-CN"/>
        </w:rPr>
        <w:t>5</w:t>
      </w:r>
      <w:r>
        <w:rPr>
          <w:rFonts w:hint="eastAsia" w:ascii="仿宋" w:hAnsi="仿宋" w:eastAsia="仿宋" w:cs="仿宋"/>
          <w:color w:val="auto"/>
          <w:highlight w:val="none"/>
        </w:rPr>
        <w:t>分。</w:t>
      </w:r>
    </w:p>
    <w:p>
      <w:pPr>
        <w:pStyle w:val="52"/>
        <w:spacing w:line="560" w:lineRule="exact"/>
        <w:ind w:left="0" w:leftChars="0" w:right="0" w:rightChars="0" w:firstLine="560"/>
        <w:rPr>
          <w:rFonts w:hint="eastAsia" w:ascii="仿宋" w:hAnsi="仿宋" w:eastAsia="仿宋" w:cs="仿宋"/>
          <w:color w:val="auto"/>
          <w:highlight w:val="none"/>
        </w:rPr>
      </w:pPr>
      <w:r>
        <w:rPr>
          <w:rFonts w:hint="eastAsia" w:ascii="仿宋" w:hAnsi="仿宋" w:eastAsia="仿宋" w:cs="仿宋"/>
          <w:color w:val="auto"/>
          <w:highlight w:val="none"/>
        </w:rPr>
        <w:t>“项目开工时间”指标，预期指标值为</w:t>
      </w:r>
      <w:r>
        <w:rPr>
          <w:rFonts w:hint="eastAsia" w:ascii="仿宋" w:hAnsi="仿宋" w:eastAsia="仿宋" w:cs="仿宋"/>
          <w:color w:val="auto"/>
          <w:highlight w:val="none"/>
          <w:lang w:val="en-US" w:eastAsia="zh-CN"/>
        </w:rPr>
        <w:t>2024</w:t>
      </w:r>
      <w:r>
        <w:rPr>
          <w:rFonts w:hint="eastAsia" w:ascii="仿宋" w:hAnsi="仿宋" w:eastAsia="仿宋" w:cs="仿宋"/>
          <w:color w:val="auto"/>
          <w:highlight w:val="none"/>
        </w:rPr>
        <w:t>年</w:t>
      </w:r>
      <w:r>
        <w:rPr>
          <w:rFonts w:hint="eastAsia" w:ascii="仿宋" w:hAnsi="仿宋" w:eastAsia="仿宋" w:cs="仿宋"/>
          <w:color w:val="auto"/>
          <w:highlight w:val="none"/>
          <w:lang w:val="en-US" w:eastAsia="zh-CN"/>
        </w:rPr>
        <w:t>3</w:t>
      </w:r>
      <w:r>
        <w:rPr>
          <w:rFonts w:hint="eastAsia" w:ascii="仿宋" w:hAnsi="仿宋" w:eastAsia="仿宋" w:cs="仿宋"/>
          <w:color w:val="auto"/>
          <w:highlight w:val="none"/>
        </w:rPr>
        <w:t>月,全年实际值为</w:t>
      </w:r>
      <w:r>
        <w:rPr>
          <w:rFonts w:hint="eastAsia" w:ascii="仿宋" w:hAnsi="仿宋" w:eastAsia="仿宋" w:cs="仿宋"/>
          <w:color w:val="auto"/>
          <w:highlight w:val="none"/>
          <w:lang w:val="en-US" w:eastAsia="zh-CN"/>
        </w:rPr>
        <w:t>2024</w:t>
      </w:r>
      <w:r>
        <w:rPr>
          <w:rFonts w:hint="eastAsia" w:ascii="仿宋" w:hAnsi="仿宋" w:eastAsia="仿宋" w:cs="仿宋"/>
          <w:color w:val="auto"/>
          <w:highlight w:val="none"/>
        </w:rPr>
        <w:t>年</w:t>
      </w:r>
      <w:r>
        <w:rPr>
          <w:rFonts w:hint="eastAsia" w:ascii="仿宋" w:hAnsi="仿宋" w:eastAsia="仿宋" w:cs="仿宋"/>
          <w:color w:val="auto"/>
          <w:highlight w:val="none"/>
          <w:lang w:val="en-US" w:eastAsia="zh-CN"/>
        </w:rPr>
        <w:t>3</w:t>
      </w:r>
      <w:r>
        <w:rPr>
          <w:rFonts w:hint="eastAsia" w:ascii="仿宋" w:hAnsi="仿宋" w:eastAsia="仿宋" w:cs="仿宋"/>
          <w:color w:val="auto"/>
          <w:highlight w:val="none"/>
        </w:rPr>
        <w:t>月，指标完成率为100.00%。。所设分值5分，实际得分5分。</w:t>
      </w:r>
    </w:p>
    <w:p>
      <w:pPr>
        <w:pStyle w:val="52"/>
        <w:spacing w:line="560" w:lineRule="exact"/>
        <w:ind w:left="0" w:leftChars="0" w:right="0" w:rightChars="0" w:firstLine="560"/>
        <w:rPr>
          <w:rFonts w:hint="eastAsia" w:ascii="仿宋" w:hAnsi="仿宋" w:eastAsia="仿宋" w:cs="仿宋"/>
          <w:color w:val="auto"/>
          <w:highlight w:val="none"/>
        </w:rPr>
      </w:pPr>
      <w:r>
        <w:rPr>
          <w:rFonts w:hint="eastAsia" w:ascii="仿宋" w:hAnsi="仿宋" w:eastAsia="仿宋" w:cs="仿宋"/>
          <w:color w:val="auto"/>
          <w:highlight w:val="none"/>
        </w:rPr>
        <w:t>“项目完工时间”指标，预期指标值为20</w:t>
      </w:r>
      <w:r>
        <w:rPr>
          <w:rFonts w:hint="eastAsia" w:ascii="仿宋" w:hAnsi="仿宋" w:eastAsia="仿宋" w:cs="仿宋"/>
          <w:color w:val="auto"/>
          <w:highlight w:val="none"/>
          <w:lang w:val="en-US" w:eastAsia="zh-CN"/>
        </w:rPr>
        <w:t>24</w:t>
      </w:r>
      <w:r>
        <w:rPr>
          <w:rFonts w:hint="eastAsia" w:ascii="仿宋" w:hAnsi="仿宋" w:eastAsia="仿宋" w:cs="仿宋"/>
          <w:color w:val="auto"/>
          <w:highlight w:val="none"/>
        </w:rPr>
        <w:t>年</w:t>
      </w:r>
      <w:r>
        <w:rPr>
          <w:rFonts w:hint="eastAsia" w:ascii="仿宋" w:hAnsi="仿宋" w:eastAsia="仿宋" w:cs="仿宋"/>
          <w:color w:val="auto"/>
          <w:highlight w:val="none"/>
          <w:lang w:val="en-US" w:eastAsia="zh-CN"/>
        </w:rPr>
        <w:t>4</w:t>
      </w:r>
      <w:r>
        <w:rPr>
          <w:rFonts w:hint="eastAsia" w:ascii="仿宋" w:hAnsi="仿宋" w:eastAsia="仿宋" w:cs="仿宋"/>
          <w:color w:val="auto"/>
          <w:highlight w:val="none"/>
        </w:rPr>
        <w:t>月,全年实际值为20</w:t>
      </w:r>
      <w:r>
        <w:rPr>
          <w:rFonts w:hint="eastAsia" w:ascii="仿宋" w:hAnsi="仿宋" w:eastAsia="仿宋" w:cs="仿宋"/>
          <w:color w:val="auto"/>
          <w:highlight w:val="none"/>
          <w:lang w:val="en-US" w:eastAsia="zh-CN"/>
        </w:rPr>
        <w:t>24</w:t>
      </w:r>
      <w:r>
        <w:rPr>
          <w:rFonts w:hint="eastAsia" w:ascii="仿宋" w:hAnsi="仿宋" w:eastAsia="仿宋" w:cs="仿宋"/>
          <w:color w:val="auto"/>
          <w:highlight w:val="none"/>
        </w:rPr>
        <w:t>年</w:t>
      </w:r>
      <w:r>
        <w:rPr>
          <w:rFonts w:hint="eastAsia" w:ascii="仿宋" w:hAnsi="仿宋" w:eastAsia="仿宋" w:cs="仿宋"/>
          <w:color w:val="auto"/>
          <w:highlight w:val="none"/>
          <w:lang w:val="en-US" w:eastAsia="zh-CN"/>
        </w:rPr>
        <w:t>4</w:t>
      </w:r>
      <w:r>
        <w:rPr>
          <w:rFonts w:hint="eastAsia" w:ascii="仿宋" w:hAnsi="仿宋" w:eastAsia="仿宋" w:cs="仿宋"/>
          <w:color w:val="auto"/>
          <w:highlight w:val="none"/>
        </w:rPr>
        <w:t xml:space="preserve">月，指标完成率为100.00%。所设分值5分，实际得分5分。        </w:t>
      </w:r>
    </w:p>
    <w:p>
      <w:pPr>
        <w:pStyle w:val="52"/>
        <w:spacing w:line="560" w:lineRule="exact"/>
        <w:ind w:left="0" w:leftChars="0" w:right="0" w:rightChars="0" w:firstLine="560"/>
        <w:rPr>
          <w:rFonts w:hint="eastAsia" w:ascii="仿宋" w:hAnsi="仿宋" w:eastAsia="仿宋" w:cs="仿宋"/>
          <w:color w:val="auto"/>
          <w:highlight w:val="none"/>
        </w:rPr>
      </w:pPr>
      <w:r>
        <w:rPr>
          <w:rFonts w:hint="eastAsia" w:ascii="仿宋" w:hAnsi="仿宋" w:eastAsia="仿宋" w:cs="仿宋"/>
          <w:color w:val="auto"/>
          <w:highlight w:val="none"/>
        </w:rPr>
        <w:t>1.4项目成本节约情况</w:t>
      </w:r>
    </w:p>
    <w:p>
      <w:pPr>
        <w:pStyle w:val="52"/>
        <w:spacing w:line="560" w:lineRule="exact"/>
        <w:ind w:left="0" w:leftChars="0" w:right="0" w:rightChars="0" w:firstLine="560"/>
        <w:rPr>
          <w:rFonts w:hint="eastAsia" w:ascii="仿宋" w:hAnsi="仿宋" w:eastAsia="仿宋" w:cs="仿宋"/>
          <w:color w:val="auto"/>
          <w:highlight w:val="none"/>
        </w:rPr>
      </w:pPr>
      <w:r>
        <w:rPr>
          <w:rFonts w:hint="eastAsia" w:ascii="仿宋" w:hAnsi="仿宋" w:eastAsia="仿宋" w:cs="仿宋"/>
          <w:color w:val="auto"/>
          <w:highlight w:val="none"/>
        </w:rPr>
        <w:t>为有效控制项目实施成本，我单位在实施项目前就该项目设定了成本控制指标，实施过程中我单位通过公开招标的方式有效降低了项目执行成本，具体指标设置及完成情况如下：</w:t>
      </w:r>
    </w:p>
    <w:p>
      <w:pPr>
        <w:pStyle w:val="33"/>
        <w:rPr>
          <w:rFonts w:hint="eastAsia" w:ascii="仿宋" w:hAnsi="仿宋" w:eastAsia="仿宋" w:cs="仿宋"/>
          <w:color w:val="auto"/>
          <w:highlight w:val="none"/>
        </w:rPr>
      </w:pPr>
      <w:bookmarkStart w:id="0" w:name="OLE_LINK1"/>
      <w:r>
        <w:rPr>
          <w:rFonts w:hint="eastAsia" w:ascii="仿宋" w:hAnsi="仿宋" w:eastAsia="仿宋" w:cs="仿宋"/>
          <w:color w:val="auto"/>
          <w:highlight w:val="none"/>
        </w:rPr>
        <w:t>“工程费用”指标，预期指标值为</w:t>
      </w:r>
      <w:r>
        <w:rPr>
          <w:rFonts w:hint="eastAsia" w:ascii="仿宋" w:hAnsi="仿宋" w:eastAsia="仿宋" w:cs="仿宋"/>
          <w:color w:val="auto"/>
          <w:highlight w:val="none"/>
          <w:lang w:eastAsia="zh-CN"/>
        </w:rPr>
        <w:t>小于等于</w:t>
      </w:r>
      <w:r>
        <w:rPr>
          <w:rFonts w:hint="eastAsia" w:ascii="仿宋" w:hAnsi="仿宋" w:eastAsia="仿宋" w:cs="仿宋"/>
          <w:color w:val="auto"/>
          <w:highlight w:val="none"/>
        </w:rPr>
        <w:t>135.49万元, 全年实际值为137.6万元，指标完成率为</w:t>
      </w:r>
      <w:r>
        <w:rPr>
          <w:rFonts w:hint="eastAsia" w:ascii="仿宋" w:hAnsi="仿宋" w:eastAsia="仿宋" w:cs="仿宋"/>
          <w:color w:val="auto"/>
          <w:highlight w:val="none"/>
          <w:lang w:val="en-US" w:eastAsia="zh-CN"/>
        </w:rPr>
        <w:t>95</w:t>
      </w:r>
      <w:r>
        <w:rPr>
          <w:rFonts w:hint="eastAsia" w:ascii="仿宋" w:hAnsi="仿宋" w:eastAsia="仿宋" w:cs="仿宋"/>
          <w:color w:val="auto"/>
          <w:highlight w:val="none"/>
        </w:rPr>
        <w:t>%。所设分值</w:t>
      </w:r>
      <w:r>
        <w:rPr>
          <w:rFonts w:hint="eastAsia" w:ascii="仿宋" w:hAnsi="仿宋" w:eastAsia="仿宋" w:cs="仿宋"/>
          <w:color w:val="auto"/>
          <w:highlight w:val="none"/>
          <w:lang w:val="en-US" w:eastAsia="zh-CN"/>
        </w:rPr>
        <w:t>6</w:t>
      </w:r>
      <w:r>
        <w:rPr>
          <w:rFonts w:hint="eastAsia" w:ascii="仿宋" w:hAnsi="仿宋" w:eastAsia="仿宋" w:cs="仿宋"/>
          <w:color w:val="auto"/>
          <w:highlight w:val="none"/>
        </w:rPr>
        <w:t>分，实际得分</w:t>
      </w:r>
      <w:r>
        <w:rPr>
          <w:rFonts w:hint="eastAsia" w:ascii="仿宋" w:hAnsi="仿宋" w:eastAsia="仿宋" w:cs="仿宋"/>
          <w:color w:val="auto"/>
          <w:highlight w:val="none"/>
          <w:lang w:val="en-US" w:eastAsia="zh-CN"/>
        </w:rPr>
        <w:t>5.5</w:t>
      </w:r>
      <w:r>
        <w:rPr>
          <w:rFonts w:hint="eastAsia" w:ascii="仿宋" w:hAnsi="仿宋" w:eastAsia="仿宋" w:cs="仿宋"/>
          <w:color w:val="auto"/>
          <w:highlight w:val="none"/>
        </w:rPr>
        <w:t>分。偏差原因：项目已完工，相关评估决算已完成，工程</w:t>
      </w:r>
      <w:r>
        <w:rPr>
          <w:rFonts w:hint="eastAsia" w:ascii="仿宋" w:hAnsi="仿宋" w:eastAsia="仿宋" w:cs="仿宋"/>
          <w:color w:val="auto"/>
          <w:highlight w:val="none"/>
          <w:lang w:eastAsia="zh-CN"/>
        </w:rPr>
        <w:t>结余</w:t>
      </w:r>
      <w:r>
        <w:rPr>
          <w:rFonts w:hint="eastAsia" w:ascii="仿宋" w:hAnsi="仿宋" w:eastAsia="仿宋" w:cs="仿宋"/>
          <w:color w:val="auto"/>
          <w:highlight w:val="none"/>
        </w:rPr>
        <w:t>资金7.65万元。改进措施：加强项目建设资金管理。</w:t>
      </w:r>
    </w:p>
    <w:p>
      <w:pPr>
        <w:pStyle w:val="33"/>
        <w:rPr>
          <w:rFonts w:hint="eastAsia" w:ascii="仿宋" w:hAnsi="仿宋" w:eastAsia="仿宋" w:cs="仿宋"/>
          <w:color w:val="auto"/>
          <w:highlight w:val="none"/>
        </w:rPr>
      </w:pPr>
      <w:r>
        <w:rPr>
          <w:rFonts w:hint="eastAsia" w:ascii="仿宋" w:hAnsi="仿宋" w:eastAsia="仿宋" w:cs="仿宋"/>
          <w:color w:val="auto"/>
          <w:highlight w:val="none"/>
        </w:rPr>
        <w:t>“其他费用”指标，预期指标值为</w:t>
      </w:r>
      <w:r>
        <w:rPr>
          <w:rFonts w:hint="eastAsia" w:ascii="仿宋" w:hAnsi="仿宋" w:eastAsia="仿宋" w:cs="仿宋"/>
          <w:color w:val="auto"/>
          <w:highlight w:val="none"/>
          <w:lang w:eastAsia="zh-CN"/>
        </w:rPr>
        <w:t>小于等于</w:t>
      </w:r>
      <w:r>
        <w:rPr>
          <w:rFonts w:hint="eastAsia" w:ascii="仿宋" w:hAnsi="仿宋" w:eastAsia="仿宋" w:cs="仿宋"/>
          <w:color w:val="auto"/>
          <w:highlight w:val="none"/>
        </w:rPr>
        <w:t>7.42万元, 全年实际值为4.75万元，指标完成率为</w:t>
      </w:r>
      <w:r>
        <w:rPr>
          <w:rFonts w:hint="eastAsia" w:ascii="仿宋" w:hAnsi="仿宋" w:eastAsia="仿宋" w:cs="仿宋"/>
          <w:color w:val="auto"/>
          <w:highlight w:val="none"/>
          <w:lang w:val="en-US" w:eastAsia="zh-CN"/>
        </w:rPr>
        <w:t>64.02</w:t>
      </w:r>
      <w:r>
        <w:rPr>
          <w:rFonts w:hint="eastAsia" w:ascii="仿宋" w:hAnsi="仿宋" w:eastAsia="仿宋" w:cs="仿宋"/>
          <w:color w:val="auto"/>
          <w:highlight w:val="none"/>
        </w:rPr>
        <w:t>%；所设分值</w:t>
      </w:r>
      <w:r>
        <w:rPr>
          <w:rFonts w:hint="eastAsia" w:ascii="仿宋" w:hAnsi="仿宋" w:eastAsia="仿宋" w:cs="仿宋"/>
          <w:color w:val="auto"/>
          <w:highlight w:val="none"/>
          <w:lang w:val="en-US" w:eastAsia="zh-CN"/>
        </w:rPr>
        <w:t>6</w:t>
      </w:r>
      <w:r>
        <w:rPr>
          <w:rFonts w:hint="eastAsia" w:ascii="仿宋" w:hAnsi="仿宋" w:eastAsia="仿宋" w:cs="仿宋"/>
          <w:color w:val="auto"/>
          <w:highlight w:val="none"/>
        </w:rPr>
        <w:t>分，实际得分</w:t>
      </w:r>
      <w:r>
        <w:rPr>
          <w:rFonts w:hint="eastAsia" w:ascii="仿宋" w:hAnsi="仿宋" w:eastAsia="仿宋" w:cs="仿宋"/>
          <w:color w:val="auto"/>
          <w:highlight w:val="none"/>
          <w:lang w:val="en-US" w:eastAsia="zh-CN"/>
        </w:rPr>
        <w:t>3.84</w:t>
      </w:r>
      <w:r>
        <w:rPr>
          <w:rFonts w:hint="eastAsia" w:ascii="仿宋" w:hAnsi="仿宋" w:eastAsia="仿宋" w:cs="仿宋"/>
          <w:color w:val="auto"/>
          <w:highlight w:val="none"/>
        </w:rPr>
        <w:t>分。偏差原因：项目已完工，相关评估决算已完成，工程</w:t>
      </w:r>
      <w:r>
        <w:rPr>
          <w:rFonts w:hint="eastAsia" w:ascii="仿宋" w:hAnsi="仿宋" w:eastAsia="仿宋" w:cs="仿宋"/>
          <w:color w:val="auto"/>
          <w:highlight w:val="none"/>
          <w:lang w:eastAsia="zh-CN"/>
        </w:rPr>
        <w:t>结余</w:t>
      </w:r>
      <w:r>
        <w:rPr>
          <w:rFonts w:hint="eastAsia" w:ascii="仿宋" w:hAnsi="仿宋" w:eastAsia="仿宋" w:cs="仿宋"/>
          <w:color w:val="auto"/>
          <w:highlight w:val="none"/>
        </w:rPr>
        <w:t>资金7.65万元。改进措施：加强项目建设资金管理。</w:t>
      </w:r>
    </w:p>
    <w:bookmarkEnd w:id="0"/>
    <w:p>
      <w:pPr>
        <w:pStyle w:val="33"/>
        <w:rPr>
          <w:rFonts w:hint="eastAsia" w:ascii="仿宋" w:hAnsi="仿宋" w:eastAsia="仿宋" w:cs="仿宋"/>
          <w:color w:val="auto"/>
          <w:highlight w:val="none"/>
        </w:rPr>
      </w:pPr>
      <w:r>
        <w:rPr>
          <w:rFonts w:hint="eastAsia" w:ascii="仿宋" w:hAnsi="仿宋" w:eastAsia="仿宋" w:cs="仿宋"/>
          <w:color w:val="auto"/>
          <w:highlight w:val="none"/>
        </w:rPr>
        <w:t>2.效益指标完成情况分析</w:t>
      </w:r>
    </w:p>
    <w:p>
      <w:pPr>
        <w:pStyle w:val="52"/>
        <w:spacing w:line="560" w:lineRule="exact"/>
        <w:ind w:left="0" w:leftChars="0" w:right="0" w:rightChars="0" w:firstLine="560"/>
        <w:rPr>
          <w:rFonts w:hint="eastAsia" w:ascii="仿宋" w:hAnsi="仿宋" w:eastAsia="仿宋" w:cs="仿宋"/>
          <w:color w:val="auto"/>
          <w:highlight w:val="none"/>
        </w:rPr>
      </w:pPr>
      <w:r>
        <w:rPr>
          <w:rFonts w:hint="eastAsia" w:ascii="仿宋" w:hAnsi="仿宋" w:eastAsia="仿宋" w:cs="仿宋"/>
          <w:color w:val="auto"/>
          <w:highlight w:val="none"/>
        </w:rPr>
        <w:t>2.</w:t>
      </w:r>
      <w:r>
        <w:rPr>
          <w:rFonts w:hint="eastAsia" w:ascii="仿宋" w:hAnsi="仿宋" w:eastAsia="仿宋" w:cs="仿宋"/>
          <w:color w:val="auto"/>
          <w:highlight w:val="none"/>
          <w:lang w:val="en-US" w:eastAsia="zh-CN"/>
        </w:rPr>
        <w:t>1</w:t>
      </w:r>
      <w:r>
        <w:rPr>
          <w:rFonts w:hint="eastAsia" w:ascii="仿宋" w:hAnsi="仿宋" w:eastAsia="仿宋" w:cs="仿宋"/>
          <w:color w:val="auto"/>
          <w:highlight w:val="none"/>
        </w:rPr>
        <w:t>项目实施的社会效益分析</w:t>
      </w:r>
    </w:p>
    <w:p>
      <w:pPr>
        <w:pStyle w:val="52"/>
        <w:spacing w:line="560" w:lineRule="exact"/>
        <w:ind w:left="0" w:leftChars="0" w:right="0" w:rightChars="0" w:firstLine="560"/>
        <w:rPr>
          <w:rFonts w:hint="eastAsia" w:ascii="仿宋" w:hAnsi="仿宋" w:eastAsia="仿宋" w:cs="仿宋"/>
          <w:color w:val="auto"/>
          <w:highlight w:val="none"/>
        </w:rPr>
      </w:pPr>
      <w:r>
        <w:rPr>
          <w:rFonts w:hint="eastAsia" w:ascii="仿宋" w:hAnsi="仿宋" w:eastAsia="仿宋" w:cs="仿宋"/>
          <w:color w:val="auto"/>
          <w:highlight w:val="none"/>
        </w:rPr>
        <w:t>“提升片区工厂承载能力，促进产业发展的需要”指标，指标预期值为</w:t>
      </w:r>
      <w:r>
        <w:rPr>
          <w:rFonts w:hint="eastAsia" w:ascii="仿宋" w:hAnsi="仿宋" w:eastAsia="仿宋" w:cs="仿宋"/>
          <w:color w:val="auto"/>
          <w:highlight w:val="none"/>
          <w:lang w:val="en-US" w:eastAsia="zh-CN"/>
        </w:rPr>
        <w:t>有效提升</w:t>
      </w:r>
      <w:r>
        <w:rPr>
          <w:rFonts w:hint="eastAsia" w:ascii="仿宋" w:hAnsi="仿宋" w:eastAsia="仿宋" w:cs="仿宋"/>
          <w:color w:val="auto"/>
          <w:highlight w:val="none"/>
        </w:rPr>
        <w:t>，实际完成值为</w:t>
      </w:r>
      <w:r>
        <w:rPr>
          <w:rFonts w:hint="eastAsia" w:ascii="仿宋" w:hAnsi="仿宋" w:eastAsia="仿宋" w:cs="仿宋"/>
          <w:color w:val="auto"/>
          <w:highlight w:val="none"/>
          <w:lang w:val="en-US" w:eastAsia="zh-CN"/>
        </w:rPr>
        <w:t>有效提升</w:t>
      </w:r>
      <w:r>
        <w:rPr>
          <w:rFonts w:hint="eastAsia" w:ascii="仿宋" w:hAnsi="仿宋" w:eastAsia="仿宋" w:cs="仿宋"/>
          <w:color w:val="auto"/>
          <w:highlight w:val="none"/>
        </w:rPr>
        <w:t>，指标完成率为100.00%。。所设分值</w:t>
      </w:r>
      <w:r>
        <w:rPr>
          <w:rFonts w:hint="eastAsia" w:ascii="仿宋" w:hAnsi="仿宋" w:eastAsia="仿宋" w:cs="仿宋"/>
          <w:color w:val="auto"/>
          <w:highlight w:val="none"/>
          <w:lang w:val="en-US" w:eastAsia="zh-CN"/>
        </w:rPr>
        <w:t>1</w:t>
      </w:r>
      <w:r>
        <w:rPr>
          <w:rFonts w:hint="eastAsia" w:ascii="仿宋" w:hAnsi="仿宋" w:eastAsia="仿宋" w:cs="仿宋"/>
          <w:color w:val="auto"/>
          <w:highlight w:val="none"/>
        </w:rPr>
        <w:t>5分，实际得分</w:t>
      </w:r>
      <w:r>
        <w:rPr>
          <w:rFonts w:hint="eastAsia" w:ascii="仿宋" w:hAnsi="仿宋" w:eastAsia="仿宋" w:cs="仿宋"/>
          <w:color w:val="auto"/>
          <w:highlight w:val="none"/>
          <w:lang w:val="en-US" w:eastAsia="zh-CN"/>
        </w:rPr>
        <w:t>1</w:t>
      </w:r>
      <w:r>
        <w:rPr>
          <w:rFonts w:hint="eastAsia" w:ascii="仿宋" w:hAnsi="仿宋" w:eastAsia="仿宋" w:cs="仿宋"/>
          <w:color w:val="auto"/>
          <w:highlight w:val="none"/>
        </w:rPr>
        <w:t>5分。</w:t>
      </w:r>
    </w:p>
    <w:p>
      <w:pPr>
        <w:pStyle w:val="52"/>
        <w:spacing w:line="560" w:lineRule="exact"/>
        <w:ind w:left="0" w:leftChars="0" w:right="0" w:rightChars="0" w:firstLine="560"/>
        <w:rPr>
          <w:rFonts w:hint="eastAsia" w:ascii="仿宋" w:hAnsi="仿宋" w:eastAsia="仿宋" w:cs="仿宋"/>
          <w:color w:val="auto"/>
          <w:highlight w:val="none"/>
        </w:rPr>
      </w:pPr>
      <w:r>
        <w:rPr>
          <w:rFonts w:hint="eastAsia" w:ascii="仿宋" w:hAnsi="仿宋" w:eastAsia="仿宋" w:cs="仿宋"/>
          <w:color w:val="auto"/>
          <w:highlight w:val="none"/>
        </w:rPr>
        <w:t>2.</w:t>
      </w:r>
      <w:r>
        <w:rPr>
          <w:rFonts w:hint="eastAsia" w:ascii="仿宋" w:hAnsi="仿宋" w:eastAsia="仿宋" w:cs="仿宋"/>
          <w:color w:val="auto"/>
          <w:highlight w:val="none"/>
          <w:lang w:val="en-US" w:eastAsia="zh-CN"/>
        </w:rPr>
        <w:t>2</w:t>
      </w:r>
      <w:r>
        <w:rPr>
          <w:rFonts w:hint="eastAsia" w:ascii="仿宋" w:hAnsi="仿宋" w:eastAsia="仿宋" w:cs="仿宋"/>
          <w:color w:val="auto"/>
          <w:highlight w:val="none"/>
        </w:rPr>
        <w:t>项目实施的可持续影响分析</w:t>
      </w:r>
    </w:p>
    <w:p>
      <w:pPr>
        <w:pStyle w:val="33"/>
        <w:rPr>
          <w:rFonts w:hint="eastAsia" w:ascii="仿宋" w:hAnsi="仿宋" w:eastAsia="仿宋" w:cs="仿宋"/>
          <w:color w:val="auto"/>
          <w:highlight w:val="none"/>
        </w:rPr>
      </w:pPr>
      <w:r>
        <w:rPr>
          <w:rFonts w:hint="eastAsia" w:ascii="仿宋" w:hAnsi="仿宋" w:eastAsia="仿宋" w:cs="仿宋"/>
          <w:color w:val="auto"/>
          <w:highlight w:val="none"/>
        </w:rPr>
        <w:t>“渠道及建筑物使用年限”指标，指标预期值为</w:t>
      </w:r>
      <w:r>
        <w:rPr>
          <w:rFonts w:hint="eastAsia" w:ascii="仿宋" w:hAnsi="仿宋" w:eastAsia="仿宋" w:cs="仿宋"/>
          <w:color w:val="auto"/>
          <w:highlight w:val="none"/>
          <w:lang w:eastAsia="zh-CN"/>
        </w:rPr>
        <w:t>大于等于</w:t>
      </w:r>
      <w:r>
        <w:rPr>
          <w:rFonts w:hint="eastAsia" w:ascii="仿宋" w:hAnsi="仿宋" w:eastAsia="仿宋" w:cs="仿宋"/>
          <w:color w:val="auto"/>
          <w:highlight w:val="none"/>
          <w:lang w:val="en-US" w:eastAsia="zh-CN"/>
        </w:rPr>
        <w:t>50</w:t>
      </w:r>
      <w:r>
        <w:rPr>
          <w:rFonts w:hint="eastAsia" w:ascii="仿宋" w:hAnsi="仿宋" w:eastAsia="仿宋" w:cs="仿宋"/>
          <w:color w:val="auto"/>
          <w:highlight w:val="none"/>
        </w:rPr>
        <w:t>年，实际完成值为</w:t>
      </w:r>
      <w:r>
        <w:rPr>
          <w:rFonts w:hint="eastAsia" w:ascii="仿宋" w:hAnsi="仿宋" w:eastAsia="仿宋" w:cs="仿宋"/>
          <w:color w:val="auto"/>
          <w:highlight w:val="none"/>
          <w:lang w:val="en-US" w:eastAsia="zh-CN"/>
        </w:rPr>
        <w:t>50</w:t>
      </w:r>
      <w:r>
        <w:rPr>
          <w:rFonts w:hint="eastAsia" w:ascii="仿宋" w:hAnsi="仿宋" w:eastAsia="仿宋" w:cs="仿宋"/>
          <w:color w:val="auto"/>
          <w:highlight w:val="none"/>
        </w:rPr>
        <w:t>年，指标完成率为100.00%。。所设分值</w:t>
      </w:r>
      <w:r>
        <w:rPr>
          <w:rFonts w:hint="eastAsia" w:ascii="仿宋" w:hAnsi="仿宋" w:eastAsia="仿宋" w:cs="仿宋"/>
          <w:color w:val="auto"/>
          <w:highlight w:val="none"/>
          <w:lang w:val="en-US" w:eastAsia="zh-CN"/>
        </w:rPr>
        <w:t>1</w:t>
      </w:r>
      <w:r>
        <w:rPr>
          <w:rFonts w:hint="eastAsia" w:ascii="仿宋" w:hAnsi="仿宋" w:eastAsia="仿宋" w:cs="仿宋"/>
          <w:color w:val="auto"/>
          <w:highlight w:val="none"/>
        </w:rPr>
        <w:t>5分，实际得分</w:t>
      </w:r>
      <w:r>
        <w:rPr>
          <w:rFonts w:hint="eastAsia" w:ascii="仿宋" w:hAnsi="仿宋" w:eastAsia="仿宋" w:cs="仿宋"/>
          <w:color w:val="auto"/>
          <w:highlight w:val="none"/>
          <w:lang w:val="en-US" w:eastAsia="zh-CN"/>
        </w:rPr>
        <w:t>1</w:t>
      </w:r>
      <w:r>
        <w:rPr>
          <w:rFonts w:hint="eastAsia" w:ascii="仿宋" w:hAnsi="仿宋" w:eastAsia="仿宋" w:cs="仿宋"/>
          <w:color w:val="auto"/>
          <w:highlight w:val="none"/>
        </w:rPr>
        <w:t>5分。</w:t>
      </w:r>
    </w:p>
    <w:p>
      <w:pPr>
        <w:pStyle w:val="33"/>
        <w:rPr>
          <w:rFonts w:hint="eastAsia" w:ascii="仿宋" w:hAnsi="仿宋" w:eastAsia="仿宋" w:cs="仿宋"/>
          <w:color w:val="auto"/>
          <w:highlight w:val="none"/>
        </w:rPr>
      </w:pPr>
      <w:r>
        <w:rPr>
          <w:rFonts w:hint="eastAsia" w:ascii="仿宋" w:hAnsi="仿宋" w:eastAsia="仿宋" w:cs="仿宋"/>
          <w:color w:val="auto"/>
          <w:highlight w:val="none"/>
        </w:rPr>
        <w:t>3.满意度指标完成情况分析</w:t>
      </w:r>
    </w:p>
    <w:p>
      <w:pPr>
        <w:spacing w:line="560" w:lineRule="exact"/>
        <w:ind w:firstLine="544" w:firstLineChars="200"/>
        <w:rPr>
          <w:rFonts w:hint="eastAsia" w:ascii="仿宋" w:hAnsi="仿宋" w:eastAsia="仿宋" w:cs="仿宋"/>
          <w:bCs/>
          <w:color w:val="auto"/>
          <w:spacing w:val="-4"/>
          <w:sz w:val="28"/>
          <w:szCs w:val="28"/>
          <w:highlight w:val="none"/>
        </w:rPr>
      </w:pPr>
      <w:r>
        <w:rPr>
          <w:rFonts w:hint="eastAsia" w:ascii="仿宋" w:hAnsi="仿宋" w:eastAsia="仿宋" w:cs="仿宋"/>
          <w:bCs/>
          <w:color w:val="auto"/>
          <w:spacing w:val="-4"/>
          <w:sz w:val="28"/>
          <w:szCs w:val="28"/>
          <w:highlight w:val="none"/>
        </w:rPr>
        <w:t>“受益群众满意度”指标，指标预期指标值为</w:t>
      </w:r>
      <w:r>
        <w:rPr>
          <w:rFonts w:hint="eastAsia" w:ascii="仿宋" w:hAnsi="仿宋" w:eastAsia="仿宋" w:cs="仿宋"/>
          <w:bCs/>
          <w:color w:val="auto"/>
          <w:spacing w:val="-4"/>
          <w:sz w:val="28"/>
          <w:szCs w:val="28"/>
          <w:highlight w:val="none"/>
          <w:lang w:eastAsia="zh-CN"/>
        </w:rPr>
        <w:t>大于等于</w:t>
      </w:r>
      <w:r>
        <w:rPr>
          <w:rFonts w:hint="eastAsia" w:ascii="仿宋" w:hAnsi="仿宋" w:eastAsia="仿宋" w:cs="仿宋"/>
          <w:bCs/>
          <w:color w:val="auto"/>
          <w:spacing w:val="-4"/>
          <w:sz w:val="28"/>
          <w:szCs w:val="28"/>
          <w:highlight w:val="none"/>
        </w:rPr>
        <w:t>95%，实际完成值为95%，指标完成率为100.00%。所设分值10分，实际得分10分。</w:t>
      </w:r>
    </w:p>
    <w:p>
      <w:pPr>
        <w:pStyle w:val="29"/>
        <w:spacing w:beforeLines="0" w:line="560" w:lineRule="exact"/>
        <w:ind w:left="0" w:leftChars="0" w:right="0" w:rightChars="0" w:firstLine="544" w:firstLineChars="200"/>
        <w:rPr>
          <w:rFonts w:ascii="仿宋_GB2312" w:hAnsi="Times New Roman" w:eastAsia="仿宋_GB2312" w:cs="Times New Roman"/>
          <w:b w:val="0"/>
          <w:color w:val="auto"/>
          <w:spacing w:val="-4"/>
          <w:szCs w:val="28"/>
          <w:highlight w:val="none"/>
        </w:rPr>
      </w:pPr>
      <w:r>
        <w:rPr>
          <w:rFonts w:hint="eastAsia" w:ascii="仿宋" w:hAnsi="仿宋" w:eastAsia="仿宋" w:cs="仿宋"/>
          <w:b w:val="0"/>
          <w:color w:val="auto"/>
          <w:spacing w:val="-4"/>
          <w:szCs w:val="28"/>
          <w:highlight w:val="none"/>
        </w:rPr>
        <w:t>项目实施完成后我单位就该项目的满意度采取抽样发放调查问卷的方式开展调查，通过对调查问卷的梳理和统计，满意度指标综合满意率为95.00%。</w:t>
      </w:r>
    </w:p>
    <w:p>
      <w:pPr>
        <w:pStyle w:val="29"/>
        <w:spacing w:before="120"/>
        <w:ind w:left="0" w:leftChars="0" w:right="3" w:firstLine="562" w:firstLineChars="200"/>
        <w:rPr>
          <w:color w:val="auto"/>
          <w:highlight w:val="none"/>
        </w:rPr>
      </w:pPr>
      <w:r>
        <w:rPr>
          <w:rFonts w:hint="eastAsia"/>
          <w:color w:val="auto"/>
          <w:highlight w:val="none"/>
        </w:rPr>
        <w:t>四、偏离绩效目标的原因和下一步改进措施</w:t>
      </w:r>
    </w:p>
    <w:p>
      <w:pPr>
        <w:pStyle w:val="33"/>
        <w:rPr>
          <w:rFonts w:hint="eastAsia" w:ascii="仿宋" w:hAnsi="仿宋" w:eastAsia="仿宋" w:cs="仿宋"/>
          <w:color w:val="auto"/>
          <w:highlight w:val="none"/>
        </w:rPr>
      </w:pPr>
      <w:r>
        <w:rPr>
          <w:rFonts w:hint="eastAsia" w:ascii="仿宋" w:hAnsi="仿宋" w:eastAsia="仿宋" w:cs="仿宋"/>
          <w:color w:val="auto"/>
          <w:spacing w:val="-4"/>
          <w:szCs w:val="32"/>
          <w:highlight w:val="none"/>
        </w:rPr>
        <w:t>1.成本指标-</w:t>
      </w:r>
      <w:r>
        <w:rPr>
          <w:rFonts w:hint="eastAsia" w:ascii="仿宋" w:hAnsi="仿宋" w:eastAsia="仿宋" w:cs="仿宋"/>
          <w:color w:val="auto"/>
          <w:highlight w:val="none"/>
        </w:rPr>
        <w:t>“工程费用”指标，预期指标值为</w:t>
      </w:r>
      <w:r>
        <w:rPr>
          <w:rFonts w:hint="eastAsia" w:ascii="仿宋" w:hAnsi="仿宋" w:eastAsia="仿宋" w:cs="仿宋"/>
          <w:color w:val="auto"/>
          <w:highlight w:val="none"/>
          <w:lang w:eastAsia="zh-CN"/>
        </w:rPr>
        <w:t>小于等于</w:t>
      </w:r>
      <w:r>
        <w:rPr>
          <w:rFonts w:hint="eastAsia" w:ascii="仿宋" w:hAnsi="仿宋" w:eastAsia="仿宋" w:cs="仿宋"/>
          <w:color w:val="auto"/>
          <w:highlight w:val="none"/>
        </w:rPr>
        <w:t>135.49万元, 全年实际值为137.6万元万元。</w:t>
      </w:r>
    </w:p>
    <w:p>
      <w:pPr>
        <w:pStyle w:val="33"/>
        <w:rPr>
          <w:rFonts w:hint="eastAsia" w:ascii="仿宋" w:hAnsi="仿宋" w:eastAsia="仿宋" w:cs="仿宋"/>
          <w:color w:val="auto"/>
          <w:highlight w:val="none"/>
        </w:rPr>
      </w:pPr>
      <w:r>
        <w:rPr>
          <w:rFonts w:hint="eastAsia" w:ascii="仿宋" w:hAnsi="仿宋" w:eastAsia="仿宋" w:cs="仿宋"/>
          <w:color w:val="auto"/>
          <w:highlight w:val="none"/>
        </w:rPr>
        <w:t>偏差原因：项目已完工，相关评估决算已完成，工程</w:t>
      </w:r>
      <w:r>
        <w:rPr>
          <w:rFonts w:hint="eastAsia" w:ascii="仿宋" w:hAnsi="仿宋" w:eastAsia="仿宋" w:cs="仿宋"/>
          <w:color w:val="auto"/>
          <w:highlight w:val="none"/>
          <w:lang w:eastAsia="zh-CN"/>
        </w:rPr>
        <w:t>结余</w:t>
      </w:r>
      <w:r>
        <w:rPr>
          <w:rFonts w:hint="eastAsia" w:ascii="仿宋" w:hAnsi="仿宋" w:eastAsia="仿宋" w:cs="仿宋"/>
          <w:color w:val="auto"/>
          <w:highlight w:val="none"/>
        </w:rPr>
        <w:t>资金7.65万元。改进措施：加强项目建设资金管理。</w:t>
      </w:r>
    </w:p>
    <w:p>
      <w:pPr>
        <w:pStyle w:val="33"/>
        <w:rPr>
          <w:rFonts w:hint="eastAsia" w:ascii="仿宋" w:hAnsi="仿宋" w:eastAsia="仿宋" w:cs="仿宋"/>
          <w:color w:val="auto"/>
          <w:highlight w:val="none"/>
        </w:rPr>
      </w:pPr>
      <w:r>
        <w:rPr>
          <w:rFonts w:hint="eastAsia" w:ascii="仿宋" w:hAnsi="仿宋" w:eastAsia="仿宋" w:cs="仿宋"/>
          <w:color w:val="auto"/>
          <w:highlight w:val="none"/>
        </w:rPr>
        <w:t>“其他费用”指标，预期指标值为</w:t>
      </w:r>
      <w:r>
        <w:rPr>
          <w:rFonts w:hint="eastAsia" w:ascii="仿宋" w:hAnsi="仿宋" w:eastAsia="仿宋" w:cs="仿宋"/>
          <w:color w:val="auto"/>
          <w:highlight w:val="none"/>
          <w:lang w:eastAsia="zh-CN"/>
        </w:rPr>
        <w:t>小于等于</w:t>
      </w:r>
      <w:r>
        <w:rPr>
          <w:rFonts w:hint="eastAsia" w:ascii="仿宋" w:hAnsi="仿宋" w:eastAsia="仿宋" w:cs="仿宋"/>
          <w:color w:val="auto"/>
          <w:highlight w:val="none"/>
        </w:rPr>
        <w:t>7.42万元, 全年实际值为4.75万元。</w:t>
      </w:r>
    </w:p>
    <w:p>
      <w:pPr>
        <w:pStyle w:val="33"/>
        <w:rPr>
          <w:rFonts w:hint="eastAsia" w:ascii="仿宋" w:hAnsi="仿宋" w:eastAsia="仿宋" w:cs="仿宋"/>
          <w:color w:val="auto"/>
          <w:spacing w:val="-4"/>
          <w:szCs w:val="32"/>
          <w:highlight w:val="none"/>
          <w:lang w:val="en-US" w:eastAsia="zh-CN"/>
        </w:rPr>
      </w:pPr>
      <w:r>
        <w:rPr>
          <w:rFonts w:hint="eastAsia" w:ascii="仿宋" w:hAnsi="仿宋" w:eastAsia="仿宋" w:cs="仿宋"/>
          <w:color w:val="auto"/>
          <w:highlight w:val="none"/>
        </w:rPr>
        <w:t>偏差原因：项目已完工，相关评估决算已完成，工程</w:t>
      </w:r>
      <w:r>
        <w:rPr>
          <w:rFonts w:hint="eastAsia" w:ascii="仿宋" w:hAnsi="仿宋" w:eastAsia="仿宋" w:cs="仿宋"/>
          <w:color w:val="auto"/>
          <w:highlight w:val="none"/>
          <w:lang w:eastAsia="zh-CN"/>
        </w:rPr>
        <w:t>结余</w:t>
      </w:r>
      <w:r>
        <w:rPr>
          <w:rFonts w:hint="eastAsia" w:ascii="仿宋" w:hAnsi="仿宋" w:eastAsia="仿宋" w:cs="仿宋"/>
          <w:color w:val="auto"/>
          <w:highlight w:val="none"/>
        </w:rPr>
        <w:t>资金7.65万元。改进措施：加强项目建设资金管理。</w:t>
      </w:r>
    </w:p>
    <w:p>
      <w:pPr>
        <w:pStyle w:val="29"/>
        <w:spacing w:before="120"/>
        <w:ind w:left="0" w:leftChars="0" w:right="3" w:firstLine="562" w:firstLineChars="200"/>
        <w:rPr>
          <w:color w:val="auto"/>
          <w:highlight w:val="none"/>
        </w:rPr>
      </w:pPr>
      <w:r>
        <w:rPr>
          <w:rFonts w:hint="eastAsia"/>
          <w:color w:val="auto"/>
          <w:highlight w:val="none"/>
        </w:rPr>
        <w:t>五、绩效自评结果拟应用和公开情况</w:t>
      </w:r>
    </w:p>
    <w:p>
      <w:pPr>
        <w:pStyle w:val="52"/>
        <w:spacing w:line="560" w:lineRule="exact"/>
        <w:ind w:left="3" w:right="3" w:firstLine="560"/>
        <w:rPr>
          <w:rFonts w:hint="eastAsia" w:ascii="仿宋" w:hAnsi="仿宋" w:eastAsia="仿宋" w:cs="仿宋"/>
          <w:color w:val="auto"/>
          <w:highlight w:val="none"/>
        </w:rPr>
      </w:pPr>
      <w:r>
        <w:rPr>
          <w:rFonts w:hint="eastAsia" w:ascii="仿宋" w:hAnsi="仿宋" w:eastAsia="仿宋" w:cs="仿宋"/>
          <w:color w:val="auto"/>
          <w:highlight w:val="none"/>
        </w:rPr>
        <w:t>项目本次评价通过文件研读、实地调研、数据采集、问卷调查方式下，全面了解</w:t>
      </w:r>
      <w:r>
        <w:rPr>
          <w:rFonts w:hint="eastAsia" w:ascii="仿宋" w:hAnsi="仿宋" w:eastAsia="仿宋" w:cs="仿宋"/>
          <w:color w:val="auto"/>
          <w:szCs w:val="32"/>
          <w:highlight w:val="none"/>
        </w:rPr>
        <w:t>于田县兰干乡片区工厂附属配套设施建设项目</w:t>
      </w:r>
      <w:r>
        <w:rPr>
          <w:rFonts w:hint="eastAsia" w:ascii="仿宋" w:hAnsi="仿宋" w:eastAsia="仿宋" w:cs="仿宋"/>
          <w:color w:val="auto"/>
          <w:highlight w:val="none"/>
        </w:rPr>
        <w:t>资金的使用效率和效果，从而得出以下综合评价结论：在绩效目标方面，本项目共设置一级指标3个，二级指标</w:t>
      </w:r>
      <w:r>
        <w:rPr>
          <w:rFonts w:hint="eastAsia" w:ascii="仿宋" w:hAnsi="仿宋" w:eastAsia="仿宋" w:cs="仿宋"/>
          <w:color w:val="auto"/>
          <w:highlight w:val="none"/>
          <w:lang w:val="en-US" w:eastAsia="zh-CN"/>
        </w:rPr>
        <w:t>7</w:t>
      </w:r>
      <w:r>
        <w:rPr>
          <w:rFonts w:hint="eastAsia" w:ascii="仿宋" w:hAnsi="仿宋" w:eastAsia="仿宋" w:cs="仿宋"/>
          <w:color w:val="auto"/>
          <w:highlight w:val="none"/>
        </w:rPr>
        <w:t>个，三级指标</w:t>
      </w:r>
      <w:r>
        <w:rPr>
          <w:rFonts w:hint="eastAsia" w:ascii="仿宋" w:hAnsi="仿宋" w:eastAsia="仿宋" w:cs="仿宋"/>
          <w:color w:val="auto"/>
          <w:highlight w:val="none"/>
          <w:lang w:val="en-US" w:eastAsia="zh-CN"/>
        </w:rPr>
        <w:t>12</w:t>
      </w:r>
      <w:r>
        <w:rPr>
          <w:rFonts w:hint="eastAsia" w:ascii="仿宋" w:hAnsi="仿宋" w:eastAsia="仿宋" w:cs="仿宋"/>
          <w:color w:val="auto"/>
          <w:highlight w:val="none"/>
        </w:rPr>
        <w:t>个，其中已完成三级指标</w:t>
      </w:r>
      <w:r>
        <w:rPr>
          <w:rFonts w:hint="eastAsia" w:ascii="仿宋" w:hAnsi="仿宋" w:eastAsia="仿宋" w:cs="仿宋"/>
          <w:color w:val="auto"/>
          <w:highlight w:val="none"/>
          <w:lang w:val="en-US" w:eastAsia="zh-CN"/>
        </w:rPr>
        <w:t>10</w:t>
      </w:r>
      <w:r>
        <w:rPr>
          <w:rFonts w:hint="eastAsia" w:ascii="仿宋" w:hAnsi="仿宋" w:eastAsia="仿宋" w:cs="仿宋"/>
          <w:color w:val="auto"/>
          <w:highlight w:val="none"/>
        </w:rPr>
        <w:t>个，指标完成率为</w:t>
      </w:r>
      <w:r>
        <w:rPr>
          <w:rFonts w:hint="eastAsia" w:ascii="仿宋" w:hAnsi="仿宋" w:eastAsia="仿宋" w:cs="仿宋"/>
          <w:color w:val="auto"/>
          <w:highlight w:val="none"/>
          <w:lang w:val="en-US" w:eastAsia="zh-CN"/>
        </w:rPr>
        <w:t>83.33</w:t>
      </w:r>
      <w:r>
        <w:rPr>
          <w:rFonts w:hint="eastAsia" w:ascii="仿宋" w:hAnsi="仿宋" w:eastAsia="仿宋" w:cs="仿宋"/>
          <w:color w:val="auto"/>
          <w:highlight w:val="none"/>
        </w:rPr>
        <w:t>%；在资金使用方面，严格按照《于田县</w:t>
      </w:r>
      <w:r>
        <w:rPr>
          <w:rFonts w:hint="eastAsia" w:ascii="仿宋" w:hAnsi="仿宋" w:eastAsia="仿宋" w:cs="仿宋"/>
          <w:color w:val="auto"/>
          <w:highlight w:val="none"/>
          <w:lang w:val="en-US" w:eastAsia="zh-CN"/>
        </w:rPr>
        <w:t>衔接</w:t>
      </w:r>
      <w:r>
        <w:rPr>
          <w:rFonts w:hint="eastAsia" w:ascii="仿宋" w:hAnsi="仿宋" w:eastAsia="仿宋" w:cs="仿宋"/>
          <w:color w:val="auto"/>
          <w:highlight w:val="none"/>
        </w:rPr>
        <w:t>资金财务管理制度》、《于田县兰干乡</w:t>
      </w:r>
      <w:r>
        <w:rPr>
          <w:rFonts w:hint="eastAsia" w:ascii="仿宋" w:hAnsi="仿宋" w:eastAsia="仿宋" w:cs="仿宋"/>
          <w:color w:val="auto"/>
          <w:highlight w:val="none"/>
          <w:lang w:val="en-US" w:eastAsia="zh-CN"/>
        </w:rPr>
        <w:t>人民政府</w:t>
      </w:r>
      <w:r>
        <w:rPr>
          <w:rFonts w:hint="eastAsia" w:ascii="仿宋" w:hAnsi="仿宋" w:eastAsia="仿宋" w:cs="仿宋"/>
          <w:color w:val="auto"/>
          <w:highlight w:val="none"/>
        </w:rPr>
        <w:t>财务管理制度》执行，保障了资金使用规范、安全，无挪用、截留资金的情况发生。在项目管理方面，制定了《</w:t>
      </w:r>
      <w:r>
        <w:rPr>
          <w:rFonts w:hint="eastAsia" w:ascii="仿宋" w:hAnsi="仿宋" w:eastAsia="仿宋" w:cs="仿宋"/>
          <w:color w:val="auto"/>
          <w:szCs w:val="32"/>
          <w:highlight w:val="none"/>
        </w:rPr>
        <w:t>于田县兰干乡片区工厂附属配套设施建设项目</w:t>
      </w:r>
      <w:r>
        <w:rPr>
          <w:rFonts w:hint="eastAsia" w:ascii="仿宋" w:hAnsi="仿宋" w:eastAsia="仿宋" w:cs="仿宋"/>
          <w:color w:val="auto"/>
          <w:highlight w:val="none"/>
        </w:rPr>
        <w:t>项目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pPr>
        <w:pStyle w:val="52"/>
        <w:spacing w:line="560" w:lineRule="exact"/>
        <w:ind w:left="3" w:right="3" w:firstLine="560"/>
        <w:rPr>
          <w:rFonts w:hint="eastAsia" w:ascii="仿宋" w:hAnsi="仿宋" w:eastAsia="仿宋" w:cs="仿宋"/>
          <w:color w:val="auto"/>
          <w:highlight w:val="none"/>
        </w:rPr>
      </w:pPr>
      <w:r>
        <w:rPr>
          <w:rFonts w:hint="eastAsia" w:ascii="仿宋" w:hAnsi="仿宋" w:eastAsia="仿宋" w:cs="仿宋"/>
          <w:color w:val="auto"/>
          <w:highlight w:val="none"/>
        </w:rPr>
        <w:t>项目最终得分为</w:t>
      </w:r>
      <w:r>
        <w:rPr>
          <w:rFonts w:hint="eastAsia" w:ascii="仿宋" w:hAnsi="仿宋" w:eastAsia="仿宋" w:cs="仿宋"/>
          <w:color w:val="auto"/>
          <w:highlight w:val="none"/>
          <w:lang w:val="en-US" w:eastAsia="zh-CN"/>
        </w:rPr>
        <w:t>96.83</w:t>
      </w:r>
      <w:r>
        <w:rPr>
          <w:rFonts w:hint="eastAsia" w:ascii="仿宋" w:hAnsi="仿宋" w:eastAsia="仿宋" w:cs="仿宋"/>
          <w:color w:val="auto"/>
          <w:highlight w:val="none"/>
        </w:rPr>
        <w:t>分，评价等级为优。</w:t>
      </w:r>
    </w:p>
    <w:p>
      <w:pPr>
        <w:pStyle w:val="52"/>
        <w:spacing w:line="560" w:lineRule="exact"/>
        <w:ind w:left="3" w:right="3" w:firstLine="554"/>
        <w:rPr>
          <w:rStyle w:val="18"/>
          <w:rFonts w:ascii="楷体_GB2312" w:hAnsi="楷体"/>
          <w:color w:val="auto"/>
          <w:spacing w:val="-4"/>
          <w:szCs w:val="32"/>
          <w:highlight w:val="none"/>
        </w:rPr>
      </w:pPr>
      <w:r>
        <w:rPr>
          <w:rStyle w:val="18"/>
          <w:rFonts w:hint="eastAsia" w:ascii="楷体_GB2312" w:hAnsi="楷体"/>
          <w:color w:val="auto"/>
          <w:spacing w:val="-4"/>
          <w:szCs w:val="32"/>
          <w:highlight w:val="none"/>
        </w:rPr>
        <w:t>（一）绩效自评结果拟应用情况</w:t>
      </w:r>
    </w:p>
    <w:p>
      <w:pPr>
        <w:pStyle w:val="52"/>
        <w:spacing w:line="560" w:lineRule="exact"/>
        <w:ind w:left="3" w:right="3" w:firstLine="560"/>
        <w:rPr>
          <w:rFonts w:ascii="仿宋_GB2312"/>
          <w:color w:val="auto"/>
          <w:highlight w:val="none"/>
        </w:rPr>
      </w:pPr>
      <w:r>
        <w:rPr>
          <w:rFonts w:hint="eastAsia" w:ascii="仿宋" w:hAnsi="仿宋" w:eastAsia="仿宋" w:cs="仿宋"/>
          <w:color w:val="auto"/>
          <w:highlight w:val="none"/>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pPr>
        <w:spacing w:line="560" w:lineRule="exact"/>
        <w:ind w:firstLine="546" w:firstLineChars="200"/>
        <w:rPr>
          <w:rStyle w:val="18"/>
          <w:rFonts w:ascii="楷体_GB2312" w:hAnsi="楷体" w:cs="Times New Roman"/>
          <w:color w:val="auto"/>
          <w:spacing w:val="-4"/>
          <w:sz w:val="28"/>
          <w:szCs w:val="32"/>
          <w:highlight w:val="none"/>
        </w:rPr>
      </w:pPr>
      <w:r>
        <w:rPr>
          <w:rStyle w:val="18"/>
          <w:rFonts w:hint="eastAsia" w:ascii="楷体_GB2312" w:hAnsi="楷体" w:cs="Times New Roman"/>
          <w:color w:val="auto"/>
          <w:spacing w:val="-4"/>
          <w:sz w:val="28"/>
          <w:szCs w:val="32"/>
          <w:highlight w:val="none"/>
        </w:rPr>
        <w:t>（二）指标佐证材料说明</w:t>
      </w:r>
    </w:p>
    <w:p>
      <w:pPr>
        <w:pStyle w:val="52"/>
        <w:spacing w:line="560" w:lineRule="exact"/>
        <w:ind w:left="3" w:right="3" w:firstLine="560"/>
        <w:rPr>
          <w:rFonts w:hint="eastAsia" w:ascii="仿宋" w:hAnsi="仿宋" w:eastAsia="仿宋" w:cs="仿宋"/>
          <w:color w:val="auto"/>
          <w:sz w:val="28"/>
          <w:szCs w:val="28"/>
          <w:highlight w:val="none"/>
        </w:rPr>
      </w:pPr>
      <w:r>
        <w:rPr>
          <w:rFonts w:hint="eastAsia" w:ascii="仿宋" w:hAnsi="仿宋" w:eastAsia="仿宋" w:cs="仿宋"/>
          <w:color w:val="auto"/>
          <w:highlight w:val="none"/>
        </w:rPr>
        <w:t>项目状况：</w:t>
      </w:r>
      <w:r>
        <w:rPr>
          <w:rFonts w:hint="eastAsia" w:ascii="仿宋" w:hAnsi="仿宋" w:eastAsia="仿宋" w:cs="仿宋"/>
          <w:color w:val="auto"/>
          <w:sz w:val="28"/>
          <w:szCs w:val="28"/>
          <w:highlight w:val="none"/>
        </w:rPr>
        <w:t>由于田县兰干乡人民政府负责项目的实施方案，并由于田县商务和工业信息化局</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于田县财政局审核后，下发了《关于对于田县兰于乡片区工厂附属配套设施建设项目实施方案的批复》（于商工办(2024〕2号）。</w:t>
      </w:r>
    </w:p>
    <w:p>
      <w:pPr>
        <w:pStyle w:val="52"/>
        <w:spacing w:line="560" w:lineRule="exact"/>
        <w:ind w:left="3" w:right="3" w:firstLine="560"/>
        <w:rPr>
          <w:rFonts w:hint="eastAsia" w:ascii="仿宋" w:hAnsi="仿宋" w:eastAsia="仿宋" w:cs="仿宋"/>
          <w:color w:val="auto"/>
          <w:sz w:val="28"/>
          <w:szCs w:val="28"/>
          <w:highlight w:val="none"/>
        </w:rPr>
      </w:pPr>
      <w:r>
        <w:rPr>
          <w:rFonts w:hint="eastAsia" w:ascii="仿宋" w:hAnsi="仿宋" w:eastAsia="仿宋" w:cs="仿宋"/>
          <w:color w:val="auto"/>
          <w:highlight w:val="none"/>
        </w:rPr>
        <w:t>资金状况：预算资金</w:t>
      </w:r>
      <w:r>
        <w:rPr>
          <w:rFonts w:hint="eastAsia" w:ascii="仿宋" w:hAnsi="仿宋" w:eastAsia="仿宋" w:cs="仿宋"/>
          <w:color w:val="auto"/>
          <w:sz w:val="28"/>
          <w:szCs w:val="28"/>
          <w:highlight w:val="none"/>
        </w:rPr>
        <w:t>来源为</w:t>
      </w:r>
      <w:r>
        <w:rPr>
          <w:rStyle w:val="19"/>
          <w:rFonts w:hint="eastAsia" w:ascii="仿宋" w:hAnsi="仿宋" w:eastAsia="仿宋" w:cs="仿宋"/>
          <w:color w:val="auto"/>
          <w:sz w:val="28"/>
          <w:szCs w:val="28"/>
          <w:highlight w:val="none"/>
        </w:rPr>
        <w:t>乡村振兴衔接资金</w:t>
      </w:r>
      <w:r>
        <w:rPr>
          <w:rFonts w:hint="eastAsia" w:ascii="仿宋" w:hAnsi="仿宋" w:eastAsia="仿宋" w:cs="仿宋"/>
          <w:color w:val="auto"/>
          <w:sz w:val="28"/>
          <w:szCs w:val="28"/>
          <w:highlight w:val="none"/>
        </w:rPr>
        <w:t>，</w:t>
      </w:r>
      <w:r>
        <w:rPr>
          <w:rFonts w:hint="eastAsia" w:ascii="仿宋" w:hAnsi="仿宋" w:eastAsia="仿宋" w:cs="仿宋"/>
          <w:color w:val="auto"/>
          <w:highlight w:val="none"/>
        </w:rPr>
        <w:t>文件依据：</w:t>
      </w:r>
      <w:r>
        <w:rPr>
          <w:rFonts w:hint="eastAsia" w:ascii="仿宋" w:hAnsi="仿宋" w:eastAsia="仿宋" w:cs="仿宋"/>
          <w:color w:val="auto"/>
          <w:sz w:val="28"/>
          <w:szCs w:val="28"/>
          <w:highlight w:val="none"/>
        </w:rPr>
        <w:t>《关于对于田县兰于乡片区工厂附属配套设施建设项目实施方案的批复》（于商工办(2024〕2号）</w:t>
      </w:r>
    </w:p>
    <w:p>
      <w:pPr>
        <w:pStyle w:val="52"/>
        <w:spacing w:line="560" w:lineRule="exact"/>
        <w:ind w:left="3" w:right="3" w:firstLine="560"/>
        <w:rPr>
          <w:rFonts w:hint="eastAsia" w:ascii="仿宋" w:hAnsi="仿宋" w:eastAsia="仿宋" w:cs="仿宋"/>
          <w:color w:val="auto"/>
          <w:sz w:val="28"/>
          <w:szCs w:val="28"/>
          <w:highlight w:val="none"/>
          <w:lang w:val="en-US" w:eastAsia="zh-CN"/>
        </w:rPr>
      </w:pPr>
      <w:r>
        <w:rPr>
          <w:rFonts w:hint="eastAsia" w:ascii="仿宋" w:hAnsi="仿宋" w:eastAsia="仿宋" w:cs="仿宋"/>
          <w:color w:val="auto"/>
          <w:highlight w:val="none"/>
        </w:rPr>
        <w:t>过程状况：</w:t>
      </w:r>
      <w:r>
        <w:rPr>
          <w:rFonts w:hint="eastAsia" w:ascii="仿宋" w:hAnsi="仿宋" w:eastAsia="仿宋" w:cs="仿宋"/>
          <w:color w:val="auto"/>
          <w:sz w:val="28"/>
          <w:szCs w:val="28"/>
          <w:highlight w:val="none"/>
        </w:rPr>
        <w:t>该项目于20</w:t>
      </w:r>
      <w:r>
        <w:rPr>
          <w:rFonts w:hint="eastAsia" w:ascii="仿宋" w:hAnsi="仿宋" w:eastAsia="仿宋" w:cs="仿宋"/>
          <w:color w:val="auto"/>
          <w:sz w:val="28"/>
          <w:szCs w:val="28"/>
          <w:highlight w:val="none"/>
          <w:lang w:val="en-US" w:eastAsia="zh-CN"/>
        </w:rPr>
        <w:t>24</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月制订实施方案并得到批复。</w:t>
      </w:r>
      <w:r>
        <w:rPr>
          <w:rFonts w:hint="eastAsia" w:ascii="仿宋" w:hAnsi="仿宋" w:eastAsia="仿宋" w:cs="仿宋"/>
          <w:color w:val="auto"/>
          <w:sz w:val="28"/>
          <w:szCs w:val="28"/>
          <w:highlight w:val="none"/>
          <w:lang w:val="en-US" w:eastAsia="zh-CN"/>
        </w:rPr>
        <w:t>3月开始开工，4月完工。</w:t>
      </w:r>
    </w:p>
    <w:p>
      <w:pPr>
        <w:pStyle w:val="52"/>
        <w:spacing w:line="560" w:lineRule="exact"/>
        <w:ind w:left="3" w:right="3" w:firstLine="560"/>
        <w:rPr>
          <w:rFonts w:hint="eastAsia" w:ascii="仿宋" w:hAnsi="仿宋" w:eastAsia="仿宋" w:cs="仿宋"/>
          <w:color w:val="auto"/>
          <w:highlight w:val="none"/>
        </w:rPr>
      </w:pPr>
      <w:r>
        <w:rPr>
          <w:rFonts w:hint="eastAsia" w:ascii="仿宋" w:hAnsi="仿宋" w:eastAsia="仿宋" w:cs="仿宋"/>
          <w:color w:val="auto"/>
          <w:highlight w:val="none"/>
        </w:rPr>
        <w:t>结果状况：</w:t>
      </w:r>
      <w:r>
        <w:rPr>
          <w:rFonts w:hint="eastAsia" w:ascii="仿宋" w:hAnsi="仿宋" w:eastAsia="仿宋" w:cs="仿宋"/>
          <w:color w:val="auto"/>
          <w:highlight w:val="none"/>
          <w:lang w:val="en-US" w:eastAsia="zh-CN"/>
        </w:rPr>
        <w:t>4月22日于田县商务和工业信息化局、</w:t>
      </w:r>
      <w:r>
        <w:rPr>
          <w:rFonts w:hint="eastAsia" w:ascii="仿宋" w:hAnsi="仿宋" w:eastAsia="仿宋" w:cs="仿宋"/>
          <w:color w:val="auto"/>
          <w:sz w:val="28"/>
          <w:szCs w:val="28"/>
          <w:highlight w:val="none"/>
        </w:rPr>
        <w:t>于田县乡村振兴局、于田县财政局、于田县档案局、于田县兰干乡人民政府联合竣工验收结果状况：合格。</w:t>
      </w:r>
    </w:p>
    <w:p>
      <w:pPr>
        <w:pStyle w:val="52"/>
        <w:spacing w:line="560" w:lineRule="exact"/>
        <w:ind w:left="3" w:right="3" w:firstLine="562"/>
        <w:rPr>
          <w:rStyle w:val="18"/>
          <w:rFonts w:ascii="楷体_GB2312"/>
          <w:color w:val="auto"/>
          <w:highlight w:val="none"/>
        </w:rPr>
      </w:pPr>
      <w:r>
        <w:rPr>
          <w:rStyle w:val="18"/>
          <w:rFonts w:hint="eastAsia" w:ascii="楷体_GB2312"/>
          <w:color w:val="auto"/>
          <w:highlight w:val="none"/>
        </w:rPr>
        <w:t>（三）主要经验及做法</w:t>
      </w:r>
    </w:p>
    <w:p>
      <w:pPr>
        <w:spacing w:line="560" w:lineRule="exact"/>
        <w:ind w:firstLine="560" w:firstLineChars="200"/>
        <w:rPr>
          <w:rFonts w:hint="eastAsia" w:ascii="仿宋" w:hAnsi="仿宋" w:eastAsia="仿宋" w:cs="仿宋"/>
          <w:color w:val="auto"/>
          <w:sz w:val="28"/>
          <w:highlight w:val="none"/>
        </w:rPr>
      </w:pPr>
      <w:r>
        <w:rPr>
          <w:rFonts w:hint="eastAsia" w:ascii="仿宋" w:hAnsi="仿宋" w:eastAsia="仿宋" w:cs="仿宋"/>
          <w:color w:val="auto"/>
          <w:sz w:val="28"/>
          <w:highlight w:val="none"/>
        </w:rPr>
        <w:t>于田县兰干乡片区工厂附属配套设施建设</w:t>
      </w:r>
      <w:r>
        <w:rPr>
          <w:rFonts w:hint="eastAsia" w:ascii="仿宋" w:hAnsi="仿宋" w:eastAsia="仿宋" w:cs="仿宋"/>
          <w:color w:val="auto"/>
          <w:sz w:val="28"/>
          <w:szCs w:val="28"/>
          <w:highlight w:val="none"/>
        </w:rPr>
        <w:t>项目</w:t>
      </w:r>
      <w:r>
        <w:rPr>
          <w:rFonts w:hint="eastAsia" w:ascii="仿宋" w:hAnsi="仿宋" w:eastAsia="仿宋" w:cs="仿宋"/>
          <w:color w:val="auto"/>
          <w:sz w:val="28"/>
          <w:highlight w:val="none"/>
        </w:rPr>
        <w:t>资金安排、使用过程中严格执行乡村振兴项目资金管理制度，确保乡村振兴项目正常运行为构建长效稳定奠定物质基础。</w:t>
      </w:r>
    </w:p>
    <w:p>
      <w:pPr>
        <w:spacing w:line="560" w:lineRule="exact"/>
        <w:ind w:firstLine="562" w:firstLineChars="200"/>
        <w:rPr>
          <w:rStyle w:val="18"/>
          <w:rFonts w:ascii="楷体_GB2312"/>
          <w:color w:val="auto"/>
          <w:sz w:val="28"/>
          <w:highlight w:val="none"/>
        </w:rPr>
      </w:pPr>
      <w:r>
        <w:rPr>
          <w:rStyle w:val="18"/>
          <w:rFonts w:hint="eastAsia" w:ascii="楷体_GB2312"/>
          <w:color w:val="auto"/>
          <w:sz w:val="28"/>
          <w:highlight w:val="none"/>
        </w:rPr>
        <w:t>（四）存在的问题</w:t>
      </w:r>
    </w:p>
    <w:p>
      <w:pPr>
        <w:spacing w:line="560" w:lineRule="exact"/>
        <w:ind w:firstLine="560" w:firstLineChars="200"/>
        <w:rPr>
          <w:rFonts w:ascii="仿宋_GB2312" w:hAnsi="Times New Roman" w:eastAsia="仿宋_GB2312" w:cs="Times New Roman"/>
          <w:color w:val="auto"/>
          <w:sz w:val="28"/>
          <w:highlight w:val="none"/>
        </w:rPr>
      </w:pPr>
      <w:r>
        <w:rPr>
          <w:rFonts w:hint="eastAsia" w:ascii="仿宋" w:hAnsi="仿宋" w:eastAsia="仿宋" w:cs="仿宋"/>
          <w:color w:val="auto"/>
          <w:sz w:val="28"/>
          <w:szCs w:val="28"/>
          <w:highlight w:val="none"/>
        </w:rPr>
        <w:t>于田县兰于乡片区工厂附属配套设施建设项目</w:t>
      </w:r>
      <w:r>
        <w:rPr>
          <w:rFonts w:hint="eastAsia" w:ascii="仿宋" w:hAnsi="仿宋" w:eastAsia="仿宋" w:cs="仿宋"/>
          <w:color w:val="auto"/>
          <w:sz w:val="28"/>
          <w:highlight w:val="none"/>
        </w:rPr>
        <w:t>资金安排、使用过程中存在一些问题，主要是资金申报，审批，发放过程中存在对资金拨付缓慢问题。</w:t>
      </w:r>
    </w:p>
    <w:p>
      <w:pPr>
        <w:spacing w:line="560" w:lineRule="exact"/>
        <w:ind w:firstLine="562" w:firstLineChars="200"/>
        <w:rPr>
          <w:rStyle w:val="18"/>
          <w:rFonts w:ascii="楷体_GB2312"/>
          <w:color w:val="auto"/>
          <w:sz w:val="28"/>
          <w:highlight w:val="none"/>
        </w:rPr>
      </w:pPr>
      <w:r>
        <w:rPr>
          <w:rStyle w:val="18"/>
          <w:rFonts w:hint="eastAsia" w:ascii="楷体_GB2312"/>
          <w:color w:val="auto"/>
          <w:sz w:val="28"/>
          <w:highlight w:val="none"/>
        </w:rPr>
        <w:t>（五）建议</w:t>
      </w:r>
    </w:p>
    <w:p>
      <w:pPr>
        <w:spacing w:line="560" w:lineRule="exact"/>
        <w:ind w:firstLine="560" w:firstLineChars="200"/>
        <w:rPr>
          <w:rFonts w:ascii="仿宋_GB2312" w:hAnsi="Times New Roman" w:eastAsia="仿宋_GB2312" w:cs="Times New Roman"/>
          <w:color w:val="auto"/>
          <w:sz w:val="28"/>
          <w:highlight w:val="none"/>
        </w:rPr>
      </w:pPr>
      <w:r>
        <w:rPr>
          <w:rFonts w:hint="eastAsia" w:ascii="仿宋" w:hAnsi="仿宋" w:eastAsia="仿宋" w:cs="仿宋"/>
          <w:color w:val="auto"/>
          <w:sz w:val="28"/>
          <w:highlight w:val="none"/>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pPr>
        <w:spacing w:line="560" w:lineRule="exact"/>
        <w:ind w:firstLine="562" w:firstLineChars="200"/>
        <w:rPr>
          <w:rStyle w:val="18"/>
          <w:rFonts w:ascii="楷体_GB2312"/>
          <w:color w:val="auto"/>
          <w:sz w:val="28"/>
          <w:highlight w:val="none"/>
        </w:rPr>
      </w:pPr>
      <w:r>
        <w:rPr>
          <w:rStyle w:val="18"/>
          <w:rFonts w:hint="eastAsia" w:ascii="楷体_GB2312"/>
          <w:color w:val="auto"/>
          <w:sz w:val="28"/>
          <w:highlight w:val="none"/>
        </w:rPr>
        <w:t>（六）项目绩效公告公示情况</w:t>
      </w:r>
    </w:p>
    <w:p>
      <w:pPr>
        <w:pStyle w:val="52"/>
        <w:spacing w:line="560" w:lineRule="exact"/>
        <w:ind w:left="3" w:right="3" w:firstLine="560"/>
        <w:rPr>
          <w:rFonts w:hint="eastAsia" w:ascii="仿宋" w:hAnsi="仿宋" w:eastAsia="仿宋" w:cs="仿宋"/>
          <w:color w:val="auto"/>
          <w:highlight w:val="none"/>
        </w:rPr>
      </w:pPr>
      <w:r>
        <w:rPr>
          <w:rFonts w:hint="eastAsia" w:ascii="仿宋" w:hAnsi="仿宋" w:eastAsia="仿宋" w:cs="仿宋"/>
          <w:color w:val="auto"/>
          <w:highlight w:val="none"/>
        </w:rPr>
        <w:t>项目按照项目公告公示规定要求，完成项目前期公开、项目建设期公开，项目竣工后公开，通过张榜公示向社会公开，接受社会监督。同时，通过门户网站，对项目绩效情况进行公示。</w:t>
      </w:r>
      <w:bookmarkStart w:id="1" w:name="_GoBack"/>
      <w:bookmarkEnd w:id="1"/>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大标宋简体">
    <w:altName w:val="微软雅黑"/>
    <w:panose1 w:val="02010601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docPartObj>
        <w:docPartGallery w:val="autotext"/>
      </w:docPartObj>
    </w:sdtPr>
    <w:sdtContent>
      <w:p>
        <w:pPr>
          <w:pStyle w:val="14"/>
          <w:jc w:val="center"/>
        </w:pPr>
        <w:r>
          <w:fldChar w:fldCharType="begin"/>
        </w:r>
        <w:r>
          <w:instrText xml:space="preserve">PAGE   \* MERGEFORMAT</w:instrText>
        </w:r>
        <w:r>
          <w:fldChar w:fldCharType="separate"/>
        </w:r>
        <w:r>
          <w:rPr>
            <w:lang w:val="zh-CN"/>
          </w:rPr>
          <w:t>1</w:t>
        </w:r>
        <w:r>
          <w:fldChar w:fldCharType="end"/>
        </w:r>
      </w:p>
    </w:sdtContent>
  </w:sdt>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5AA3DD"/>
    <w:multiLevelType w:val="singleLevel"/>
    <w:tmpl w:val="B55AA3DD"/>
    <w:lvl w:ilvl="0" w:tentative="0">
      <w:start w:val="2"/>
      <w:numFmt w:val="decimal"/>
      <w:suff w:val="nothing"/>
      <w:lvlText w:val="%1、"/>
      <w:lvlJc w:val="left"/>
      <w:pPr>
        <w:ind w:left="700" w:leftChars="0" w:firstLine="0" w:firstLineChars="0"/>
      </w:pPr>
    </w:lvl>
  </w:abstractNum>
  <w:abstractNum w:abstractNumId="1">
    <w:nsid w:val="2962BA5B"/>
    <w:multiLevelType w:val="singleLevel"/>
    <w:tmpl w:val="2962BA5B"/>
    <w:lvl w:ilvl="0" w:tentative="0">
      <w:start w:val="1"/>
      <w:numFmt w:val="decimal"/>
      <w:suff w:val="nothing"/>
      <w:lvlText w:val="（%1）"/>
      <w:lvlJc w:val="left"/>
      <w:pPr>
        <w:ind w:left="420" w:leftChars="0" w:firstLine="0" w:firstLineChars="0"/>
      </w:pPr>
    </w:lvl>
  </w:abstractNum>
  <w:abstractNum w:abstractNumId="2">
    <w:nsid w:val="6107FB46"/>
    <w:multiLevelType w:val="singleLevel"/>
    <w:tmpl w:val="6107FB46"/>
    <w:lvl w:ilvl="0" w:tentative="0">
      <w:start w:val="2"/>
      <w:numFmt w:val="decimal"/>
      <w:suff w:val="nothing"/>
      <w:lvlText w:val="（%1）"/>
      <w:lvlJc w:val="left"/>
    </w:lvl>
  </w:abstractNum>
  <w:abstractNum w:abstractNumId="3">
    <w:nsid w:val="6F0C8D2A"/>
    <w:multiLevelType w:val="singleLevel"/>
    <w:tmpl w:val="6F0C8D2A"/>
    <w:lvl w:ilvl="0" w:tentative="0">
      <w:start w:val="3"/>
      <w:numFmt w:val="decimal"/>
      <w:suff w:val="nothing"/>
      <w:lvlText w:val="%1、"/>
      <w:lvlJc w:val="left"/>
      <w:pPr>
        <w:ind w:left="140" w:leftChars="0" w:firstLine="0" w:firstLineChars="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SnapToGridInCell/>
    <w:doNotWrapTextWithPunct/>
    <w:doNotUseEastAsianBreakRules/>
    <w:growAutofit/>
    <w:useFELayout/>
    <w:doNotUseIndentAsNumberingTabStop/>
    <w:compatSetting w:name="compatibilityMode" w:uri="http://schemas.microsoft.com/office/word" w:val="14"/>
  </w:compat>
  <w:docVars>
    <w:docVar w:name="commondata" w:val="eyJoZGlkIjoiY2RlOGExMTJjOWFmYjNiZTJjMWUwNDM2NWFmZTM5NmEifQ=="/>
  </w:docVars>
  <w:rsids>
    <w:rsidRoot w:val="00B312FC"/>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7329"/>
    <w:rsid w:val="0042774A"/>
    <w:rsid w:val="00433105"/>
    <w:rsid w:val="0043529B"/>
    <w:rsid w:val="00444004"/>
    <w:rsid w:val="004447F6"/>
    <w:rsid w:val="00452A7B"/>
    <w:rsid w:val="004765F9"/>
    <w:rsid w:val="004D19E3"/>
    <w:rsid w:val="004E156F"/>
    <w:rsid w:val="004F278C"/>
    <w:rsid w:val="004F71F5"/>
    <w:rsid w:val="00502531"/>
    <w:rsid w:val="005033D8"/>
    <w:rsid w:val="00545496"/>
    <w:rsid w:val="005469CF"/>
    <w:rsid w:val="00561ADC"/>
    <w:rsid w:val="005B4348"/>
    <w:rsid w:val="005B7749"/>
    <w:rsid w:val="005D7C18"/>
    <w:rsid w:val="005F7D5D"/>
    <w:rsid w:val="00600873"/>
    <w:rsid w:val="00601C6E"/>
    <w:rsid w:val="00607547"/>
    <w:rsid w:val="00642C18"/>
    <w:rsid w:val="00696A43"/>
    <w:rsid w:val="006C2EB3"/>
    <w:rsid w:val="006F23BE"/>
    <w:rsid w:val="00704F2C"/>
    <w:rsid w:val="00713A95"/>
    <w:rsid w:val="007658DB"/>
    <w:rsid w:val="007F690F"/>
    <w:rsid w:val="0080022F"/>
    <w:rsid w:val="0081784A"/>
    <w:rsid w:val="008647C6"/>
    <w:rsid w:val="008703E2"/>
    <w:rsid w:val="00897839"/>
    <w:rsid w:val="008A3305"/>
    <w:rsid w:val="008A49C0"/>
    <w:rsid w:val="008B044F"/>
    <w:rsid w:val="008B4230"/>
    <w:rsid w:val="008B6B8E"/>
    <w:rsid w:val="008C3F3B"/>
    <w:rsid w:val="0091422D"/>
    <w:rsid w:val="0093300C"/>
    <w:rsid w:val="00941946"/>
    <w:rsid w:val="0094736A"/>
    <w:rsid w:val="00956D07"/>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B1673"/>
    <w:rsid w:val="00DC00CB"/>
    <w:rsid w:val="00DE5C9F"/>
    <w:rsid w:val="00E20066"/>
    <w:rsid w:val="00E215D5"/>
    <w:rsid w:val="00E231E6"/>
    <w:rsid w:val="00E35D4C"/>
    <w:rsid w:val="00E36AF4"/>
    <w:rsid w:val="00E417AF"/>
    <w:rsid w:val="00E5760D"/>
    <w:rsid w:val="00E62F01"/>
    <w:rsid w:val="00E65E86"/>
    <w:rsid w:val="00E66C44"/>
    <w:rsid w:val="00E72FF5"/>
    <w:rsid w:val="00E952C7"/>
    <w:rsid w:val="00EB734B"/>
    <w:rsid w:val="00EE2F0B"/>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23D5371"/>
    <w:rsid w:val="0636765C"/>
    <w:rsid w:val="0B3942E1"/>
    <w:rsid w:val="0C5E5187"/>
    <w:rsid w:val="0F263611"/>
    <w:rsid w:val="0F9256B5"/>
    <w:rsid w:val="1088190C"/>
    <w:rsid w:val="11A82DF3"/>
    <w:rsid w:val="11A94D32"/>
    <w:rsid w:val="15440E55"/>
    <w:rsid w:val="15602773"/>
    <w:rsid w:val="17344B58"/>
    <w:rsid w:val="175F6DA1"/>
    <w:rsid w:val="18DE3689"/>
    <w:rsid w:val="1BE44146"/>
    <w:rsid w:val="1EC45B21"/>
    <w:rsid w:val="1EC93B85"/>
    <w:rsid w:val="1EF51903"/>
    <w:rsid w:val="1F653B60"/>
    <w:rsid w:val="21FF50C2"/>
    <w:rsid w:val="24E24F53"/>
    <w:rsid w:val="255E564C"/>
    <w:rsid w:val="266A0D63"/>
    <w:rsid w:val="2D1F258F"/>
    <w:rsid w:val="2D266EDD"/>
    <w:rsid w:val="2D4A7F0B"/>
    <w:rsid w:val="2EA25C8F"/>
    <w:rsid w:val="2EEE2746"/>
    <w:rsid w:val="2F725125"/>
    <w:rsid w:val="2F9B41B0"/>
    <w:rsid w:val="319121DA"/>
    <w:rsid w:val="32D11FE0"/>
    <w:rsid w:val="32E70A62"/>
    <w:rsid w:val="32F3657D"/>
    <w:rsid w:val="33DC4B88"/>
    <w:rsid w:val="341D40C0"/>
    <w:rsid w:val="345614B9"/>
    <w:rsid w:val="348F33D9"/>
    <w:rsid w:val="37335AE2"/>
    <w:rsid w:val="3AD14394"/>
    <w:rsid w:val="3AD43138"/>
    <w:rsid w:val="3CB25A38"/>
    <w:rsid w:val="3E4F5C26"/>
    <w:rsid w:val="3E630DE2"/>
    <w:rsid w:val="3E982E81"/>
    <w:rsid w:val="402406BD"/>
    <w:rsid w:val="40B50BCB"/>
    <w:rsid w:val="422A7F6E"/>
    <w:rsid w:val="43AE3AA3"/>
    <w:rsid w:val="442C4D50"/>
    <w:rsid w:val="45A72B46"/>
    <w:rsid w:val="46963997"/>
    <w:rsid w:val="47F51C70"/>
    <w:rsid w:val="49AA7B51"/>
    <w:rsid w:val="49B4660E"/>
    <w:rsid w:val="4A41394E"/>
    <w:rsid w:val="4BC0573E"/>
    <w:rsid w:val="4D546132"/>
    <w:rsid w:val="4E1A07A0"/>
    <w:rsid w:val="4FFB538D"/>
    <w:rsid w:val="52A31916"/>
    <w:rsid w:val="547075D6"/>
    <w:rsid w:val="55DB794C"/>
    <w:rsid w:val="57685686"/>
    <w:rsid w:val="57827897"/>
    <w:rsid w:val="5B9F1F75"/>
    <w:rsid w:val="5BDE39BF"/>
    <w:rsid w:val="5E2C6F05"/>
    <w:rsid w:val="5E653D32"/>
    <w:rsid w:val="5E6824A3"/>
    <w:rsid w:val="5FB97534"/>
    <w:rsid w:val="602E420E"/>
    <w:rsid w:val="62C73D9A"/>
    <w:rsid w:val="66846F11"/>
    <w:rsid w:val="66FB2124"/>
    <w:rsid w:val="6BE448DA"/>
    <w:rsid w:val="703E60AC"/>
    <w:rsid w:val="710079C9"/>
    <w:rsid w:val="732A5F9E"/>
    <w:rsid w:val="737074C0"/>
    <w:rsid w:val="73F76F74"/>
    <w:rsid w:val="75826D11"/>
    <w:rsid w:val="75A86D71"/>
    <w:rsid w:val="75F776FF"/>
    <w:rsid w:val="782A3DBC"/>
    <w:rsid w:val="78CD269E"/>
    <w:rsid w:val="7A85177D"/>
    <w:rsid w:val="7D8933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eastAsia="楷体_GB2312" w:asciiTheme="minorHAnsi" w:hAnsiTheme="minorHAnsi" w:cstheme="minorBidi"/>
      <w:kern w:val="2"/>
      <w:sz w:val="32"/>
      <w:szCs w:val="22"/>
      <w:lang w:val="en-US" w:eastAsia="zh-CN" w:bidi="ar-SA"/>
    </w:rPr>
  </w:style>
  <w:style w:type="paragraph" w:styleId="3">
    <w:name w:val="heading 1"/>
    <w:basedOn w:val="1"/>
    <w:next w:val="1"/>
    <w:link w:val="21"/>
    <w:qFormat/>
    <w:uiPriority w:val="9"/>
    <w:pPr>
      <w:keepNext/>
      <w:keepLines/>
      <w:spacing w:before="340" w:after="330" w:line="576" w:lineRule="auto"/>
      <w:outlineLvl w:val="0"/>
    </w:pPr>
    <w:rPr>
      <w:rFonts w:cs="宋体"/>
      <w:b/>
      <w:bCs/>
      <w:kern w:val="44"/>
      <w:sz w:val="44"/>
      <w:szCs w:val="44"/>
    </w:rPr>
  </w:style>
  <w:style w:type="paragraph" w:styleId="4">
    <w:name w:val="heading 2"/>
    <w:basedOn w:val="1"/>
    <w:next w:val="1"/>
    <w:link w:val="22"/>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2">
    <w:name w:val="heading 3"/>
    <w:basedOn w:val="1"/>
    <w:next w:val="1"/>
    <w:link w:val="23"/>
    <w:qFormat/>
    <w:uiPriority w:val="9"/>
    <w:pPr>
      <w:keepNext/>
      <w:keepLines/>
      <w:spacing w:before="260" w:after="260" w:line="415" w:lineRule="auto"/>
      <w:outlineLvl w:val="2"/>
    </w:pPr>
    <w:rPr>
      <w:rFonts w:cs="宋体"/>
      <w:b/>
      <w:bCs/>
      <w:szCs w:val="32"/>
    </w:rPr>
  </w:style>
  <w:style w:type="paragraph" w:styleId="5">
    <w:name w:val="heading 4"/>
    <w:basedOn w:val="1"/>
    <w:next w:val="1"/>
    <w:link w:val="24"/>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6">
    <w:name w:val="heading 5"/>
    <w:basedOn w:val="1"/>
    <w:next w:val="1"/>
    <w:link w:val="25"/>
    <w:qFormat/>
    <w:uiPriority w:val="9"/>
    <w:pPr>
      <w:keepNext/>
      <w:keepLines/>
      <w:spacing w:before="280" w:after="290" w:line="374" w:lineRule="auto"/>
      <w:outlineLvl w:val="4"/>
    </w:pPr>
    <w:rPr>
      <w:rFonts w:cs="宋体"/>
      <w:b/>
      <w:bCs/>
      <w:sz w:val="28"/>
      <w:szCs w:val="28"/>
    </w:rPr>
  </w:style>
  <w:style w:type="paragraph" w:styleId="7">
    <w:name w:val="heading 6"/>
    <w:basedOn w:val="1"/>
    <w:next w:val="1"/>
    <w:link w:val="36"/>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62"/>
    <w:qFormat/>
    <w:uiPriority w:val="9"/>
    <w:pPr>
      <w:keepNext/>
      <w:keepLines/>
      <w:spacing w:before="240" w:after="64" w:line="320" w:lineRule="auto"/>
      <w:outlineLvl w:val="6"/>
    </w:pPr>
    <w:rPr>
      <w:b/>
      <w:bCs/>
      <w:sz w:val="24"/>
      <w:szCs w:val="24"/>
    </w:rPr>
  </w:style>
  <w:style w:type="paragraph" w:styleId="9">
    <w:name w:val="heading 8"/>
    <w:basedOn w:val="1"/>
    <w:next w:val="1"/>
    <w:link w:val="63"/>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4"/>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link w:val="68"/>
    <w:semiHidden/>
    <w:unhideWhenUsed/>
    <w:qFormat/>
    <w:uiPriority w:val="99"/>
    <w:rPr>
      <w:b/>
      <w:bCs/>
    </w:rPr>
  </w:style>
  <w:style w:type="paragraph" w:styleId="12">
    <w:name w:val="annotation text"/>
    <w:basedOn w:val="1"/>
    <w:link w:val="67"/>
    <w:semiHidden/>
    <w:unhideWhenUsed/>
    <w:qFormat/>
    <w:uiPriority w:val="99"/>
    <w:pPr>
      <w:jc w:val="left"/>
    </w:pPr>
  </w:style>
  <w:style w:type="paragraph" w:styleId="13">
    <w:name w:val="Balloon Text"/>
    <w:basedOn w:val="1"/>
    <w:link w:val="69"/>
    <w:semiHidden/>
    <w:unhideWhenUsed/>
    <w:uiPriority w:val="99"/>
    <w:rPr>
      <w:sz w:val="18"/>
      <w:szCs w:val="18"/>
    </w:rPr>
  </w:style>
  <w:style w:type="paragraph" w:styleId="14">
    <w:name w:val="footer"/>
    <w:basedOn w:val="1"/>
    <w:link w:val="66"/>
    <w:unhideWhenUsed/>
    <w:qFormat/>
    <w:uiPriority w:val="99"/>
    <w:pPr>
      <w:tabs>
        <w:tab w:val="center" w:pos="4153"/>
        <w:tab w:val="right" w:pos="8306"/>
      </w:tabs>
      <w:snapToGrid w:val="0"/>
      <w:jc w:val="left"/>
    </w:pPr>
    <w:rPr>
      <w:sz w:val="18"/>
      <w:szCs w:val="18"/>
    </w:rPr>
  </w:style>
  <w:style w:type="paragraph" w:styleId="15">
    <w:name w:val="header"/>
    <w:basedOn w:val="1"/>
    <w:link w:val="65"/>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18">
    <w:name w:val="Strong"/>
    <w:basedOn w:val="17"/>
    <w:qFormat/>
    <w:uiPriority w:val="0"/>
    <w:rPr>
      <w:b/>
      <w:bCs/>
    </w:rPr>
  </w:style>
  <w:style w:type="character" w:styleId="19">
    <w:name w:val="annotation reference"/>
    <w:basedOn w:val="17"/>
    <w:semiHidden/>
    <w:unhideWhenUsed/>
    <w:qFormat/>
    <w:uiPriority w:val="99"/>
    <w:rPr>
      <w:sz w:val="21"/>
      <w:szCs w:val="21"/>
    </w:rPr>
  </w:style>
  <w:style w:type="character" w:customStyle="1" w:styleId="21">
    <w:name w:val="标题 1 Char"/>
    <w:basedOn w:val="17"/>
    <w:link w:val="3"/>
    <w:qFormat/>
    <w:locked/>
    <w:uiPriority w:val="9"/>
    <w:rPr>
      <w:b/>
      <w:bCs/>
      <w:kern w:val="44"/>
      <w:sz w:val="44"/>
      <w:szCs w:val="44"/>
    </w:rPr>
  </w:style>
  <w:style w:type="character" w:customStyle="1" w:styleId="22">
    <w:name w:val="标题 2 Char"/>
    <w:basedOn w:val="17"/>
    <w:link w:val="4"/>
    <w:semiHidden/>
    <w:qFormat/>
    <w:locked/>
    <w:uiPriority w:val="9"/>
    <w:rPr>
      <w:rFonts w:hint="eastAsia" w:asciiTheme="majorHAnsi" w:hAnsiTheme="majorHAnsi" w:eastAsiaTheme="majorEastAsia" w:cstheme="majorBidi"/>
      <w:b/>
      <w:bCs/>
      <w:sz w:val="32"/>
      <w:szCs w:val="32"/>
    </w:rPr>
  </w:style>
  <w:style w:type="character" w:customStyle="1" w:styleId="23">
    <w:name w:val="标题 3 Char"/>
    <w:basedOn w:val="17"/>
    <w:link w:val="2"/>
    <w:semiHidden/>
    <w:qFormat/>
    <w:locked/>
    <w:uiPriority w:val="9"/>
    <w:rPr>
      <w:b/>
      <w:bCs/>
      <w:sz w:val="32"/>
      <w:szCs w:val="32"/>
    </w:rPr>
  </w:style>
  <w:style w:type="character" w:customStyle="1" w:styleId="24">
    <w:name w:val="标题 4 Char"/>
    <w:basedOn w:val="17"/>
    <w:link w:val="5"/>
    <w:semiHidden/>
    <w:qFormat/>
    <w:locked/>
    <w:uiPriority w:val="9"/>
    <w:rPr>
      <w:rFonts w:hint="eastAsia" w:asciiTheme="majorHAnsi" w:hAnsiTheme="majorHAnsi" w:eastAsiaTheme="majorEastAsia" w:cstheme="majorBidi"/>
      <w:b/>
      <w:bCs/>
      <w:sz w:val="28"/>
      <w:szCs w:val="28"/>
    </w:rPr>
  </w:style>
  <w:style w:type="character" w:customStyle="1" w:styleId="25">
    <w:name w:val="标题 5 Char"/>
    <w:basedOn w:val="17"/>
    <w:link w:val="6"/>
    <w:semiHidden/>
    <w:qFormat/>
    <w:locked/>
    <w:uiPriority w:val="9"/>
    <w:rPr>
      <w:b/>
      <w:bCs/>
      <w:sz w:val="28"/>
      <w:szCs w:val="28"/>
    </w:rPr>
  </w:style>
  <w:style w:type="character" w:customStyle="1" w:styleId="26">
    <w:name w:val="FZ标题1 字符"/>
    <w:basedOn w:val="17"/>
    <w:link w:val="27"/>
    <w:qFormat/>
    <w:locked/>
    <w:uiPriority w:val="0"/>
    <w:rPr>
      <w:rFonts w:hint="eastAsia" w:ascii="宋体" w:hAnsi="宋体" w:eastAsia="宋体"/>
      <w:b/>
      <w:color w:val="000000"/>
      <w:sz w:val="32"/>
    </w:rPr>
  </w:style>
  <w:style w:type="paragraph" w:customStyle="1" w:styleId="27">
    <w:name w:val="FZ标题1"/>
    <w:basedOn w:val="3"/>
    <w:link w:val="26"/>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28">
    <w:name w:val="FZ标题2 字符"/>
    <w:basedOn w:val="17"/>
    <w:link w:val="29"/>
    <w:qFormat/>
    <w:locked/>
    <w:uiPriority w:val="0"/>
    <w:rPr>
      <w:rFonts w:eastAsia="黑体"/>
      <w:b/>
      <w:bCs/>
      <w:color w:val="000000"/>
      <w:kern w:val="2"/>
      <w:sz w:val="28"/>
      <w:szCs w:val="44"/>
    </w:rPr>
  </w:style>
  <w:style w:type="paragraph" w:customStyle="1" w:styleId="29">
    <w:name w:val="FZ标题2"/>
    <w:basedOn w:val="4"/>
    <w:link w:val="28"/>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0">
    <w:name w:val="FZ标题3 字符"/>
    <w:basedOn w:val="17"/>
    <w:link w:val="31"/>
    <w:qFormat/>
    <w:locked/>
    <w:uiPriority w:val="0"/>
    <w:rPr>
      <w:rFonts w:eastAsia="仿宋_GB2312" w:cstheme="majorBidi"/>
      <w:b/>
      <w:bCs/>
      <w:color w:val="000000"/>
      <w:kern w:val="2"/>
      <w:sz w:val="28"/>
      <w:szCs w:val="32"/>
    </w:rPr>
  </w:style>
  <w:style w:type="paragraph" w:customStyle="1" w:styleId="31">
    <w:name w:val="FZ标题3"/>
    <w:basedOn w:val="2"/>
    <w:link w:val="30"/>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2">
    <w:name w:val="FZ标题4 字符"/>
    <w:basedOn w:val="17"/>
    <w:link w:val="33"/>
    <w:qFormat/>
    <w:locked/>
    <w:uiPriority w:val="0"/>
    <w:rPr>
      <w:rFonts w:ascii="仿宋_GB2312" w:eastAsia="仿宋_GB2312"/>
      <w:bCs/>
      <w:color w:val="000000"/>
      <w:kern w:val="2"/>
      <w:sz w:val="28"/>
      <w:szCs w:val="32"/>
    </w:rPr>
  </w:style>
  <w:style w:type="paragraph" w:customStyle="1" w:styleId="33">
    <w:name w:val="FZ标题4"/>
    <w:basedOn w:val="5"/>
    <w:link w:val="32"/>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4">
    <w:name w:val="FZ标题5 字符"/>
    <w:basedOn w:val="17"/>
    <w:link w:val="35"/>
    <w:qFormat/>
    <w:locked/>
    <w:uiPriority w:val="0"/>
    <w:rPr>
      <w:rFonts w:hint="eastAsia" w:ascii="宋体" w:hAnsi="宋体" w:eastAsia="宋体" w:cstheme="majorBidi"/>
      <w:bCs/>
      <w:color w:val="000000"/>
      <w:szCs w:val="28"/>
    </w:rPr>
  </w:style>
  <w:style w:type="paragraph" w:customStyle="1" w:styleId="35">
    <w:name w:val="FZ标题5"/>
    <w:basedOn w:val="6"/>
    <w:link w:val="34"/>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6">
    <w:name w:val="标题 6 Char"/>
    <w:basedOn w:val="17"/>
    <w:link w:val="7"/>
    <w:semiHidden/>
    <w:qFormat/>
    <w:uiPriority w:val="9"/>
    <w:rPr>
      <w:rFonts w:asciiTheme="majorHAnsi" w:hAnsiTheme="majorHAnsi" w:eastAsiaTheme="majorEastAsia" w:cstheme="majorBidi"/>
      <w:b/>
      <w:bCs/>
      <w:kern w:val="2"/>
      <w:sz w:val="24"/>
      <w:szCs w:val="24"/>
    </w:rPr>
  </w:style>
  <w:style w:type="character" w:customStyle="1" w:styleId="37">
    <w:name w:val="FZ标题6 字符"/>
    <w:basedOn w:val="17"/>
    <w:link w:val="38"/>
    <w:qFormat/>
    <w:locked/>
    <w:uiPriority w:val="0"/>
    <w:rPr>
      <w:rFonts w:hint="eastAsia" w:ascii="宋体" w:hAnsi="宋体" w:eastAsia="宋体"/>
      <w:bCs/>
      <w:color w:val="000000"/>
      <w:szCs w:val="28"/>
    </w:rPr>
  </w:style>
  <w:style w:type="paragraph" w:customStyle="1" w:styleId="38">
    <w:name w:val="FZ标题6"/>
    <w:basedOn w:val="7"/>
    <w:link w:val="37"/>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39">
    <w:name w:val="FZ表格标题行首列 字符"/>
    <w:basedOn w:val="17"/>
    <w:link w:val="40"/>
    <w:qFormat/>
    <w:locked/>
    <w:uiPriority w:val="0"/>
    <w:rPr>
      <w:rFonts w:hint="eastAsia" w:ascii="宋体" w:hAnsi="宋体" w:eastAsia="宋体"/>
      <w:color w:val="000000"/>
      <w:sz w:val="18"/>
    </w:rPr>
  </w:style>
  <w:style w:type="paragraph" w:customStyle="1" w:styleId="40">
    <w:name w:val="FZ表格标题行首列"/>
    <w:basedOn w:val="1"/>
    <w:link w:val="39"/>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1">
    <w:name w:val="FZ表格标题行 字符"/>
    <w:basedOn w:val="17"/>
    <w:link w:val="42"/>
    <w:qFormat/>
    <w:locked/>
    <w:uiPriority w:val="0"/>
    <w:rPr>
      <w:rFonts w:hint="eastAsia" w:ascii="宋体" w:hAnsi="宋体" w:eastAsia="宋体"/>
      <w:color w:val="000000"/>
      <w:sz w:val="18"/>
    </w:rPr>
  </w:style>
  <w:style w:type="paragraph" w:customStyle="1" w:styleId="42">
    <w:name w:val="FZ表格标题行"/>
    <w:basedOn w:val="1"/>
    <w:link w:val="41"/>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3">
    <w:name w:val="FZ表格正文行首列 字符"/>
    <w:basedOn w:val="17"/>
    <w:link w:val="44"/>
    <w:qFormat/>
    <w:locked/>
    <w:uiPriority w:val="0"/>
    <w:rPr>
      <w:rFonts w:hint="eastAsia" w:ascii="宋体" w:hAnsi="宋体" w:eastAsia="宋体"/>
      <w:color w:val="000000"/>
      <w:sz w:val="18"/>
    </w:rPr>
  </w:style>
  <w:style w:type="paragraph" w:customStyle="1" w:styleId="44">
    <w:name w:val="FZ表格正文行首列"/>
    <w:basedOn w:val="1"/>
    <w:link w:val="43"/>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5">
    <w:name w:val="FZ表格正文行 字符"/>
    <w:basedOn w:val="17"/>
    <w:link w:val="46"/>
    <w:qFormat/>
    <w:locked/>
    <w:uiPriority w:val="0"/>
    <w:rPr>
      <w:rFonts w:hint="eastAsia" w:ascii="宋体" w:hAnsi="宋体" w:eastAsia="宋体"/>
      <w:color w:val="000000"/>
      <w:sz w:val="18"/>
    </w:rPr>
  </w:style>
  <w:style w:type="paragraph" w:customStyle="1" w:styleId="46">
    <w:name w:val="FZ表格正文行"/>
    <w:basedOn w:val="1"/>
    <w:link w:val="45"/>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7">
    <w:name w:val="FZ表格合计行首列 字符"/>
    <w:basedOn w:val="17"/>
    <w:link w:val="48"/>
    <w:qFormat/>
    <w:locked/>
    <w:uiPriority w:val="0"/>
    <w:rPr>
      <w:rFonts w:hint="eastAsia" w:ascii="宋体" w:hAnsi="宋体" w:eastAsia="宋体"/>
      <w:color w:val="000000"/>
      <w:sz w:val="18"/>
    </w:rPr>
  </w:style>
  <w:style w:type="paragraph" w:customStyle="1" w:styleId="48">
    <w:name w:val="FZ表格合计行首列"/>
    <w:basedOn w:val="1"/>
    <w:link w:val="47"/>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9">
    <w:name w:val="FZ表格合计行 字符"/>
    <w:basedOn w:val="17"/>
    <w:link w:val="50"/>
    <w:qFormat/>
    <w:locked/>
    <w:uiPriority w:val="0"/>
    <w:rPr>
      <w:rFonts w:hint="eastAsia" w:ascii="宋体" w:hAnsi="宋体" w:eastAsia="宋体"/>
      <w:color w:val="000000"/>
      <w:sz w:val="18"/>
    </w:rPr>
  </w:style>
  <w:style w:type="paragraph" w:customStyle="1" w:styleId="50">
    <w:name w:val="FZ表格合计行"/>
    <w:basedOn w:val="1"/>
    <w:link w:val="49"/>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1">
    <w:name w:val="FZ正文 字符"/>
    <w:basedOn w:val="17"/>
    <w:link w:val="52"/>
    <w:qFormat/>
    <w:locked/>
    <w:uiPriority w:val="0"/>
    <w:rPr>
      <w:rFonts w:ascii="Times New Roman" w:hAnsi="Times New Roman" w:eastAsia="仿宋_GB2312" w:cs="Times New Roman"/>
      <w:color w:val="000000"/>
      <w:kern w:val="2"/>
      <w:sz w:val="28"/>
      <w:szCs w:val="22"/>
    </w:rPr>
  </w:style>
  <w:style w:type="paragraph" w:customStyle="1" w:styleId="52">
    <w:name w:val="FZ正文"/>
    <w:basedOn w:val="1"/>
    <w:link w:val="51"/>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3">
    <w:name w:val="FZ副标题 字符"/>
    <w:basedOn w:val="17"/>
    <w:link w:val="54"/>
    <w:qFormat/>
    <w:locked/>
    <w:uiPriority w:val="0"/>
    <w:rPr>
      <w:rFonts w:hint="eastAsia" w:ascii="宋体" w:hAnsi="宋体" w:eastAsia="宋体"/>
      <w:color w:val="000000"/>
    </w:rPr>
  </w:style>
  <w:style w:type="paragraph" w:customStyle="1" w:styleId="54">
    <w:name w:val="FZ副标题"/>
    <w:basedOn w:val="1"/>
    <w:link w:val="53"/>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5">
    <w:name w:val="FZ落款 字符"/>
    <w:basedOn w:val="17"/>
    <w:link w:val="56"/>
    <w:qFormat/>
    <w:locked/>
    <w:uiPriority w:val="0"/>
    <w:rPr>
      <w:rFonts w:hint="eastAsia" w:ascii="宋体" w:hAnsi="宋体" w:eastAsia="宋体"/>
      <w:color w:val="000000"/>
    </w:rPr>
  </w:style>
  <w:style w:type="paragraph" w:customStyle="1" w:styleId="56">
    <w:name w:val="FZ落款"/>
    <w:basedOn w:val="1"/>
    <w:link w:val="55"/>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7">
    <w:name w:val="FZ注释 字符"/>
    <w:basedOn w:val="17"/>
    <w:link w:val="58"/>
    <w:qFormat/>
    <w:locked/>
    <w:uiPriority w:val="0"/>
    <w:rPr>
      <w:rFonts w:hint="eastAsia" w:ascii="宋体" w:hAnsi="宋体" w:eastAsia="宋体"/>
      <w:color w:val="000000"/>
      <w:sz w:val="18"/>
    </w:rPr>
  </w:style>
  <w:style w:type="paragraph" w:customStyle="1" w:styleId="58">
    <w:name w:val="FZ注释"/>
    <w:basedOn w:val="1"/>
    <w:link w:val="57"/>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59">
    <w:name w:val="FZ小标题 字符"/>
    <w:basedOn w:val="17"/>
    <w:link w:val="60"/>
    <w:qFormat/>
    <w:locked/>
    <w:uiPriority w:val="0"/>
    <w:rPr>
      <w:rFonts w:hint="eastAsia" w:ascii="宋体" w:hAnsi="宋体" w:eastAsia="宋体"/>
      <w:color w:val="000000"/>
      <w:sz w:val="18"/>
    </w:rPr>
  </w:style>
  <w:style w:type="paragraph" w:customStyle="1" w:styleId="60">
    <w:name w:val="FZ小标题"/>
    <w:basedOn w:val="1"/>
    <w:link w:val="59"/>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1">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2">
    <w:name w:val="标题 7 Char"/>
    <w:basedOn w:val="17"/>
    <w:link w:val="8"/>
    <w:semiHidden/>
    <w:qFormat/>
    <w:uiPriority w:val="9"/>
    <w:rPr>
      <w:rFonts w:asciiTheme="minorHAnsi" w:hAnsiTheme="minorHAnsi" w:eastAsiaTheme="minorEastAsia"/>
      <w:b/>
      <w:bCs/>
      <w:kern w:val="2"/>
      <w:sz w:val="24"/>
      <w:szCs w:val="24"/>
    </w:rPr>
  </w:style>
  <w:style w:type="character" w:customStyle="1" w:styleId="63">
    <w:name w:val="标题 8 Char"/>
    <w:basedOn w:val="17"/>
    <w:link w:val="9"/>
    <w:semiHidden/>
    <w:qFormat/>
    <w:uiPriority w:val="9"/>
    <w:rPr>
      <w:rFonts w:asciiTheme="majorHAnsi" w:hAnsiTheme="majorHAnsi" w:eastAsiaTheme="majorEastAsia" w:cstheme="majorBidi"/>
      <w:kern w:val="2"/>
      <w:sz w:val="24"/>
      <w:szCs w:val="24"/>
    </w:rPr>
  </w:style>
  <w:style w:type="character" w:customStyle="1" w:styleId="64">
    <w:name w:val="标题 9 Char"/>
    <w:basedOn w:val="17"/>
    <w:link w:val="10"/>
    <w:semiHidden/>
    <w:qFormat/>
    <w:uiPriority w:val="9"/>
    <w:rPr>
      <w:rFonts w:asciiTheme="majorHAnsi" w:hAnsiTheme="majorHAnsi" w:eastAsiaTheme="majorEastAsia" w:cstheme="majorBidi"/>
      <w:kern w:val="2"/>
      <w:sz w:val="21"/>
      <w:szCs w:val="21"/>
    </w:rPr>
  </w:style>
  <w:style w:type="character" w:customStyle="1" w:styleId="65">
    <w:name w:val="页眉 Char"/>
    <w:basedOn w:val="17"/>
    <w:link w:val="15"/>
    <w:qFormat/>
    <w:uiPriority w:val="99"/>
    <w:rPr>
      <w:rFonts w:asciiTheme="minorHAnsi" w:hAnsiTheme="minorHAnsi" w:eastAsiaTheme="minorEastAsia"/>
      <w:kern w:val="2"/>
      <w:sz w:val="18"/>
      <w:szCs w:val="18"/>
    </w:rPr>
  </w:style>
  <w:style w:type="character" w:customStyle="1" w:styleId="66">
    <w:name w:val="页脚 Char"/>
    <w:basedOn w:val="17"/>
    <w:link w:val="14"/>
    <w:qFormat/>
    <w:uiPriority w:val="99"/>
    <w:rPr>
      <w:rFonts w:asciiTheme="minorHAnsi" w:hAnsiTheme="minorHAnsi" w:eastAsiaTheme="minorEastAsia"/>
      <w:kern w:val="2"/>
      <w:sz w:val="18"/>
      <w:szCs w:val="18"/>
    </w:rPr>
  </w:style>
  <w:style w:type="character" w:customStyle="1" w:styleId="67">
    <w:name w:val="批注文字 Char"/>
    <w:basedOn w:val="17"/>
    <w:link w:val="12"/>
    <w:semiHidden/>
    <w:qFormat/>
    <w:uiPriority w:val="99"/>
    <w:rPr>
      <w:rFonts w:asciiTheme="minorHAnsi" w:hAnsiTheme="minorHAnsi" w:eastAsiaTheme="minorEastAsia"/>
      <w:kern w:val="2"/>
      <w:sz w:val="21"/>
      <w:szCs w:val="22"/>
    </w:rPr>
  </w:style>
  <w:style w:type="character" w:customStyle="1" w:styleId="68">
    <w:name w:val="批注主题 Char"/>
    <w:basedOn w:val="67"/>
    <w:link w:val="11"/>
    <w:semiHidden/>
    <w:qFormat/>
    <w:uiPriority w:val="99"/>
    <w:rPr>
      <w:rFonts w:asciiTheme="minorHAnsi" w:hAnsiTheme="minorHAnsi" w:eastAsiaTheme="minorEastAsia"/>
      <w:b/>
      <w:bCs/>
      <w:kern w:val="2"/>
      <w:sz w:val="21"/>
      <w:szCs w:val="22"/>
    </w:rPr>
  </w:style>
  <w:style w:type="character" w:customStyle="1" w:styleId="69">
    <w:name w:val="批注框文本 Char"/>
    <w:basedOn w:val="17"/>
    <w:link w:val="13"/>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CEC000-EECB-4647-9479-F9BF12E6FD60}">
  <ds:schemaRefs/>
</ds:datastoreItem>
</file>

<file path=docProps/app.xml><?xml version="1.0" encoding="utf-8"?>
<Properties xmlns="http://schemas.openxmlformats.org/officeDocument/2006/extended-properties" xmlns:vt="http://schemas.openxmlformats.org/officeDocument/2006/docPropsVTypes">
  <Template>Normal.dotm</Template>
  <Pages>15</Pages>
  <Words>7480</Words>
  <Characters>7945</Characters>
  <Lines>9</Lines>
  <Paragraphs>15</Paragraphs>
  <TotalTime>23</TotalTime>
  <ScaleCrop>false</ScaleCrop>
  <LinksUpToDate>false</LinksUpToDate>
  <CharactersWithSpaces>8238</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Administrator</cp:lastModifiedBy>
  <dcterms:modified xsi:type="dcterms:W3CDTF">2025-03-03T10:30:43Z</dcterms:modified>
  <dc:title>C:\Users\Xueyang\Desktop\170号自评报告\57.艾力西湖镇巴扎（10）村花卉生产基地配套建设项目绩效自评报告.xlsx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D8042D538B4E4757846D3CB2238C52CD_12</vt:lpwstr>
  </property>
  <property fmtid="{D5CDD505-2E9C-101B-9397-08002B2CF9AE}" pid="4" name="KSOTemplateDocerSaveRecord">
    <vt:lpwstr>eyJoZGlkIjoiMDlkYjFlYjBlN2NmYzMxNDIwZTViYjM5ZTAxZjk1NDEifQ==</vt:lpwstr>
  </property>
</Properties>
</file>