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A96268">
      <w:pPr>
        <w:spacing w:before="120" w:after="120" w:line="480" w:lineRule="auto"/>
        <w:ind w:firstLine="883" w:firstLineChars="200"/>
        <w:jc w:val="center"/>
        <w:outlineLvl w:val="0"/>
        <w:rPr>
          <w:rFonts w:ascii="仿宋_GB2312" w:hAnsi="Arial"/>
          <w:b/>
          <w:color w:val="auto"/>
          <w:sz w:val="44"/>
          <w:szCs w:val="44"/>
          <w:highlight w:val="none"/>
        </w:rPr>
      </w:pPr>
    </w:p>
    <w:p w14:paraId="4F831CFD">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249C3A06">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0C478CE1">
      <w:pPr>
        <w:spacing w:line="540" w:lineRule="exact"/>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74018ABE">
      <w:pPr>
        <w:spacing w:line="540" w:lineRule="exact"/>
        <w:ind w:firstLine="600" w:firstLineChars="200"/>
        <w:jc w:val="center"/>
        <w:rPr>
          <w:rFonts w:hAnsi="宋体" w:cs="宋体"/>
          <w:color w:val="auto"/>
          <w:kern w:val="0"/>
          <w:sz w:val="30"/>
          <w:szCs w:val="30"/>
          <w:highlight w:val="none"/>
        </w:rPr>
      </w:pPr>
    </w:p>
    <w:p w14:paraId="50429F27">
      <w:pPr>
        <w:spacing w:line="540" w:lineRule="exact"/>
        <w:ind w:firstLine="600" w:firstLineChars="200"/>
        <w:jc w:val="center"/>
        <w:rPr>
          <w:rFonts w:hAnsi="宋体" w:cs="宋体"/>
          <w:color w:val="auto"/>
          <w:kern w:val="0"/>
          <w:sz w:val="30"/>
          <w:szCs w:val="30"/>
          <w:highlight w:val="none"/>
        </w:rPr>
      </w:pPr>
    </w:p>
    <w:p w14:paraId="29B70386">
      <w:pPr>
        <w:spacing w:line="540" w:lineRule="exact"/>
        <w:ind w:firstLine="600" w:firstLineChars="200"/>
        <w:jc w:val="center"/>
        <w:rPr>
          <w:rFonts w:hAnsi="宋体" w:cs="宋体"/>
          <w:color w:val="auto"/>
          <w:kern w:val="0"/>
          <w:sz w:val="30"/>
          <w:szCs w:val="30"/>
          <w:highlight w:val="none"/>
        </w:rPr>
      </w:pPr>
    </w:p>
    <w:p w14:paraId="61AE2FE0">
      <w:pPr>
        <w:spacing w:line="540" w:lineRule="exact"/>
        <w:ind w:firstLine="600" w:firstLineChars="200"/>
        <w:jc w:val="center"/>
        <w:rPr>
          <w:rFonts w:hAnsi="宋体" w:cs="宋体"/>
          <w:color w:val="auto"/>
          <w:kern w:val="0"/>
          <w:sz w:val="30"/>
          <w:szCs w:val="30"/>
          <w:highlight w:val="none"/>
        </w:rPr>
      </w:pPr>
    </w:p>
    <w:p w14:paraId="5431E205">
      <w:pPr>
        <w:spacing w:line="540" w:lineRule="exact"/>
        <w:ind w:firstLine="600" w:firstLineChars="200"/>
        <w:jc w:val="center"/>
        <w:rPr>
          <w:rFonts w:hAnsi="宋体" w:cs="宋体"/>
          <w:color w:val="auto"/>
          <w:kern w:val="0"/>
          <w:sz w:val="30"/>
          <w:szCs w:val="30"/>
          <w:highlight w:val="none"/>
        </w:rPr>
      </w:pPr>
    </w:p>
    <w:p w14:paraId="3F602694">
      <w:pPr>
        <w:spacing w:line="540" w:lineRule="exact"/>
        <w:ind w:firstLine="600" w:firstLineChars="200"/>
        <w:jc w:val="center"/>
        <w:rPr>
          <w:rFonts w:hAnsi="宋体" w:cs="宋体"/>
          <w:color w:val="auto"/>
          <w:kern w:val="0"/>
          <w:sz w:val="30"/>
          <w:szCs w:val="30"/>
          <w:highlight w:val="none"/>
        </w:rPr>
      </w:pPr>
    </w:p>
    <w:p w14:paraId="2EB9FABB">
      <w:pPr>
        <w:spacing w:line="540" w:lineRule="exact"/>
        <w:ind w:firstLine="600" w:firstLineChars="200"/>
        <w:jc w:val="center"/>
        <w:rPr>
          <w:rFonts w:hAnsi="宋体" w:cs="宋体"/>
          <w:color w:val="auto"/>
          <w:kern w:val="0"/>
          <w:sz w:val="30"/>
          <w:szCs w:val="30"/>
          <w:highlight w:val="none"/>
        </w:rPr>
      </w:pPr>
    </w:p>
    <w:p w14:paraId="5F740E20">
      <w:pPr>
        <w:spacing w:line="540" w:lineRule="exact"/>
        <w:ind w:firstLine="600" w:firstLineChars="200"/>
        <w:jc w:val="center"/>
        <w:rPr>
          <w:rFonts w:hAnsi="宋体" w:cs="宋体"/>
          <w:color w:val="auto"/>
          <w:kern w:val="0"/>
          <w:sz w:val="30"/>
          <w:szCs w:val="30"/>
          <w:highlight w:val="none"/>
        </w:rPr>
      </w:pPr>
    </w:p>
    <w:p w14:paraId="1AAE9989">
      <w:pPr>
        <w:spacing w:line="540" w:lineRule="exact"/>
        <w:jc w:val="both"/>
        <w:rPr>
          <w:rFonts w:hAnsi="宋体" w:cs="宋体"/>
          <w:color w:val="auto"/>
          <w:kern w:val="0"/>
          <w:sz w:val="30"/>
          <w:szCs w:val="30"/>
          <w:highlight w:val="none"/>
        </w:rPr>
      </w:pPr>
    </w:p>
    <w:p w14:paraId="75A90C84">
      <w:pPr>
        <w:spacing w:line="560" w:lineRule="exact"/>
        <w:ind w:firstLine="640" w:firstLineChars="200"/>
        <w:rPr>
          <w:rFonts w:hint="eastAsia" w:ascii="仿宋" w:hAnsi="仿宋" w:eastAsia="仿宋" w:cs="仿宋"/>
          <w:color w:val="auto"/>
          <w:szCs w:val="32"/>
          <w:highlight w:val="none"/>
          <w:lang w:val="en-US" w:eastAsia="zh-CN"/>
        </w:rPr>
      </w:pPr>
      <w:r>
        <w:rPr>
          <w:rFonts w:hint="eastAsia" w:ascii="仿宋" w:hAnsi="仿宋" w:eastAsia="仿宋" w:cs="仿宋"/>
          <w:color w:val="auto"/>
          <w:szCs w:val="32"/>
          <w:highlight w:val="none"/>
          <w:lang w:val="en-US" w:eastAsia="zh-CN"/>
        </w:rPr>
        <w:t>项目名称：于田县英巴格乡红柳大芸地电力提升改造建设项目</w:t>
      </w:r>
    </w:p>
    <w:p w14:paraId="54D1B8B1">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lang w:val="en-US" w:eastAsia="zh-CN"/>
        </w:rPr>
        <w:t>实施单位：于田县英巴格乡人民政府</w:t>
      </w:r>
    </w:p>
    <w:p w14:paraId="5EF06645">
      <w:pPr>
        <w:spacing w:line="560" w:lineRule="exact"/>
        <w:ind w:firstLine="640" w:firstLineChars="200"/>
        <w:rPr>
          <w:rFonts w:hint="eastAsia" w:ascii="仿宋" w:hAnsi="仿宋" w:eastAsia="仿宋" w:cs="仿宋"/>
          <w:color w:val="auto"/>
          <w:szCs w:val="32"/>
          <w:highlight w:val="none"/>
          <w:lang w:val="en-US" w:eastAsia="zh-CN"/>
        </w:rPr>
      </w:pPr>
      <w:r>
        <w:rPr>
          <w:rFonts w:hint="eastAsia" w:ascii="仿宋" w:hAnsi="仿宋" w:eastAsia="仿宋" w:cs="仿宋"/>
          <w:color w:val="auto"/>
          <w:szCs w:val="32"/>
          <w:highlight w:val="none"/>
          <w:lang w:val="en-US" w:eastAsia="zh-CN"/>
        </w:rPr>
        <w:t>主管部门：于田县发展和改革委员会</w:t>
      </w:r>
    </w:p>
    <w:p w14:paraId="59D645CD">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lang w:val="en-US" w:eastAsia="zh-CN"/>
        </w:rPr>
        <w:t>项目负责人：葛玉翔</w:t>
      </w:r>
    </w:p>
    <w:p w14:paraId="6BACC0F5">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lang w:val="en-US" w:eastAsia="zh-CN"/>
        </w:rPr>
        <w:t>填报时间：2024年12月21日</w:t>
      </w:r>
    </w:p>
    <w:p w14:paraId="6804B77A">
      <w:pPr>
        <w:spacing w:line="540" w:lineRule="exact"/>
        <w:ind w:firstLine="600" w:firstLineChars="200"/>
        <w:rPr>
          <w:rFonts w:hAnsi="宋体" w:cs="宋体"/>
          <w:color w:val="auto"/>
          <w:kern w:val="0"/>
          <w:sz w:val="30"/>
          <w:szCs w:val="30"/>
          <w:highlight w:val="none"/>
        </w:rPr>
      </w:pPr>
    </w:p>
    <w:p w14:paraId="26355A62">
      <w:pPr>
        <w:spacing w:line="360" w:lineRule="auto"/>
        <w:rPr>
          <w:rStyle w:val="19"/>
          <w:rFonts w:ascii="黑体" w:hAnsi="黑体" w:eastAsia="黑体" w:cs="Times New Roman"/>
          <w:color w:val="auto"/>
          <w:spacing w:val="-4"/>
          <w:szCs w:val="32"/>
          <w:highlight w:val="none"/>
        </w:rPr>
      </w:pPr>
    </w:p>
    <w:p w14:paraId="3C6EF0E0">
      <w:pPr>
        <w:spacing w:line="360" w:lineRule="auto"/>
        <w:ind w:firstLine="627" w:firstLineChars="200"/>
        <w:rPr>
          <w:rStyle w:val="19"/>
          <w:rFonts w:hint="eastAsia"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34C2F96A">
      <w:pPr>
        <w:spacing w:line="360" w:lineRule="auto"/>
        <w:ind w:firstLine="546" w:firstLineChars="200"/>
        <w:rPr>
          <w:rFonts w:hint="eastAsia" w:ascii="楷体_GB2312" w:hAnsi="楷体" w:cs="Times New Roman"/>
          <w:b/>
          <w:color w:val="auto"/>
          <w:spacing w:val="-4"/>
          <w:sz w:val="28"/>
          <w:szCs w:val="32"/>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590CF81E">
      <w:pPr>
        <w:pStyle w:val="52"/>
        <w:ind w:left="3" w:right="3" w:firstLine="562"/>
        <w:rPr>
          <w:rFonts w:hint="eastAsia" w:ascii="仿宋_GB2312" w:hAnsi="Times New Roman" w:cs="Times New Roman"/>
          <w:b/>
          <w:color w:val="auto"/>
          <w:szCs w:val="32"/>
          <w:highlight w:val="none"/>
        </w:rPr>
      </w:pPr>
      <w:r>
        <w:rPr>
          <w:rFonts w:hint="eastAsia" w:ascii="仿宋_GB2312" w:hAnsi="Times New Roman" w:cs="Times New Roman"/>
          <w:b/>
          <w:color w:val="auto"/>
          <w:szCs w:val="32"/>
          <w:highlight w:val="none"/>
        </w:rPr>
        <w:t>1.下达预算情况</w:t>
      </w:r>
    </w:p>
    <w:p w14:paraId="0DC81958">
      <w:pPr>
        <w:pStyle w:val="52"/>
        <w:ind w:left="3" w:right="3" w:firstLine="560"/>
        <w:rPr>
          <w:rFonts w:hint="eastAsia" w:ascii="仿宋_GB2312" w:hAnsi="Times New Roman" w:cs="Times New Roman"/>
          <w:color w:val="auto"/>
          <w:szCs w:val="32"/>
          <w:highlight w:val="none"/>
          <w:lang w:val="en-US" w:eastAsia="zh-CN"/>
        </w:rPr>
      </w:pPr>
      <w:r>
        <w:rPr>
          <w:rFonts w:hint="eastAsia" w:ascii="仿宋_GB2312" w:hAnsi="Times New Roman" w:cs="Times New Roman"/>
          <w:color w:val="auto"/>
          <w:szCs w:val="32"/>
          <w:highlight w:val="none"/>
          <w:lang w:val="en-US" w:eastAsia="zh-CN"/>
        </w:rPr>
        <w:t>本项目根据根据2024年1月26日，于田县发展和改革委员会下发《关于对于田县英巴格乡红柳大芸地电力提升改造建设项目实施方案的批复》（于发改项目〔2024〕26号）立项实施，于田县英巴格乡红柳大芸地电力提升改造建设项目预算安排总额为300万元，其中：乡村振兴衔接资金300万元。预算资金到位率为100.00%。</w:t>
      </w:r>
    </w:p>
    <w:p w14:paraId="24CA3227">
      <w:pPr>
        <w:pStyle w:val="52"/>
        <w:ind w:left="3" w:right="3" w:firstLine="562"/>
        <w:rPr>
          <w:rFonts w:hint="eastAsia" w:ascii="仿宋_GB2312" w:hAnsi="Times New Roman" w:cs="Times New Roman"/>
          <w:b/>
          <w:bCs w:val="0"/>
          <w:color w:val="auto"/>
          <w:szCs w:val="32"/>
          <w:highlight w:val="none"/>
        </w:rPr>
      </w:pPr>
      <w:r>
        <w:rPr>
          <w:rFonts w:hint="eastAsia" w:ascii="仿宋_GB2312" w:hAnsi="Times New Roman" w:cs="Times New Roman"/>
          <w:b/>
          <w:bCs w:val="0"/>
          <w:color w:val="auto"/>
          <w:szCs w:val="32"/>
          <w:highlight w:val="none"/>
        </w:rPr>
        <w:t>2.项目实施背景</w:t>
      </w:r>
    </w:p>
    <w:p w14:paraId="4F3FCB67">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项目区地处欧亚大陆腹地，位于塔里木盆地的塔克拉玛干大沙漠的南缘，属温带大陆性干旱半干旱区，属南疆温带内陆干旱荒漠气候。其气候主要特点是：四季分明，温差大，热量资源丰富，光照充足，降水稀少，蒸发量大，春季多风沙和浮尘等灾害天气。气温：多年平均气温11.6℃，最暖月份为7 月，月平均气温24.8℃，最冷月份为1 月，月平均气温-5.26℃。极端最高气温41.2℃，发生在1956 年，极端最低气温24.3℃，发生在1959 年。降水：多年平均降水量为48.3mm，降水量主要集中在年内4～9 月，占全年降水量的87.3%，其中6 月份降水最多，月平均降水量为10.28mm，11月降水最少，月平均降水量为0.32mm。最大日降水量为46.6mm，发生于1961年4 月23 日。蒸发：多年平均蒸发量(φ20cm)为2379mm，蒸发量主要集中在4～9 月，这期间的蒸发量约占全年的75.3%。最大年蒸发量为2645.2mm，发生在1984年；最小蒸发量为1422.2mm，发生在2002 年。风速：3 月～5 月、9 月～11 月为多风季节，风向多为南风、西南风。多年平均风速1.5m/s，多年最大平均风速16m/s，多发生在5 月；风向：相应最大风速风向为SW。积雪深度：最大积雪深度15cm；最大冻土：历年最大冻土深度87cm；湿度：历年相对年平均湿度为41.9%；霜期：多年平均无霜期207d；全年日照时数2769h；全年浮尘天数：200d；全年沙暴天数28d。克里雅河发源于昆仑山北麓的海拔6920m 的琼木孜塔格峰，山区终年积雪，流域上游有现代冰川发育，雪线高度约2800m。根据中国科学院兰州冰川冻土研究所统计，流域内冰川总计398 条，总面积176.57km2，冰储量78.65亿m³，其中克里雅河冰川124 条，面积38km2，冰储量为12.89 亿m³，年平均消融量0.28 亿m³，占河道径流量的12.19%。故克里雅河的径流补给以冰雪融水为主，夏季降雨和地下水补给为辅。根据克里雅河水文站1957 年～2020 年64 年的系列统计结果，多年平均流量24.4m³/s，多年平均径流量7.668 亿m³。径流年内分布不均，6～8 月水量占全年的66.7%，5～9 月水量占全年的80.44%，1～3 月水量占全年的7.04%，10～12 月水量占全年的9.34%。</w:t>
      </w:r>
    </w:p>
    <w:p w14:paraId="5DB99C5C">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克里雅河洪水来源主要是河源区高山冰雪融水和季节性积雪融水，同时由中、低山带的暴雨形成。在一定的气候条件下也可能发生融雪型和暴雨型叠加的混合型洪水。经分析，克里雅河并存四种不同类型的洪水：季节积雪融水洪水：此类洪水主要为中、低山带的积雪随桌春季气温的迅速回升而形成，其洪水出现时间及规模取决于热量条件、积雪厚度和面积因素等。洪水特点是历史较长、蜂不高，洪水过程有明显的日变化。高山冰雪融水洪水：此类洪水主要由高山冰雪融化所形成，洪水随气温升高而增大，因受日内气温周期变化影响，洪水过程有明显的日内变化规律，即一日一峰。洪水特点是峰不高、量较大、持续时间长。暴雨型洪水：流域中低山区局部范围夏季易产生暴雨，可形成洪水。此类洪水历时较短，一般只有十几个甚至是几个小时，陡涨陡落，峰高、量不大，但破坏性较大，对下游安全有一定的威胁。混合型洪水：此类洪水是指季节积雪融水与暴雨混合型洪水、高山冰雪融水与降雨混合型洪水。其洪水兼有两种洪水的特征、峰高量大，来势凶猛，洪水挟沙量大，危害大，但该洪水一般不超过7 天。</w:t>
      </w:r>
    </w:p>
    <w:p w14:paraId="0E8E4C59">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根据于田县区域水文地质普查报告，区内地下水资源丰富。灌区地下水资源可开采量1.58 亿m³/年，山前平原天然资源，天然补给量14.6155 亿m³/年，调节量4.25115 亿m³/年，山前平原总消耗量为9.10 亿m³/年，断面径流流出量0.724 亿m³/年，山前平原开采量9.8986 亿m³/年，沙漠覆盖区天然资源，地下径流断面流入量0.724 亿m³/年，调节量0.5215 亿m³/年，沙漠开采量3.8430 亿m³/年。</w:t>
      </w:r>
    </w:p>
    <w:p w14:paraId="7EA01404">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于田县位于昆仑山中段北麓，塔克拉玛干沙漠南缘。境内昆仑山海拔最高点6962m，海拔高程5000m 以上的山峰终年白雪皑皑，与北部海拔高程1318m 左右的无垠沙漠相映衬。自南向北可分为5 个迥然不同的自然景观带：极高、高、中山带，低山丘陵带，山前戈壁、砾石平原带，冲洪积平原带，沙漠带。从中生代末、新生代初，于田地貌已略具今天的轮廓：南部巍巍高山，北部广阔平原。第三系以来，以上升为主的新构造运动，冰期、间冰期的交替发生，使昆仑山大幅度抬升，并经受强烈的侵蚀、剥蚀，大量碎屑物质向北部地区倾泄，以及后期的干旱气候条件，使境内的原始地形受到极大的再塑造，形成自南向北，依次分带的现代地貌。</w:t>
      </w:r>
    </w:p>
    <w:p w14:paraId="215B9395">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由于上述原因开展于田县英巴格乡红柳大芸地电力提升改造建设项目，本项目由于田县发展和改革委员会主管，于田县英巴格乡人民政府负责实施，项目施工期为2024年</w:t>
      </w:r>
      <w:r>
        <w:rPr>
          <w:rFonts w:hint="eastAsia" w:ascii="仿宋_GB2312" w:cs="Times New Roman"/>
          <w:b w:val="0"/>
          <w:bCs/>
          <w:color w:val="auto"/>
          <w:szCs w:val="32"/>
          <w:highlight w:val="none"/>
          <w:lang w:val="en-US" w:eastAsia="zh-CN"/>
        </w:rPr>
        <w:t>1</w:t>
      </w:r>
      <w:r>
        <w:rPr>
          <w:rFonts w:hint="eastAsia" w:ascii="仿宋_GB2312" w:hAnsi="Times New Roman" w:cs="Times New Roman"/>
          <w:b w:val="0"/>
          <w:bCs/>
          <w:color w:val="auto"/>
          <w:szCs w:val="32"/>
          <w:highlight w:val="none"/>
          <w:lang w:val="en-US" w:eastAsia="zh-CN"/>
        </w:rPr>
        <w:t>月-2024年4月。</w:t>
      </w:r>
    </w:p>
    <w:p w14:paraId="4496C418">
      <w:pPr>
        <w:pStyle w:val="52"/>
        <w:ind w:left="3" w:right="3" w:firstLine="562"/>
        <w:rPr>
          <w:rFonts w:hint="eastAsia" w:ascii="仿宋_GB2312" w:hAnsi="Times New Roman" w:cs="Times New Roman"/>
          <w:b w:val="0"/>
          <w:bCs/>
          <w:color w:val="auto"/>
          <w:szCs w:val="32"/>
          <w:highlight w:val="none"/>
          <w:lang w:val="en-US" w:eastAsia="zh-CN"/>
        </w:rPr>
      </w:pPr>
      <w:r>
        <w:rPr>
          <w:rFonts w:hint="eastAsia" w:ascii="仿宋_GB2312" w:hAnsi="Times New Roman" w:cs="Times New Roman"/>
          <w:b w:val="0"/>
          <w:bCs/>
          <w:color w:val="auto"/>
          <w:szCs w:val="32"/>
          <w:highlight w:val="none"/>
          <w:lang w:val="en-US" w:eastAsia="zh-CN"/>
        </w:rPr>
        <w:t>工程实施后，能彻底改善供电区域内的安全供电、可靠供电，对该地块的持续稳产提供了可靠的必要条件。</w:t>
      </w:r>
    </w:p>
    <w:p w14:paraId="353CA534">
      <w:pPr>
        <w:spacing w:line="560" w:lineRule="exact"/>
        <w:ind w:firstLine="562" w:firstLineChars="200"/>
        <w:rPr>
          <w:rFonts w:hint="eastAsia"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3、项目实施依据及范围</w:t>
      </w:r>
    </w:p>
    <w:p w14:paraId="7B5C010E">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lang w:eastAsia="zh-CN"/>
        </w:rPr>
        <w:t>于田县英巴格乡红柳大芸地电力提升改造建设项目</w:t>
      </w:r>
      <w:r>
        <w:rPr>
          <w:rFonts w:hint="eastAsia" w:ascii="仿宋_GB2312" w:hAnsi="Times New Roman" w:eastAsia="仿宋_GB2312" w:cs="Times New Roman"/>
          <w:b w:val="0"/>
          <w:bCs w:val="0"/>
          <w:color w:val="auto"/>
          <w:sz w:val="28"/>
          <w:szCs w:val="32"/>
          <w:highlight w:val="none"/>
        </w:rPr>
        <w:t>，根据</w:t>
      </w:r>
      <w:r>
        <w:rPr>
          <w:rFonts w:hint="eastAsia" w:ascii="仿宋_GB2312" w:hAnsi="Times New Roman" w:eastAsia="仿宋_GB2312" w:cs="Times New Roman"/>
          <w:b w:val="0"/>
          <w:bCs w:val="0"/>
          <w:color w:val="auto"/>
          <w:sz w:val="28"/>
          <w:szCs w:val="32"/>
          <w:highlight w:val="none"/>
          <w:lang w:val="en-US" w:eastAsia="zh-CN"/>
        </w:rPr>
        <w:t>于田县发展和改革委员会下发《关于对于田县英巴格乡红柳大芸地电力提升改造建设项目实施方案的批复》（于发改项目〔2024〕26号）</w:t>
      </w:r>
      <w:r>
        <w:rPr>
          <w:rFonts w:hint="eastAsia" w:ascii="仿宋_GB2312" w:hAnsi="Times New Roman" w:eastAsia="仿宋_GB2312" w:cs="Times New Roman"/>
          <w:b w:val="0"/>
          <w:bCs w:val="0"/>
          <w:color w:val="auto"/>
          <w:sz w:val="28"/>
          <w:szCs w:val="32"/>
          <w:highlight w:val="none"/>
        </w:rPr>
        <w:t>，实施范围涉及</w:t>
      </w:r>
      <w:r>
        <w:rPr>
          <w:rFonts w:hint="eastAsia" w:ascii="仿宋_GB2312" w:hAnsi="Times New Roman" w:eastAsia="仿宋_GB2312" w:cs="Times New Roman"/>
          <w:b w:val="0"/>
          <w:bCs w:val="0"/>
          <w:color w:val="auto"/>
          <w:sz w:val="28"/>
          <w:szCs w:val="32"/>
          <w:highlight w:val="none"/>
          <w:lang w:val="en-US" w:eastAsia="zh-CN"/>
        </w:rPr>
        <w:t>3</w:t>
      </w:r>
      <w:r>
        <w:rPr>
          <w:rFonts w:hint="eastAsia" w:ascii="仿宋_GB2312" w:hAnsi="Times New Roman" w:eastAsia="仿宋_GB2312" w:cs="Times New Roman"/>
          <w:b w:val="0"/>
          <w:bCs w:val="0"/>
          <w:color w:val="auto"/>
          <w:sz w:val="28"/>
          <w:szCs w:val="32"/>
          <w:highlight w:val="none"/>
        </w:rPr>
        <w:t>个行政村即</w:t>
      </w:r>
      <w:r>
        <w:rPr>
          <w:rFonts w:hint="eastAsia" w:ascii="仿宋_GB2312" w:hAnsi="Times New Roman" w:eastAsia="仿宋_GB2312" w:cs="Times New Roman"/>
          <w:b w:val="0"/>
          <w:bCs w:val="0"/>
          <w:color w:val="auto"/>
          <w:sz w:val="28"/>
          <w:szCs w:val="32"/>
          <w:highlight w:val="none"/>
          <w:lang w:val="en-US" w:eastAsia="zh-CN"/>
        </w:rPr>
        <w:t>艾山玉荪村、艾山玉荪</w:t>
      </w:r>
      <w:r>
        <w:rPr>
          <w:rFonts w:hint="eastAsia" w:ascii="仿宋_GB2312" w:hAnsi="Times New Roman" w:eastAsia="仿宋_GB2312" w:cs="Times New Roman"/>
          <w:b w:val="0"/>
          <w:bCs w:val="0"/>
          <w:color w:val="auto"/>
          <w:sz w:val="28"/>
          <w:szCs w:val="32"/>
          <w:highlight w:val="none"/>
        </w:rPr>
        <w:t>村、</w:t>
      </w:r>
      <w:r>
        <w:rPr>
          <w:rFonts w:hint="eastAsia" w:ascii="仿宋_GB2312" w:hAnsi="Times New Roman" w:eastAsia="仿宋_GB2312" w:cs="Times New Roman"/>
          <w:b w:val="0"/>
          <w:bCs w:val="0"/>
          <w:color w:val="auto"/>
          <w:sz w:val="28"/>
          <w:szCs w:val="32"/>
          <w:highlight w:val="none"/>
          <w:lang w:val="en-US" w:eastAsia="zh-CN"/>
        </w:rPr>
        <w:t>库木托格拉克</w:t>
      </w:r>
      <w:r>
        <w:rPr>
          <w:rFonts w:hint="eastAsia" w:ascii="仿宋_GB2312" w:hAnsi="Times New Roman" w:eastAsia="仿宋_GB2312" w:cs="Times New Roman"/>
          <w:b w:val="0"/>
          <w:bCs w:val="0"/>
          <w:color w:val="auto"/>
          <w:sz w:val="28"/>
          <w:szCs w:val="32"/>
          <w:highlight w:val="none"/>
        </w:rPr>
        <w:t>村</w:t>
      </w:r>
      <w:r>
        <w:rPr>
          <w:rFonts w:hint="eastAsia" w:ascii="仿宋_GB2312" w:hAnsi="Times New Roman" w:eastAsia="仿宋_GB2312" w:cs="Times New Roman"/>
          <w:b w:val="0"/>
          <w:bCs w:val="0"/>
          <w:color w:val="auto"/>
          <w:sz w:val="28"/>
          <w:szCs w:val="32"/>
          <w:highlight w:val="none"/>
          <w:lang w:eastAsia="zh-CN"/>
        </w:rPr>
        <w:t>。</w:t>
      </w:r>
      <w:r>
        <w:rPr>
          <w:rFonts w:hint="eastAsia" w:ascii="仿宋_GB2312" w:hAnsi="Times New Roman" w:eastAsia="仿宋_GB2312" w:cs="Times New Roman"/>
          <w:b w:val="0"/>
          <w:bCs w:val="0"/>
          <w:color w:val="auto"/>
          <w:sz w:val="28"/>
          <w:szCs w:val="32"/>
          <w:highlight w:val="none"/>
        </w:rPr>
        <w:t>建设内容：</w:t>
      </w:r>
      <w:r>
        <w:rPr>
          <w:rFonts w:hint="eastAsia" w:ascii="仿宋_GB2312" w:hAnsi="Times New Roman" w:eastAsia="仿宋_GB2312" w:cs="Times New Roman"/>
          <w:b w:val="0"/>
          <w:bCs w:val="0"/>
          <w:color w:val="auto"/>
          <w:sz w:val="28"/>
          <w:szCs w:val="32"/>
          <w:highlight w:val="none"/>
          <w:lang w:val="en-US" w:eastAsia="zh-CN"/>
        </w:rPr>
        <w:t>在英巴格乡巴什兰帕村2000亩、艾山玉孙村1000亩、库木托格拉克村3000亩红柳大芸地电力改造提升，架设变压器及架设电线15公里。</w:t>
      </w:r>
    </w:p>
    <w:p w14:paraId="083C7894">
      <w:pPr>
        <w:spacing w:line="560" w:lineRule="exact"/>
        <w:ind w:firstLine="562" w:firstLineChars="200"/>
        <w:rPr>
          <w:rFonts w:hint="eastAsia"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4、项目基本性质及类别</w:t>
      </w:r>
    </w:p>
    <w:p w14:paraId="37655287">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lang w:eastAsia="zh-CN"/>
        </w:rPr>
        <w:t>于田县英巴格乡红柳大芸地电力提升改造建设项目</w:t>
      </w:r>
      <w:r>
        <w:rPr>
          <w:rFonts w:hint="eastAsia" w:ascii="仿宋_GB2312" w:hAnsi="Times New Roman" w:eastAsia="仿宋_GB2312" w:cs="Times New Roman"/>
          <w:b w:val="0"/>
          <w:bCs w:val="0"/>
          <w:color w:val="auto"/>
          <w:sz w:val="28"/>
          <w:szCs w:val="32"/>
          <w:highlight w:val="none"/>
        </w:rPr>
        <w:t>性质为</w:t>
      </w:r>
      <w:r>
        <w:rPr>
          <w:rFonts w:hint="eastAsia" w:ascii="仿宋_GB2312" w:hAnsi="Times New Roman" w:eastAsia="仿宋_GB2312" w:cs="Times New Roman"/>
          <w:b w:val="0"/>
          <w:bCs w:val="0"/>
          <w:color w:val="auto"/>
          <w:sz w:val="28"/>
          <w:szCs w:val="32"/>
          <w:highlight w:val="none"/>
          <w:lang w:val="en-US" w:eastAsia="zh-CN"/>
        </w:rPr>
        <w:t>其他</w:t>
      </w:r>
      <w:r>
        <w:rPr>
          <w:rFonts w:hint="eastAsia" w:ascii="仿宋_GB2312" w:hAnsi="Times New Roman" w:eastAsia="仿宋_GB2312" w:cs="Times New Roman"/>
          <w:b w:val="0"/>
          <w:bCs w:val="0"/>
          <w:color w:val="auto"/>
          <w:sz w:val="28"/>
          <w:szCs w:val="32"/>
          <w:highlight w:val="none"/>
        </w:rPr>
        <w:t>项目，属于乡村振兴衔接资金项目。</w:t>
      </w:r>
    </w:p>
    <w:p w14:paraId="31C9999D">
      <w:pPr>
        <w:spacing w:line="560" w:lineRule="exact"/>
        <w:ind w:firstLine="546" w:firstLineChars="200"/>
        <w:rPr>
          <w:rStyle w:val="19"/>
          <w:rFonts w:hint="eastAsia" w:ascii="楷体" w:hAnsi="楷体" w:eastAsia="楷体" w:cs="楷体"/>
          <w:color w:val="auto"/>
          <w:spacing w:val="-4"/>
          <w:sz w:val="28"/>
          <w:szCs w:val="32"/>
          <w:highlight w:val="none"/>
        </w:rPr>
      </w:pPr>
      <w:r>
        <w:rPr>
          <w:rStyle w:val="19"/>
          <w:rFonts w:hint="eastAsia" w:ascii="楷体" w:hAnsi="楷体" w:eastAsia="楷体" w:cs="楷体"/>
          <w:color w:val="auto"/>
          <w:spacing w:val="-4"/>
          <w:sz w:val="28"/>
          <w:szCs w:val="32"/>
          <w:highlight w:val="none"/>
        </w:rPr>
        <w:t>（二）财政专项乡村振兴衔接资金项目绩效目标设定情况</w:t>
      </w:r>
    </w:p>
    <w:p w14:paraId="42D64F8D">
      <w:pPr>
        <w:spacing w:line="560" w:lineRule="exact"/>
        <w:ind w:firstLine="562" w:firstLineChars="200"/>
        <w:rPr>
          <w:rFonts w:hint="eastAsia"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1F3459A9">
      <w:pPr>
        <w:spacing w:line="560" w:lineRule="exact"/>
        <w:ind w:firstLine="560" w:firstLineChars="200"/>
        <w:rPr>
          <w:rFonts w:hint="default" w:ascii="仿宋_GB2312" w:hAnsi="Times New Roman" w:eastAsia="仿宋_GB2312" w:cs="Times New Roman"/>
          <w:b w:val="0"/>
          <w:bCs w:val="0"/>
          <w:color w:val="auto"/>
          <w:sz w:val="28"/>
          <w:szCs w:val="32"/>
          <w:highlight w:val="none"/>
          <w:lang w:val="en-US" w:eastAsia="zh-CN"/>
        </w:rPr>
      </w:pPr>
      <w:r>
        <w:rPr>
          <w:rFonts w:hint="eastAsia" w:ascii="仿宋_GB2312" w:hAnsi="Times New Roman" w:eastAsia="仿宋_GB2312" w:cs="Times New Roman"/>
          <w:b w:val="0"/>
          <w:bCs w:val="0"/>
          <w:color w:val="auto"/>
          <w:sz w:val="28"/>
          <w:szCs w:val="32"/>
          <w:highlight w:val="none"/>
          <w:lang w:val="en-US" w:eastAsia="zh-CN"/>
        </w:rPr>
        <w:t>于田县英巴格乡红柳大芸地电力提升改造建设项目总投资300万元，全部申请以乡村振兴衔接资金。主要内容为：在英巴格乡巴什兰帕村2000亩、艾山玉孙村1000亩、库木托格拉克村3000亩红柳大芸地电力改造提升，架设变压器及架设电线15公里。</w:t>
      </w:r>
    </w:p>
    <w:p w14:paraId="3248461C">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通过</w:t>
      </w:r>
      <w:r>
        <w:rPr>
          <w:rFonts w:hint="eastAsia" w:ascii="仿宋_GB2312" w:hAnsi="Times New Roman" w:eastAsia="仿宋_GB2312" w:cs="Times New Roman"/>
          <w:b w:val="0"/>
          <w:bCs w:val="0"/>
          <w:color w:val="auto"/>
          <w:sz w:val="28"/>
          <w:szCs w:val="32"/>
          <w:highlight w:val="none"/>
          <w:lang w:eastAsia="zh-CN"/>
        </w:rPr>
        <w:t>于田县英巴格乡红柳大芸地电力提升改造建设项目</w:t>
      </w:r>
      <w:r>
        <w:rPr>
          <w:rFonts w:hint="eastAsia" w:ascii="仿宋_GB2312" w:hAnsi="Times New Roman" w:eastAsia="仿宋_GB2312" w:cs="Times New Roman"/>
          <w:b w:val="0"/>
          <w:bCs w:val="0"/>
          <w:color w:val="auto"/>
          <w:sz w:val="28"/>
          <w:szCs w:val="32"/>
          <w:highlight w:val="none"/>
        </w:rPr>
        <w:t>实施，促进</w:t>
      </w:r>
      <w:r>
        <w:rPr>
          <w:rFonts w:hint="eastAsia" w:ascii="仿宋_GB2312" w:hAnsi="Times New Roman" w:eastAsia="仿宋_GB2312" w:cs="Times New Roman"/>
          <w:b w:val="0"/>
          <w:bCs w:val="0"/>
          <w:color w:val="auto"/>
          <w:sz w:val="28"/>
          <w:szCs w:val="32"/>
          <w:highlight w:val="none"/>
          <w:lang w:val="en-US" w:eastAsia="zh-CN"/>
        </w:rPr>
        <w:t>大芸</w:t>
      </w:r>
      <w:r>
        <w:rPr>
          <w:rFonts w:hint="eastAsia" w:ascii="仿宋_GB2312" w:hAnsi="Times New Roman" w:eastAsia="仿宋_GB2312" w:cs="Times New Roman"/>
          <w:b w:val="0"/>
          <w:bCs w:val="0"/>
          <w:color w:val="auto"/>
          <w:sz w:val="28"/>
          <w:szCs w:val="32"/>
          <w:highlight w:val="none"/>
        </w:rPr>
        <w:t>地建设，改善生产，提高</w:t>
      </w:r>
      <w:r>
        <w:rPr>
          <w:rFonts w:hint="eastAsia" w:ascii="仿宋_GB2312" w:hAnsi="Times New Roman" w:eastAsia="仿宋_GB2312" w:cs="Times New Roman"/>
          <w:b w:val="0"/>
          <w:bCs w:val="0"/>
          <w:color w:val="auto"/>
          <w:sz w:val="28"/>
          <w:szCs w:val="32"/>
          <w:highlight w:val="none"/>
          <w:lang w:eastAsia="zh-CN"/>
        </w:rPr>
        <w:t>大芸</w:t>
      </w:r>
      <w:r>
        <w:rPr>
          <w:rFonts w:hint="eastAsia" w:ascii="仿宋_GB2312" w:hAnsi="Times New Roman" w:eastAsia="仿宋_GB2312" w:cs="Times New Roman"/>
          <w:b w:val="0"/>
          <w:bCs w:val="0"/>
          <w:color w:val="auto"/>
          <w:sz w:val="28"/>
          <w:szCs w:val="32"/>
          <w:highlight w:val="none"/>
        </w:rPr>
        <w:t>产能和经济效益。</w:t>
      </w:r>
      <w:r>
        <w:rPr>
          <w:rFonts w:hint="eastAsia" w:ascii="仿宋_GB2312" w:hAnsi="Times New Roman" w:eastAsia="仿宋_GB2312" w:cs="Times New Roman"/>
          <w:b w:val="0"/>
          <w:bCs w:val="0"/>
          <w:color w:val="auto"/>
          <w:sz w:val="28"/>
          <w:szCs w:val="32"/>
          <w:highlight w:val="none"/>
        </w:rPr>
        <w:tab/>
      </w:r>
      <w:r>
        <w:rPr>
          <w:rFonts w:hint="eastAsia" w:ascii="仿宋_GB2312" w:hAnsi="Times New Roman" w:eastAsia="仿宋_GB2312" w:cs="Times New Roman"/>
          <w:b w:val="0"/>
          <w:bCs w:val="0"/>
          <w:color w:val="auto"/>
          <w:sz w:val="28"/>
          <w:szCs w:val="32"/>
          <w:highlight w:val="none"/>
        </w:rPr>
        <w:tab/>
      </w:r>
      <w:r>
        <w:rPr>
          <w:rFonts w:hint="eastAsia" w:ascii="仿宋_GB2312" w:hAnsi="Times New Roman" w:eastAsia="仿宋_GB2312" w:cs="Times New Roman"/>
          <w:b w:val="0"/>
          <w:bCs w:val="0"/>
          <w:color w:val="auto"/>
          <w:sz w:val="28"/>
          <w:szCs w:val="32"/>
          <w:highlight w:val="none"/>
        </w:rPr>
        <w:tab/>
      </w:r>
      <w:r>
        <w:rPr>
          <w:rFonts w:hint="eastAsia" w:ascii="仿宋_GB2312" w:hAnsi="Times New Roman" w:eastAsia="仿宋_GB2312" w:cs="Times New Roman"/>
          <w:b w:val="0"/>
          <w:bCs w:val="0"/>
          <w:color w:val="auto"/>
          <w:sz w:val="28"/>
          <w:szCs w:val="32"/>
          <w:highlight w:val="none"/>
        </w:rPr>
        <w:tab/>
      </w:r>
      <w:r>
        <w:rPr>
          <w:rFonts w:hint="eastAsia" w:ascii="仿宋_GB2312" w:hAnsi="Times New Roman" w:eastAsia="仿宋_GB2312" w:cs="Times New Roman"/>
          <w:b w:val="0"/>
          <w:bCs w:val="0"/>
          <w:color w:val="auto"/>
          <w:sz w:val="28"/>
          <w:szCs w:val="32"/>
          <w:highlight w:val="none"/>
        </w:rPr>
        <w:tab/>
      </w:r>
      <w:r>
        <w:rPr>
          <w:rFonts w:hint="eastAsia" w:ascii="仿宋_GB2312" w:hAnsi="Times New Roman" w:eastAsia="仿宋_GB2312" w:cs="Times New Roman"/>
          <w:b w:val="0"/>
          <w:bCs w:val="0"/>
          <w:color w:val="auto"/>
          <w:sz w:val="28"/>
          <w:szCs w:val="32"/>
          <w:highlight w:val="none"/>
        </w:rPr>
        <w:tab/>
      </w:r>
    </w:p>
    <w:p w14:paraId="374B6FC8">
      <w:pPr>
        <w:spacing w:line="560" w:lineRule="exact"/>
        <w:ind w:firstLine="562" w:firstLineChars="200"/>
        <w:rPr>
          <w:rFonts w:hint="eastAsia"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2.具体绩效指标</w:t>
      </w:r>
    </w:p>
    <w:p w14:paraId="1D74A91F">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根据《自治区财政专项扶贫资金绩效管理操作指南》（新财预〔2019〕170号）的规定，结合项目具体情况，本项目共设置一级指标3个，二级指标</w:t>
      </w:r>
      <w:r>
        <w:rPr>
          <w:rFonts w:hint="eastAsia" w:ascii="仿宋_GB2312" w:hAnsi="Times New Roman" w:eastAsia="仿宋_GB2312" w:cs="Times New Roman"/>
          <w:b w:val="0"/>
          <w:bCs w:val="0"/>
          <w:color w:val="auto"/>
          <w:sz w:val="28"/>
          <w:szCs w:val="32"/>
          <w:highlight w:val="none"/>
          <w:lang w:val="en-US" w:eastAsia="zh-CN"/>
        </w:rPr>
        <w:t>7</w:t>
      </w:r>
      <w:r>
        <w:rPr>
          <w:rFonts w:hint="eastAsia" w:ascii="仿宋_GB2312" w:hAnsi="Times New Roman" w:eastAsia="仿宋_GB2312" w:cs="Times New Roman"/>
          <w:b w:val="0"/>
          <w:bCs w:val="0"/>
          <w:color w:val="auto"/>
          <w:sz w:val="28"/>
          <w:szCs w:val="32"/>
          <w:highlight w:val="none"/>
        </w:rPr>
        <w:t>个，三级指标1</w:t>
      </w:r>
      <w:r>
        <w:rPr>
          <w:rFonts w:hint="eastAsia" w:ascii="仿宋_GB2312" w:hAnsi="Times New Roman" w:eastAsia="仿宋_GB2312" w:cs="Times New Roman"/>
          <w:b w:val="0"/>
          <w:bCs w:val="0"/>
          <w:color w:val="auto"/>
          <w:sz w:val="28"/>
          <w:szCs w:val="32"/>
          <w:highlight w:val="none"/>
          <w:lang w:val="en-US" w:eastAsia="zh-CN"/>
        </w:rPr>
        <w:t>2</w:t>
      </w:r>
      <w:r>
        <w:rPr>
          <w:rFonts w:hint="eastAsia" w:ascii="仿宋_GB2312" w:hAnsi="Times New Roman" w:eastAsia="仿宋_GB2312" w:cs="Times New Roman"/>
          <w:b w:val="0"/>
          <w:bCs w:val="0"/>
          <w:color w:val="auto"/>
          <w:sz w:val="28"/>
          <w:szCs w:val="32"/>
          <w:highlight w:val="none"/>
        </w:rPr>
        <w:t>个。</w:t>
      </w:r>
    </w:p>
    <w:p w14:paraId="194B4AD7">
      <w:pPr>
        <w:pStyle w:val="29"/>
        <w:spacing w:before="120"/>
        <w:ind w:left="0" w:leftChars="0" w:right="3" w:firstLine="562" w:firstLineChars="200"/>
        <w:rPr>
          <w:rFonts w:hint="eastAsia" w:ascii="宋体" w:hAnsi="宋体"/>
          <w:color w:val="auto"/>
          <w:highlight w:val="none"/>
        </w:rPr>
      </w:pPr>
      <w:r>
        <w:rPr>
          <w:rFonts w:hint="eastAsia" w:ascii="宋体" w:hAnsi="宋体"/>
          <w:color w:val="auto"/>
          <w:highlight w:val="none"/>
        </w:rPr>
        <w:t>二、绩效自评工作开展情况</w:t>
      </w:r>
    </w:p>
    <w:p w14:paraId="239655F2">
      <w:pPr>
        <w:spacing w:line="560" w:lineRule="exact"/>
        <w:ind w:firstLine="546" w:firstLineChars="200"/>
        <w:rPr>
          <w:rStyle w:val="19"/>
          <w:rFonts w:hint="eastAsia" w:ascii="楷体" w:hAnsi="楷体" w:eastAsia="楷体" w:cs="楷体"/>
          <w:color w:val="auto"/>
          <w:spacing w:val="-4"/>
          <w:sz w:val="28"/>
          <w:szCs w:val="32"/>
          <w:highlight w:val="none"/>
        </w:rPr>
      </w:pPr>
      <w:r>
        <w:rPr>
          <w:rStyle w:val="19"/>
          <w:rFonts w:hint="eastAsia" w:ascii="楷体" w:hAnsi="楷体" w:eastAsia="楷体" w:cs="楷体"/>
          <w:color w:val="auto"/>
          <w:spacing w:val="-4"/>
          <w:sz w:val="28"/>
          <w:szCs w:val="32"/>
          <w:highlight w:val="none"/>
        </w:rPr>
        <w:t>（一）绩效自评工作开展范围</w:t>
      </w:r>
    </w:p>
    <w:p w14:paraId="6E070869">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本次自评范围涵盖项目总体绩效目标、各项绩效指标完成情况以及预算执行情况。</w:t>
      </w:r>
    </w:p>
    <w:p w14:paraId="177F1B75">
      <w:pPr>
        <w:spacing w:line="560" w:lineRule="exact"/>
        <w:ind w:firstLine="546" w:firstLineChars="200"/>
        <w:rPr>
          <w:rStyle w:val="19"/>
          <w:rFonts w:hint="eastAsia" w:ascii="楷体" w:hAnsi="楷体" w:eastAsia="楷体" w:cs="楷体"/>
          <w:color w:val="auto"/>
          <w:spacing w:val="-4"/>
          <w:sz w:val="28"/>
          <w:szCs w:val="32"/>
          <w:highlight w:val="none"/>
        </w:rPr>
      </w:pPr>
      <w:r>
        <w:rPr>
          <w:rStyle w:val="19"/>
          <w:rFonts w:hint="eastAsia" w:ascii="楷体" w:hAnsi="楷体" w:eastAsia="楷体" w:cs="楷体"/>
          <w:color w:val="auto"/>
          <w:spacing w:val="-4"/>
          <w:sz w:val="28"/>
          <w:szCs w:val="32"/>
          <w:highlight w:val="none"/>
        </w:rPr>
        <w:t>（二）绩效自评工作对象</w:t>
      </w:r>
    </w:p>
    <w:p w14:paraId="516D4BD8">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hAnsi="Times New Roman" w:eastAsia="仿宋_GB2312" w:cs="Times New Roman"/>
          <w:b w:val="0"/>
          <w:bCs w:val="0"/>
          <w:color w:val="auto"/>
          <w:sz w:val="28"/>
          <w:szCs w:val="32"/>
          <w:highlight w:val="none"/>
          <w:lang w:eastAsia="zh-CN"/>
        </w:rPr>
        <w:t>于田县英巴格乡红柳大芸地电力提升改造建设项目</w:t>
      </w:r>
      <w:r>
        <w:rPr>
          <w:rFonts w:hint="eastAsia" w:ascii="仿宋_GB2312" w:hAnsi="Times New Roman" w:eastAsia="仿宋_GB2312" w:cs="Times New Roman"/>
          <w:b w:val="0"/>
          <w:bCs w:val="0"/>
          <w:color w:val="auto"/>
          <w:sz w:val="28"/>
          <w:szCs w:val="32"/>
          <w:highlight w:val="none"/>
        </w:rPr>
        <w:t>资金的使用管理、项目产出、综合效益等进行评价。</w:t>
      </w:r>
    </w:p>
    <w:p w14:paraId="3E7C1C8C">
      <w:pPr>
        <w:spacing w:line="560" w:lineRule="exact"/>
        <w:ind w:firstLine="546" w:firstLineChars="200"/>
        <w:rPr>
          <w:rStyle w:val="19"/>
          <w:rFonts w:hint="eastAsia" w:ascii="楷体" w:hAnsi="楷体" w:eastAsia="楷体" w:cs="楷体"/>
          <w:color w:val="auto"/>
          <w:spacing w:val="-4"/>
          <w:sz w:val="28"/>
          <w:szCs w:val="32"/>
          <w:highlight w:val="none"/>
        </w:rPr>
      </w:pPr>
      <w:r>
        <w:rPr>
          <w:rStyle w:val="19"/>
          <w:rFonts w:hint="eastAsia" w:ascii="楷体" w:hAnsi="楷体" w:eastAsia="楷体" w:cs="楷体"/>
          <w:color w:val="auto"/>
          <w:spacing w:val="-4"/>
          <w:sz w:val="28"/>
          <w:szCs w:val="32"/>
          <w:highlight w:val="none"/>
        </w:rPr>
        <w:t>（三）绩效自评工作方式</w:t>
      </w:r>
    </w:p>
    <w:p w14:paraId="183606CD">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1.前期准备</w:t>
      </w:r>
    </w:p>
    <w:p w14:paraId="11AE6DAA">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2</w:t>
      </w:r>
      <w:r>
        <w:rPr>
          <w:rFonts w:hint="eastAsia" w:ascii="仿宋_GB2312" w:hAnsi="Times New Roman" w:eastAsia="仿宋_GB2312" w:cs="Times New Roman"/>
          <w:b w:val="0"/>
          <w:bCs w:val="0"/>
          <w:color w:val="auto"/>
          <w:sz w:val="28"/>
          <w:szCs w:val="32"/>
          <w:highlight w:val="none"/>
          <w:lang w:val="en-US" w:eastAsia="zh-CN"/>
        </w:rPr>
        <w:t>024</w:t>
      </w:r>
      <w:r>
        <w:rPr>
          <w:rFonts w:hint="eastAsia" w:ascii="仿宋_GB2312" w:hAnsi="Times New Roman" w:eastAsia="仿宋_GB2312" w:cs="Times New Roman"/>
          <w:b w:val="0"/>
          <w:bCs w:val="0"/>
          <w:color w:val="auto"/>
          <w:sz w:val="28"/>
          <w:szCs w:val="32"/>
          <w:highlight w:val="none"/>
        </w:rPr>
        <w:t>年，认真学习相关要求与规定，成立绩效自评工作组，作为绩效自评工作具体实施机构。成员构成如下：</w:t>
      </w:r>
    </w:p>
    <w:p w14:paraId="734D80A7">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组  长</w:t>
      </w:r>
      <w:r>
        <w:rPr>
          <w:rFonts w:hint="eastAsia" w:ascii="仿宋_GB2312" w:hAnsi="Times New Roman" w:eastAsia="仿宋_GB2312" w:cs="Times New Roman"/>
          <w:b w:val="0"/>
          <w:bCs w:val="0"/>
          <w:color w:val="auto"/>
          <w:sz w:val="28"/>
          <w:szCs w:val="32"/>
          <w:highlight w:val="none"/>
          <w:lang w:eastAsia="zh-CN"/>
        </w:rPr>
        <w:t>：</w:t>
      </w:r>
      <w:r>
        <w:rPr>
          <w:rFonts w:hint="eastAsia" w:ascii="仿宋_GB2312" w:hAnsi="Times New Roman" w:eastAsia="仿宋_GB2312" w:cs="Times New Roman"/>
          <w:b w:val="0"/>
          <w:bCs w:val="0"/>
          <w:color w:val="auto"/>
          <w:sz w:val="28"/>
          <w:szCs w:val="32"/>
          <w:highlight w:val="none"/>
        </w:rPr>
        <w:t>艾山江·吐尔送</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 xml:space="preserve">党委副书记、乡长 </w:t>
      </w:r>
    </w:p>
    <w:p w14:paraId="0DA44009">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副组长：艾斯克尔·热西丁</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农村经济办主任</w:t>
      </w:r>
    </w:p>
    <w:p w14:paraId="30BFD82C">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成 员：葛玉翔</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党委委员武装部部长</w:t>
      </w:r>
    </w:p>
    <w:p w14:paraId="31806AF6">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 xml:space="preserve">麦图荪·买买提  </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财政所所长</w:t>
      </w:r>
    </w:p>
    <w:p w14:paraId="491BEB84">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周文韬</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乡村振兴专干</w:t>
      </w:r>
    </w:p>
    <w:p w14:paraId="38619459">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周伟义</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乡村振兴专干</w:t>
      </w:r>
    </w:p>
    <w:p w14:paraId="5C889372">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吾布加</w:t>
      </w:r>
      <w:r>
        <w:rPr>
          <w:rFonts w:hint="eastAsia" w:ascii="仿宋_GB2312" w:hAnsi="Times New Roman" w:eastAsia="仿宋_GB2312" w:cs="Times New Roman"/>
          <w:b w:val="0"/>
          <w:bCs w:val="0"/>
          <w:color w:val="auto"/>
          <w:sz w:val="28"/>
          <w:szCs w:val="32"/>
          <w:highlight w:val="none"/>
          <w:lang w:val="en-US" w:eastAsia="zh-CN"/>
        </w:rPr>
        <w:t xml:space="preserve">                           </w:t>
      </w:r>
      <w:r>
        <w:rPr>
          <w:rFonts w:hint="eastAsia" w:ascii="仿宋_GB2312" w:hAnsi="Times New Roman" w:eastAsia="仿宋_GB2312" w:cs="Times New Roman"/>
          <w:b w:val="0"/>
          <w:bCs w:val="0"/>
          <w:color w:val="auto"/>
          <w:sz w:val="28"/>
          <w:szCs w:val="32"/>
          <w:highlight w:val="none"/>
        </w:rPr>
        <w:t>乡村振兴专干</w:t>
      </w:r>
    </w:p>
    <w:p w14:paraId="093D2929">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办公室负责项目的计划制定、实施，督查、指导相关单位共同做好项目管理工作。切实把该项目作为</w:t>
      </w:r>
      <w:r>
        <w:rPr>
          <w:rFonts w:hint="eastAsia" w:ascii="仿宋_GB2312" w:hAnsi="Times New Roman" w:eastAsia="仿宋_GB2312" w:cs="Times New Roman"/>
          <w:b w:val="0"/>
          <w:bCs w:val="0"/>
          <w:color w:val="auto"/>
          <w:sz w:val="28"/>
          <w:szCs w:val="32"/>
          <w:highlight w:val="none"/>
          <w:lang w:val="en-US" w:eastAsia="zh-CN"/>
        </w:rPr>
        <w:t>乡村振兴建设</w:t>
      </w:r>
      <w:r>
        <w:rPr>
          <w:rFonts w:hint="eastAsia" w:ascii="仿宋_GB2312" w:hAnsi="Times New Roman" w:eastAsia="仿宋_GB2312" w:cs="Times New Roman"/>
          <w:b w:val="0"/>
          <w:bCs w:val="0"/>
          <w:color w:val="auto"/>
          <w:sz w:val="28"/>
          <w:szCs w:val="32"/>
          <w:highlight w:val="none"/>
        </w:rPr>
        <w:t>的重要举措来抓，加强领导，明确分工，落实责任，密切配合，形成合力，推动该项目顺利实施。由</w:t>
      </w:r>
      <w:r>
        <w:rPr>
          <w:rFonts w:hint="eastAsia" w:ascii="仿宋_GB2312" w:hAnsi="Times New Roman" w:eastAsia="仿宋_GB2312" w:cs="Times New Roman"/>
          <w:b w:val="0"/>
          <w:bCs w:val="0"/>
          <w:color w:val="auto"/>
          <w:sz w:val="28"/>
          <w:szCs w:val="32"/>
          <w:highlight w:val="none"/>
          <w:lang w:val="en-US" w:eastAsia="zh-CN"/>
        </w:rPr>
        <w:t>项目办</w:t>
      </w:r>
      <w:r>
        <w:rPr>
          <w:rFonts w:hint="eastAsia" w:ascii="仿宋_GB2312" w:hAnsi="Times New Roman" w:eastAsia="仿宋_GB2312" w:cs="Times New Roman"/>
          <w:b w:val="0"/>
          <w:bCs w:val="0"/>
          <w:color w:val="auto"/>
          <w:sz w:val="28"/>
          <w:szCs w:val="32"/>
          <w:highlight w:val="none"/>
        </w:rPr>
        <w:t>牵头，负责整个项目的统筹安排和经费使用管理工作，实现分级管理制度。</w:t>
      </w:r>
    </w:p>
    <w:p w14:paraId="279315D0">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2.组织实施</w:t>
      </w:r>
    </w:p>
    <w:p w14:paraId="405C88B7">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成立绩效自评工作组后，经评价组通过实地调研等方式，采用综合分析法对项目的决策、管理、绩效进行的综合评价分析。</w:t>
      </w:r>
    </w:p>
    <w:p w14:paraId="09A3297C">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3.分析评价</w:t>
      </w:r>
    </w:p>
    <w:p w14:paraId="6E363CE5">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首先按照指标体系进行定量、定性分析。其次开展量化打分、综合评价工作，形成初步评价结论。最后归纳整体项目情况与存在问题，撰写绩效自评报告。</w:t>
      </w:r>
    </w:p>
    <w:p w14:paraId="7CBB5810">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（1）绩效自评指标体系</w:t>
      </w:r>
    </w:p>
    <w:p w14:paraId="0328FEAC">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hAnsi="Times New Roman" w:eastAsia="仿宋_GB2312" w:cs="Times New Roman"/>
          <w:b w:val="0"/>
          <w:bCs w:val="0"/>
          <w:color w:val="auto"/>
          <w:sz w:val="28"/>
          <w:szCs w:val="32"/>
          <w:highlight w:val="none"/>
          <w:lang w:val="en-US" w:eastAsia="zh-CN"/>
        </w:rPr>
        <w:t>12</w:t>
      </w:r>
      <w:r>
        <w:rPr>
          <w:rFonts w:hint="eastAsia" w:ascii="仿宋_GB2312" w:hAnsi="Times New Roman" w:eastAsia="仿宋_GB2312" w:cs="Times New Roman"/>
          <w:b w:val="0"/>
          <w:bCs w:val="0"/>
          <w:color w:val="auto"/>
          <w:sz w:val="28"/>
          <w:szCs w:val="32"/>
          <w:highlight w:val="none"/>
        </w:rPr>
        <w:t>分、质量指标</w:t>
      </w:r>
      <w:r>
        <w:rPr>
          <w:rFonts w:hint="eastAsia" w:ascii="仿宋_GB2312" w:hAnsi="Times New Roman" w:eastAsia="仿宋_GB2312" w:cs="Times New Roman"/>
          <w:b w:val="0"/>
          <w:bCs w:val="0"/>
          <w:color w:val="auto"/>
          <w:sz w:val="28"/>
          <w:szCs w:val="32"/>
          <w:highlight w:val="none"/>
          <w:lang w:val="en-US" w:eastAsia="zh-CN"/>
        </w:rPr>
        <w:t>11</w:t>
      </w:r>
      <w:r>
        <w:rPr>
          <w:rFonts w:hint="eastAsia" w:ascii="仿宋_GB2312" w:hAnsi="Times New Roman" w:eastAsia="仿宋_GB2312" w:cs="Times New Roman"/>
          <w:b w:val="0"/>
          <w:bCs w:val="0"/>
          <w:color w:val="auto"/>
          <w:sz w:val="28"/>
          <w:szCs w:val="32"/>
          <w:highlight w:val="none"/>
        </w:rPr>
        <w:t>分，时效指标</w:t>
      </w:r>
      <w:r>
        <w:rPr>
          <w:rFonts w:hint="eastAsia" w:ascii="仿宋_GB2312" w:hAnsi="Times New Roman" w:eastAsia="仿宋_GB2312" w:cs="Times New Roman"/>
          <w:b w:val="0"/>
          <w:bCs w:val="0"/>
          <w:color w:val="auto"/>
          <w:sz w:val="28"/>
          <w:szCs w:val="32"/>
          <w:highlight w:val="none"/>
          <w:lang w:val="en-US" w:eastAsia="zh-CN"/>
        </w:rPr>
        <w:t>15</w:t>
      </w:r>
      <w:r>
        <w:rPr>
          <w:rFonts w:hint="eastAsia" w:ascii="仿宋_GB2312" w:hAnsi="Times New Roman" w:eastAsia="仿宋_GB2312" w:cs="Times New Roman"/>
          <w:b w:val="0"/>
          <w:bCs w:val="0"/>
          <w:color w:val="auto"/>
          <w:sz w:val="28"/>
          <w:szCs w:val="32"/>
          <w:highlight w:val="none"/>
        </w:rPr>
        <w:t>分、成本指标</w:t>
      </w:r>
      <w:r>
        <w:rPr>
          <w:rFonts w:hint="eastAsia" w:ascii="仿宋_GB2312" w:hAnsi="Times New Roman" w:eastAsia="仿宋_GB2312" w:cs="Times New Roman"/>
          <w:b w:val="0"/>
          <w:bCs w:val="0"/>
          <w:color w:val="auto"/>
          <w:sz w:val="28"/>
          <w:szCs w:val="32"/>
          <w:highlight w:val="none"/>
          <w:lang w:val="en-US" w:eastAsia="zh-CN"/>
        </w:rPr>
        <w:t>12</w:t>
      </w:r>
      <w:r>
        <w:rPr>
          <w:rFonts w:hint="eastAsia" w:ascii="仿宋_GB2312" w:hAnsi="Times New Roman" w:eastAsia="仿宋_GB2312" w:cs="Times New Roman"/>
          <w:b w:val="0"/>
          <w:bCs w:val="0"/>
          <w:color w:val="auto"/>
          <w:sz w:val="28"/>
          <w:szCs w:val="32"/>
          <w:highlight w:val="none"/>
        </w:rPr>
        <w:t>分、社会效益指标</w:t>
      </w:r>
      <w:r>
        <w:rPr>
          <w:rFonts w:hint="eastAsia" w:ascii="仿宋_GB2312" w:hAnsi="Times New Roman" w:eastAsia="仿宋_GB2312" w:cs="Times New Roman"/>
          <w:b w:val="0"/>
          <w:bCs w:val="0"/>
          <w:color w:val="auto"/>
          <w:sz w:val="28"/>
          <w:szCs w:val="32"/>
          <w:highlight w:val="none"/>
          <w:lang w:val="en-US" w:eastAsia="zh-CN"/>
        </w:rPr>
        <w:t>15</w:t>
      </w:r>
      <w:r>
        <w:rPr>
          <w:rFonts w:hint="eastAsia" w:ascii="仿宋_GB2312" w:hAnsi="Times New Roman" w:eastAsia="仿宋_GB2312" w:cs="Times New Roman"/>
          <w:b w:val="0"/>
          <w:bCs w:val="0"/>
          <w:color w:val="auto"/>
          <w:sz w:val="28"/>
          <w:szCs w:val="32"/>
          <w:highlight w:val="none"/>
        </w:rPr>
        <w:t>分、</w:t>
      </w:r>
      <w:r>
        <w:rPr>
          <w:rFonts w:hint="eastAsia" w:ascii="仿宋_GB2312" w:hAnsi="Times New Roman" w:eastAsia="仿宋_GB2312" w:cs="Times New Roman"/>
          <w:b w:val="0"/>
          <w:bCs w:val="0"/>
          <w:color w:val="auto"/>
          <w:sz w:val="28"/>
          <w:szCs w:val="32"/>
          <w:highlight w:val="none"/>
          <w:lang w:val="en-US" w:eastAsia="zh-CN"/>
        </w:rPr>
        <w:t>可持续影响指标15分、</w:t>
      </w:r>
      <w:r>
        <w:rPr>
          <w:rFonts w:hint="eastAsia" w:ascii="仿宋_GB2312" w:hAnsi="Times New Roman" w:eastAsia="仿宋_GB2312" w:cs="Times New Roman"/>
          <w:b w:val="0"/>
          <w:bCs w:val="0"/>
          <w:color w:val="auto"/>
          <w:sz w:val="28"/>
          <w:szCs w:val="32"/>
          <w:highlight w:val="none"/>
        </w:rPr>
        <w:t>满意度指标10分，预算资金执行率10分</w:t>
      </w:r>
      <w:r>
        <w:rPr>
          <w:rFonts w:hint="eastAsia" w:ascii="仿宋_GB2312" w:hAnsi="Times New Roman" w:eastAsia="仿宋_GB2312" w:cs="Times New Roman"/>
          <w:b w:val="0"/>
          <w:bCs w:val="0"/>
          <w:color w:val="auto"/>
          <w:sz w:val="28"/>
          <w:szCs w:val="32"/>
          <w:highlight w:val="none"/>
          <w:lang w:eastAsia="zh-CN"/>
        </w:rPr>
        <w:t>，</w:t>
      </w:r>
      <w:r>
        <w:rPr>
          <w:rFonts w:hint="eastAsia" w:ascii="仿宋_GB2312" w:hAnsi="Times New Roman" w:eastAsia="仿宋_GB2312" w:cs="Times New Roman"/>
          <w:b w:val="0"/>
          <w:bCs w:val="0"/>
          <w:color w:val="auto"/>
          <w:sz w:val="28"/>
          <w:szCs w:val="32"/>
          <w:highlight w:val="none"/>
        </w:rPr>
        <w:t>满分100分。</w:t>
      </w:r>
    </w:p>
    <w:p w14:paraId="7FDA294A">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（2）绩效自评方法</w:t>
      </w:r>
    </w:p>
    <w:p w14:paraId="63972238">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本次绩效自评采用比较法和综合分析法对项目资金的使用管理、项目产出、综合效益等进行评价。</w:t>
      </w:r>
    </w:p>
    <w:p w14:paraId="1512AA43">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（3）绩效自评标准</w:t>
      </w:r>
    </w:p>
    <w:p w14:paraId="34AE3568">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86289B7">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（4）绩效自评等级</w:t>
      </w:r>
    </w:p>
    <w:p w14:paraId="55671562">
      <w:pPr>
        <w:spacing w:line="560" w:lineRule="exact"/>
        <w:ind w:firstLine="560" w:firstLineChars="200"/>
        <w:rPr>
          <w:rFonts w:hint="eastAsia" w:ascii="仿宋_GB2312" w:hAnsi="Times New Roman" w:eastAsia="仿宋_GB2312" w:cs="Times New Roman"/>
          <w:b w:val="0"/>
          <w:bCs w:val="0"/>
          <w:color w:val="auto"/>
          <w:sz w:val="28"/>
          <w:szCs w:val="32"/>
          <w:highlight w:val="none"/>
        </w:rPr>
      </w:pPr>
      <w:r>
        <w:rPr>
          <w:rFonts w:hint="eastAsia" w:ascii="仿宋_GB2312" w:hAnsi="Times New Roman" w:eastAsia="仿宋_GB2312" w:cs="Times New Roman"/>
          <w:b w:val="0"/>
          <w:bCs w:val="0"/>
          <w:color w:val="auto"/>
          <w:sz w:val="28"/>
          <w:szCs w:val="32"/>
          <w:highlight w:val="none"/>
        </w:rPr>
        <w:t>绩效自评总分值100分，根据评分结果，90（含）-100分为优、80（含）-90分为良、60（含）-80分为中、60分以下为差。</w:t>
      </w:r>
    </w:p>
    <w:p w14:paraId="7E1295C5">
      <w:pPr>
        <w:pStyle w:val="29"/>
        <w:spacing w:before="120"/>
        <w:ind w:leftChars="0" w:right="3" w:firstLine="562" w:firstLineChars="200"/>
        <w:rPr>
          <w:rFonts w:hint="eastAsia" w:ascii="宋体" w:hAnsi="宋体"/>
          <w:color w:val="auto"/>
          <w:highlight w:val="none"/>
        </w:rPr>
      </w:pPr>
      <w:r>
        <w:rPr>
          <w:rFonts w:hint="eastAsia" w:ascii="宋体" w:hAnsi="宋体"/>
          <w:color w:val="auto"/>
          <w:highlight w:val="none"/>
        </w:rPr>
        <w:t>三、绩效目标自评完成情况分析</w:t>
      </w:r>
    </w:p>
    <w:p w14:paraId="0F4E4D48">
      <w:pPr>
        <w:spacing w:line="560" w:lineRule="exact"/>
        <w:ind w:firstLine="546" w:firstLineChars="200"/>
        <w:rPr>
          <w:rStyle w:val="19"/>
          <w:rFonts w:hint="eastAsia" w:ascii="楷体_GB2312" w:hAnsi="楷体" w:eastAsia="宋体" w:cs="Times New Roman"/>
          <w:color w:val="auto"/>
          <w:spacing w:val="-4"/>
          <w:sz w:val="28"/>
          <w:szCs w:val="32"/>
          <w:highlight w:val="none"/>
        </w:rPr>
      </w:pPr>
      <w:r>
        <w:rPr>
          <w:rStyle w:val="19"/>
          <w:rFonts w:hint="eastAsia" w:ascii="楷体_GB2312" w:hAnsi="楷体" w:eastAsia="宋体" w:cs="Times New Roman"/>
          <w:color w:val="auto"/>
          <w:spacing w:val="-4"/>
          <w:sz w:val="28"/>
          <w:szCs w:val="32"/>
          <w:highlight w:val="none"/>
        </w:rPr>
        <w:t>（一）资金投入情况分析</w:t>
      </w:r>
    </w:p>
    <w:p w14:paraId="4FE745F5">
      <w:pPr>
        <w:pStyle w:val="33"/>
        <w:rPr>
          <w:rFonts w:hint="eastAsia" w:hAnsi="宋体"/>
          <w:b/>
          <w:bCs w:val="0"/>
          <w:color w:val="auto"/>
          <w:highlight w:val="none"/>
          <w:lang w:val="en-US" w:eastAsia="zh-CN"/>
        </w:rPr>
      </w:pPr>
      <w:r>
        <w:rPr>
          <w:rFonts w:hint="eastAsia" w:hAnsi="宋体"/>
          <w:b/>
          <w:bCs w:val="0"/>
          <w:color w:val="auto"/>
          <w:highlight w:val="none"/>
          <w:lang w:val="en-US" w:eastAsia="zh-CN"/>
        </w:rPr>
        <w:t>1.项目资金到位情况分析</w:t>
      </w:r>
    </w:p>
    <w:p w14:paraId="2BA39432">
      <w:pPr>
        <w:pStyle w:val="33"/>
        <w:rPr>
          <w:rFonts w:hint="eastAsia" w:hAnsi="宋体"/>
          <w:color w:val="auto"/>
          <w:highlight w:val="none"/>
        </w:rPr>
      </w:pPr>
      <w:r>
        <w:rPr>
          <w:rFonts w:hint="eastAsia" w:hAnsi="宋体"/>
          <w:color w:val="auto"/>
          <w:highlight w:val="none"/>
          <w:lang w:eastAsia="zh-CN"/>
        </w:rPr>
        <w:t>于田县英巴格乡红柳大芸地电力提升改造建设项目</w:t>
      </w:r>
      <w:r>
        <w:rPr>
          <w:rFonts w:hint="eastAsia" w:hAnsi="宋体"/>
          <w:color w:val="auto"/>
          <w:highlight w:val="none"/>
        </w:rPr>
        <w:t>预算安排总额为</w:t>
      </w:r>
      <w:r>
        <w:rPr>
          <w:rFonts w:hint="eastAsia" w:hAnsi="宋体"/>
          <w:color w:val="auto"/>
          <w:highlight w:val="none"/>
          <w:lang w:val="en-US" w:eastAsia="zh-CN"/>
        </w:rPr>
        <w:t>300</w:t>
      </w:r>
      <w:r>
        <w:rPr>
          <w:rFonts w:hint="eastAsia" w:hAnsi="宋体"/>
          <w:color w:val="auto"/>
          <w:highlight w:val="none"/>
        </w:rPr>
        <w:t>万元，其中：</w:t>
      </w:r>
      <w:r>
        <w:rPr>
          <w:rFonts w:hint="eastAsia" w:hAnsi="宋体"/>
          <w:color w:val="auto"/>
          <w:highlight w:val="none"/>
          <w:lang w:val="en-US" w:eastAsia="zh-CN"/>
        </w:rPr>
        <w:t>乡村振兴衔接</w:t>
      </w:r>
      <w:r>
        <w:rPr>
          <w:rFonts w:hint="eastAsia" w:hAnsi="宋体"/>
          <w:color w:val="auto"/>
          <w:highlight w:val="none"/>
        </w:rPr>
        <w:t>资金</w:t>
      </w:r>
      <w:r>
        <w:rPr>
          <w:rFonts w:hint="eastAsia" w:hAnsi="宋体"/>
          <w:color w:val="auto"/>
          <w:highlight w:val="none"/>
          <w:lang w:val="en-US" w:eastAsia="zh-CN"/>
        </w:rPr>
        <w:t>300</w:t>
      </w:r>
      <w:r>
        <w:rPr>
          <w:rFonts w:hint="eastAsia" w:hAnsi="宋体"/>
          <w:color w:val="auto"/>
          <w:highlight w:val="none"/>
        </w:rPr>
        <w:t>万元。预算资金到位率为100.00%。</w:t>
      </w:r>
    </w:p>
    <w:p w14:paraId="51CC45CB">
      <w:pPr>
        <w:pStyle w:val="33"/>
        <w:rPr>
          <w:rFonts w:hint="eastAsia" w:hAnsi="宋体"/>
          <w:b/>
          <w:bCs w:val="0"/>
          <w:color w:val="auto"/>
          <w:highlight w:val="none"/>
          <w:lang w:val="en-US" w:eastAsia="zh-CN"/>
        </w:rPr>
      </w:pPr>
      <w:r>
        <w:rPr>
          <w:rFonts w:hint="eastAsia" w:hAnsi="宋体"/>
          <w:b/>
          <w:bCs w:val="0"/>
          <w:color w:val="auto"/>
          <w:highlight w:val="none"/>
          <w:lang w:val="en-US" w:eastAsia="zh-CN"/>
        </w:rPr>
        <w:t>2.项目资金执行情况分析</w:t>
      </w:r>
    </w:p>
    <w:p w14:paraId="7DF11BDE">
      <w:pPr>
        <w:pStyle w:val="33"/>
        <w:rPr>
          <w:rFonts w:hint="eastAsia" w:hAnsi="宋体"/>
          <w:color w:val="auto"/>
          <w:highlight w:val="none"/>
        </w:rPr>
      </w:pPr>
      <w:r>
        <w:rPr>
          <w:rFonts w:hint="eastAsia" w:hAnsi="宋体"/>
          <w:color w:val="auto"/>
          <w:highlight w:val="none"/>
          <w:lang w:eastAsia="zh-CN"/>
        </w:rPr>
        <w:t>于田县英巴格乡红柳大芸地电力提升改造建设项目</w:t>
      </w:r>
      <w:r>
        <w:rPr>
          <w:rFonts w:hint="eastAsia" w:hAnsi="宋体"/>
          <w:color w:val="auto"/>
          <w:highlight w:val="none"/>
        </w:rPr>
        <w:t>预算投入资金</w:t>
      </w:r>
      <w:r>
        <w:rPr>
          <w:rFonts w:hint="eastAsia" w:hAnsi="宋体"/>
          <w:color w:val="auto"/>
          <w:highlight w:val="none"/>
          <w:lang w:val="en-US" w:eastAsia="zh-CN"/>
        </w:rPr>
        <w:t>300</w:t>
      </w:r>
      <w:r>
        <w:rPr>
          <w:rFonts w:hint="eastAsia" w:hAnsi="宋体"/>
          <w:color w:val="auto"/>
          <w:highlight w:val="none"/>
        </w:rPr>
        <w:t>万元，经财务决算，项目实际完成投资共</w:t>
      </w:r>
      <w:r>
        <w:rPr>
          <w:rFonts w:hint="eastAsia" w:hAnsi="宋体"/>
          <w:color w:val="auto"/>
          <w:highlight w:val="none"/>
          <w:lang w:val="en-US" w:eastAsia="zh-CN"/>
        </w:rPr>
        <w:t>295.23万</w:t>
      </w:r>
      <w:r>
        <w:rPr>
          <w:rFonts w:hint="eastAsia" w:hAnsi="宋体"/>
          <w:color w:val="auto"/>
          <w:highlight w:val="none"/>
        </w:rPr>
        <w:t>元，其中：建筑安装工程投资</w:t>
      </w:r>
      <w:r>
        <w:rPr>
          <w:rFonts w:hint="eastAsia" w:hAnsi="宋体"/>
          <w:color w:val="auto"/>
          <w:highlight w:val="none"/>
          <w:lang w:val="en-US" w:eastAsia="zh-CN"/>
        </w:rPr>
        <w:t>283.68万</w:t>
      </w:r>
      <w:r>
        <w:rPr>
          <w:rFonts w:hint="eastAsia" w:hAnsi="宋体"/>
          <w:color w:val="auto"/>
          <w:highlight w:val="none"/>
        </w:rPr>
        <w:t xml:space="preserve">元，待摊投资 </w:t>
      </w:r>
      <w:r>
        <w:rPr>
          <w:rFonts w:hint="eastAsia" w:hAnsi="宋体"/>
          <w:color w:val="auto"/>
          <w:highlight w:val="none"/>
          <w:lang w:val="en-US" w:eastAsia="zh-CN"/>
        </w:rPr>
        <w:t>11.57万</w:t>
      </w:r>
      <w:r>
        <w:rPr>
          <w:rFonts w:hint="eastAsia" w:hAnsi="宋体"/>
          <w:color w:val="auto"/>
          <w:highlight w:val="none"/>
        </w:rPr>
        <w:t>元；实际工程</w:t>
      </w:r>
      <w:r>
        <w:rPr>
          <w:rFonts w:hint="eastAsia" w:hAnsi="宋体"/>
          <w:color w:val="auto"/>
          <w:highlight w:val="none"/>
          <w:lang w:val="en-US" w:eastAsia="zh-CN"/>
        </w:rPr>
        <w:t>结余</w:t>
      </w:r>
      <w:r>
        <w:rPr>
          <w:rFonts w:hint="eastAsia" w:hAnsi="宋体"/>
          <w:color w:val="auto"/>
          <w:highlight w:val="none"/>
        </w:rPr>
        <w:t>资金</w:t>
      </w:r>
      <w:r>
        <w:rPr>
          <w:rFonts w:hint="eastAsia" w:hAnsi="宋体"/>
          <w:color w:val="auto"/>
          <w:highlight w:val="none"/>
          <w:lang w:val="en-US" w:eastAsia="zh-CN"/>
        </w:rPr>
        <w:t>4.77万</w:t>
      </w:r>
      <w:r>
        <w:rPr>
          <w:rFonts w:hint="eastAsia" w:hAnsi="宋体"/>
          <w:color w:val="auto"/>
          <w:highlight w:val="none"/>
        </w:rPr>
        <w:t>元。截至202</w:t>
      </w:r>
      <w:r>
        <w:rPr>
          <w:rFonts w:hint="eastAsia" w:hAnsi="宋体"/>
          <w:color w:val="auto"/>
          <w:highlight w:val="none"/>
          <w:lang w:val="en-US" w:eastAsia="zh-CN"/>
        </w:rPr>
        <w:t>4</w:t>
      </w:r>
      <w:r>
        <w:rPr>
          <w:rFonts w:hint="eastAsia" w:hAnsi="宋体"/>
          <w:color w:val="auto"/>
          <w:highlight w:val="none"/>
        </w:rPr>
        <w:t>年12月31日，项目实际支出</w:t>
      </w:r>
      <w:r>
        <w:rPr>
          <w:rFonts w:hint="eastAsia" w:hAnsi="宋体"/>
          <w:color w:val="auto"/>
          <w:highlight w:val="none"/>
          <w:lang w:val="en-US" w:eastAsia="zh-CN"/>
        </w:rPr>
        <w:t>295.23万</w:t>
      </w:r>
      <w:r>
        <w:rPr>
          <w:rFonts w:hint="eastAsia" w:hAnsi="宋体"/>
          <w:color w:val="auto"/>
          <w:highlight w:val="none"/>
        </w:rPr>
        <w:t>元，</w:t>
      </w:r>
      <w:r>
        <w:rPr>
          <w:rFonts w:hint="eastAsia" w:hAnsi="宋体"/>
          <w:color w:val="auto"/>
          <w:highlight w:val="none"/>
          <w:lang w:val="en-US" w:eastAsia="zh-CN"/>
        </w:rPr>
        <w:t>剩余资金结余退回财政，</w:t>
      </w:r>
      <w:r>
        <w:rPr>
          <w:rFonts w:hint="eastAsia" w:hAnsi="宋体"/>
          <w:color w:val="auto"/>
          <w:highlight w:val="none"/>
        </w:rPr>
        <w:t>预算资金执行率</w:t>
      </w:r>
      <w:r>
        <w:rPr>
          <w:rFonts w:hint="eastAsia" w:hAnsi="宋体"/>
          <w:color w:val="auto"/>
          <w:highlight w:val="none"/>
          <w:lang w:val="en-US" w:eastAsia="zh-CN"/>
        </w:rPr>
        <w:t>98.41</w:t>
      </w:r>
      <w:r>
        <w:rPr>
          <w:rFonts w:hint="eastAsia" w:hAnsi="宋体"/>
          <w:color w:val="auto"/>
          <w:highlight w:val="none"/>
        </w:rPr>
        <w:t>%。</w:t>
      </w:r>
    </w:p>
    <w:p w14:paraId="3C035AA5">
      <w:pPr>
        <w:pStyle w:val="33"/>
        <w:rPr>
          <w:rFonts w:hint="eastAsia" w:hAnsi="宋体"/>
          <w:b/>
          <w:bCs w:val="0"/>
          <w:color w:val="auto"/>
          <w:highlight w:val="none"/>
        </w:rPr>
      </w:pPr>
      <w:r>
        <w:rPr>
          <w:rFonts w:hint="eastAsia" w:hAnsi="宋体"/>
          <w:b/>
          <w:bCs w:val="0"/>
          <w:color w:val="auto"/>
          <w:highlight w:val="none"/>
        </w:rPr>
        <w:t>3.项目资金管理情况分析</w:t>
      </w:r>
    </w:p>
    <w:p w14:paraId="0FB07978">
      <w:pPr>
        <w:pStyle w:val="33"/>
        <w:rPr>
          <w:rFonts w:hint="eastAsia" w:hAnsi="宋体"/>
          <w:color w:val="auto"/>
          <w:highlight w:val="none"/>
        </w:rPr>
      </w:pPr>
      <w:r>
        <w:rPr>
          <w:rFonts w:hint="eastAsia" w:hAnsi="宋体"/>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6DC021B">
      <w:pPr>
        <w:pStyle w:val="33"/>
        <w:rPr>
          <w:rFonts w:hint="eastAsia" w:hAnsi="宋体"/>
          <w:b/>
          <w:bCs w:val="0"/>
          <w:color w:val="auto"/>
          <w:highlight w:val="none"/>
        </w:rPr>
      </w:pPr>
      <w:r>
        <w:rPr>
          <w:rFonts w:hint="eastAsia" w:hAnsi="宋体"/>
          <w:b/>
          <w:bCs w:val="0"/>
          <w:color w:val="auto"/>
          <w:highlight w:val="none"/>
          <w:lang w:val="en-US" w:eastAsia="zh-CN"/>
        </w:rPr>
        <w:t>4.项目管理情况分析</w:t>
      </w:r>
    </w:p>
    <w:p w14:paraId="59129BAB">
      <w:pPr>
        <w:pStyle w:val="33"/>
        <w:rPr>
          <w:rFonts w:hint="eastAsia" w:hAnsi="宋体"/>
          <w:color w:val="auto"/>
          <w:highlight w:val="none"/>
        </w:rPr>
      </w:pPr>
      <w:r>
        <w:rPr>
          <w:rFonts w:hint="eastAsia" w:hAnsi="宋体"/>
          <w:color w:val="auto"/>
          <w:highlight w:val="none"/>
        </w:rPr>
        <w:t>在项目实施中，</w:t>
      </w:r>
      <w:r>
        <w:rPr>
          <w:rFonts w:hint="eastAsia" w:hAnsi="宋体"/>
          <w:color w:val="auto"/>
          <w:highlight w:val="none"/>
          <w:lang w:val="en-US" w:eastAsia="zh-CN"/>
        </w:rPr>
        <w:t>于田县英巴格乡人民政府</w:t>
      </w:r>
      <w:r>
        <w:rPr>
          <w:rFonts w:hint="eastAsia" w:hAnsi="宋体"/>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E15BEB9">
      <w:pPr>
        <w:spacing w:line="580" w:lineRule="exact"/>
        <w:ind w:firstLine="546" w:firstLineChars="200"/>
        <w:rPr>
          <w:rStyle w:val="19"/>
          <w:rFonts w:hint="eastAsia" w:ascii="楷体_GB2312" w:hAnsi="楷体" w:eastAsia="宋体" w:cs="Times New Roman"/>
          <w:color w:val="auto"/>
          <w:spacing w:val="-4"/>
          <w:sz w:val="28"/>
          <w:szCs w:val="32"/>
          <w:highlight w:val="none"/>
        </w:rPr>
      </w:pPr>
      <w:r>
        <w:rPr>
          <w:rStyle w:val="19"/>
          <w:rFonts w:hint="eastAsia" w:ascii="楷体_GB2312" w:hAnsi="楷体" w:eastAsia="宋体" w:cs="Times New Roman"/>
          <w:color w:val="auto"/>
          <w:spacing w:val="-4"/>
          <w:sz w:val="28"/>
          <w:szCs w:val="32"/>
          <w:highlight w:val="none"/>
        </w:rPr>
        <w:t>（二）绩效目标完成情况分析</w:t>
      </w:r>
    </w:p>
    <w:p w14:paraId="6DC69AF0">
      <w:pPr>
        <w:pStyle w:val="52"/>
        <w:spacing w:line="580" w:lineRule="exact"/>
        <w:ind w:left="3" w:right="3" w:firstLine="56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本项目在202</w:t>
      </w:r>
      <w:r>
        <w:rPr>
          <w:rFonts w:hint="eastAsia" w:ascii="Times New Roman" w:hAnsi="Times New Roman" w:cs="Times New Roman"/>
          <w:color w:val="auto"/>
          <w:highlight w:val="none"/>
          <w:lang w:val="en-US" w:eastAsia="zh-CN"/>
        </w:rPr>
        <w:t>4</w:t>
      </w:r>
      <w:r>
        <w:rPr>
          <w:rFonts w:hint="default" w:ascii="Times New Roman" w:hAnsi="Times New Roman" w:cs="Times New Roman"/>
          <w:color w:val="auto"/>
          <w:highlight w:val="none"/>
          <w:lang w:val="en-US" w:eastAsia="zh-CN"/>
        </w:rPr>
        <w:t>年</w:t>
      </w:r>
      <w:r>
        <w:rPr>
          <w:rFonts w:hint="eastAsia" w:ascii="Times New Roman" w:hAnsi="Times New Roman" w:cs="Times New Roman"/>
          <w:color w:val="auto"/>
          <w:highlight w:val="none"/>
          <w:lang w:val="en-US" w:eastAsia="zh-CN"/>
        </w:rPr>
        <w:t>截止4月30日，工程实际完成本项目在英巴格乡巴什兰帕村2000亩、艾山玉孙村1000亩、库木托格拉克村3000亩红柳大芸地电力改造提升，架设变压器及架设电线15公里。</w:t>
      </w:r>
    </w:p>
    <w:p w14:paraId="3EC90918">
      <w:pPr>
        <w:pStyle w:val="52"/>
        <w:spacing w:line="580" w:lineRule="exact"/>
        <w:ind w:left="3" w:right="3" w:firstLine="56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w:t>
      </w:r>
      <w:r>
        <w:rPr>
          <w:rFonts w:hint="eastAsia" w:ascii="Times New Roman" w:hAnsi="Times New Roman" w:cs="Times New Roman"/>
          <w:color w:val="auto"/>
          <w:highlight w:val="none"/>
          <w:lang w:val="en-US" w:eastAsia="zh-CN"/>
        </w:rPr>
        <w:t>项目共设置一级指标3个，二级指标7个，三级指标12个，其中已完成三级指标10个，指标完成率为99.78%，指标完成情况分析如下：</w:t>
      </w:r>
    </w:p>
    <w:p w14:paraId="24FFDD4D">
      <w:pPr>
        <w:pStyle w:val="52"/>
        <w:spacing w:line="580" w:lineRule="exact"/>
        <w:ind w:left="0" w:leftChars="0" w:right="0" w:rightChars="0" w:firstLine="562"/>
        <w:rPr>
          <w:rFonts w:hint="eastAsia" w:ascii="Times New Roman" w:hAnsi="Times New Roman" w:cs="Times New Roman"/>
          <w:b/>
          <w:color w:val="auto"/>
          <w:highlight w:val="none"/>
        </w:rPr>
      </w:pPr>
      <w:r>
        <w:rPr>
          <w:rFonts w:hint="eastAsia" w:ascii="Times New Roman" w:hAnsi="Times New Roman" w:cs="Times New Roman"/>
          <w:b/>
          <w:color w:val="auto"/>
          <w:highlight w:val="none"/>
        </w:rPr>
        <w:t>1.产出指标完成情况分析</w:t>
      </w:r>
    </w:p>
    <w:p w14:paraId="143205C7">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1.1项目完成数量</w:t>
      </w:r>
    </w:p>
    <w:p w14:paraId="67021E30">
      <w:pPr>
        <w:pStyle w:val="52"/>
        <w:spacing w:line="580" w:lineRule="exact"/>
        <w:ind w:left="0" w:leftChars="0" w:right="0" w:rightChars="0" w:firstLine="560"/>
        <w:rPr>
          <w:rFonts w:hint="eastAsia" w:ascii="仿宋_GB2312" w:hAnsi="Times New Roman" w:cs="Times New Roman"/>
          <w:color w:val="auto"/>
          <w:highlight w:val="none"/>
          <w:lang w:eastAsia="zh-CN"/>
        </w:rPr>
      </w:pPr>
      <w:r>
        <w:rPr>
          <w:rFonts w:hint="eastAsia" w:ascii="仿宋_GB2312" w:hAnsi="Times New Roman" w:cs="Times New Roman"/>
          <w:color w:val="auto"/>
          <w:highlight w:val="none"/>
        </w:rPr>
        <w:t>“项目覆盖脱贫村数量”指标，预期指标值为</w:t>
      </w:r>
      <w:r>
        <w:rPr>
          <w:rFonts w:hint="eastAsia" w:ascii="仿宋_GB2312" w:hAnsi="Times New Roman" w:cs="Times New Roman"/>
          <w:color w:val="auto"/>
          <w:highlight w:val="none"/>
          <w:lang w:eastAsia="zh-CN"/>
        </w:rPr>
        <w:t>大于等于</w:t>
      </w:r>
      <w:r>
        <w:rPr>
          <w:rFonts w:hint="eastAsia" w:ascii="仿宋_GB2312" w:hAnsi="Times New Roman" w:cs="Times New Roman"/>
          <w:color w:val="auto"/>
          <w:highlight w:val="none"/>
        </w:rPr>
        <w:t>3个,全年实际值为3个，指标完成率为100.00%。所设分值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w:t>
      </w:r>
    </w:p>
    <w:p w14:paraId="7C7AD31F">
      <w:pPr>
        <w:pStyle w:val="52"/>
        <w:spacing w:line="580" w:lineRule="exact"/>
        <w:ind w:left="0" w:leftChars="0" w:right="0" w:rightChars="0" w:firstLine="560"/>
        <w:rPr>
          <w:rFonts w:hint="eastAsia" w:ascii="仿宋_GB2312" w:hAnsi="Times New Roman" w:cs="Times New Roman"/>
          <w:color w:val="auto"/>
          <w:highlight w:val="none"/>
          <w:lang w:eastAsia="zh-CN"/>
        </w:rPr>
      </w:pPr>
      <w:r>
        <w:rPr>
          <w:rFonts w:hint="eastAsia" w:ascii="仿宋_GB2312" w:hAnsi="Times New Roman" w:cs="Times New Roman"/>
          <w:color w:val="auto"/>
          <w:highlight w:val="none"/>
        </w:rPr>
        <w:t>“</w:t>
      </w:r>
      <w:r>
        <w:rPr>
          <w:rFonts w:hint="eastAsia" w:ascii="仿宋_GB2312" w:hAnsi="Times New Roman" w:cs="Times New Roman"/>
          <w:color w:val="auto"/>
          <w:highlight w:val="none"/>
          <w:lang w:val="en-US" w:eastAsia="zh-CN"/>
        </w:rPr>
        <w:t>架设变压器及架设电线覆盖公里</w:t>
      </w:r>
      <w:r>
        <w:rPr>
          <w:rFonts w:hint="eastAsia" w:ascii="仿宋_GB2312" w:hAnsi="Times New Roman" w:cs="Times New Roman"/>
          <w:color w:val="auto"/>
          <w:highlight w:val="none"/>
        </w:rPr>
        <w:t>”指标，预期指标值为</w:t>
      </w:r>
      <w:r>
        <w:rPr>
          <w:rFonts w:hint="eastAsia" w:ascii="仿宋_GB2312" w:hAnsi="Times New Roman" w:cs="Times New Roman"/>
          <w:color w:val="auto"/>
          <w:highlight w:val="none"/>
          <w:lang w:eastAsia="zh-CN"/>
        </w:rPr>
        <w:t>大于等于</w:t>
      </w:r>
      <w:r>
        <w:rPr>
          <w:rFonts w:hint="eastAsia" w:ascii="仿宋_GB2312" w:hAnsi="Times New Roman" w:cs="Times New Roman"/>
          <w:color w:val="auto"/>
          <w:highlight w:val="none"/>
        </w:rPr>
        <w:t>1</w:t>
      </w:r>
      <w:r>
        <w:rPr>
          <w:rFonts w:hint="eastAsia" w:ascii="仿宋_GB2312" w:hAnsi="Times New Roman" w:cs="Times New Roman"/>
          <w:color w:val="auto"/>
          <w:highlight w:val="none"/>
          <w:lang w:val="en-US" w:eastAsia="zh-CN"/>
        </w:rPr>
        <w:t>5公里</w:t>
      </w:r>
      <w:r>
        <w:rPr>
          <w:rFonts w:hint="eastAsia" w:ascii="仿宋_GB2312" w:hAnsi="Times New Roman" w:cs="Times New Roman"/>
          <w:color w:val="auto"/>
          <w:highlight w:val="none"/>
        </w:rPr>
        <w:t>,全年实际值为1</w:t>
      </w:r>
      <w:r>
        <w:rPr>
          <w:rFonts w:hint="eastAsia" w:ascii="仿宋_GB2312" w:hAnsi="Times New Roman" w:cs="Times New Roman"/>
          <w:color w:val="auto"/>
          <w:highlight w:val="none"/>
          <w:lang w:val="en-US" w:eastAsia="zh-CN"/>
        </w:rPr>
        <w:t>5公里</w:t>
      </w:r>
      <w:r>
        <w:rPr>
          <w:rFonts w:hint="eastAsia" w:ascii="仿宋_GB2312" w:hAnsi="Times New Roman" w:cs="Times New Roman"/>
          <w:color w:val="auto"/>
          <w:highlight w:val="none"/>
        </w:rPr>
        <w:t>，指标完成率为100.00%。所设分值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w:t>
      </w:r>
    </w:p>
    <w:p w14:paraId="2CFD3BA0">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1.2项目完成质量</w:t>
      </w:r>
    </w:p>
    <w:p w14:paraId="0DD44D79">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“项目验收合格率”指标，预期指标值为</w:t>
      </w:r>
      <w:r>
        <w:rPr>
          <w:rFonts w:hint="eastAsia" w:ascii="仿宋_GB2312" w:hAnsi="Times New Roman" w:cs="Times New Roman"/>
          <w:color w:val="auto"/>
          <w:highlight w:val="none"/>
          <w:lang w:eastAsia="zh-CN"/>
        </w:rPr>
        <w:t>等于</w:t>
      </w:r>
      <w:r>
        <w:rPr>
          <w:rFonts w:hint="eastAsia" w:ascii="仿宋_GB2312" w:hAnsi="Times New Roman" w:cs="Times New Roman"/>
          <w:color w:val="auto"/>
          <w:highlight w:val="none"/>
        </w:rPr>
        <w:t>100.00%,全年实际值为100.00%，指标完成率为100.00%。所设分值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w:t>
      </w:r>
    </w:p>
    <w:p w14:paraId="31559E8F">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“资金支出合规率”指标，预期指标值为</w:t>
      </w:r>
      <w:r>
        <w:rPr>
          <w:rFonts w:hint="eastAsia" w:ascii="仿宋_GB2312" w:hAnsi="Times New Roman" w:cs="Times New Roman"/>
          <w:color w:val="auto"/>
          <w:highlight w:val="none"/>
          <w:lang w:eastAsia="zh-CN"/>
        </w:rPr>
        <w:t>等于</w:t>
      </w:r>
      <w:r>
        <w:rPr>
          <w:rFonts w:hint="eastAsia" w:ascii="仿宋_GB2312" w:hAnsi="Times New Roman" w:cs="Times New Roman"/>
          <w:color w:val="auto"/>
          <w:highlight w:val="none"/>
        </w:rPr>
        <w:t>100.00%,全年实际值为100.00%，指标完成率为100.00%。所设分值</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w:t>
      </w:r>
    </w:p>
    <w:p w14:paraId="36433236">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1.3项目完成时效</w:t>
      </w:r>
    </w:p>
    <w:p w14:paraId="2FEF937D">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w:t>
      </w:r>
      <w:r>
        <w:rPr>
          <w:rFonts w:hint="eastAsia" w:ascii="仿宋_GB2312" w:hAnsi="Times New Roman" w:cs="Times New Roman"/>
          <w:color w:val="auto"/>
          <w:highlight w:val="none"/>
          <w:lang w:val="en-US" w:eastAsia="zh-CN"/>
        </w:rPr>
        <w:t>资金支付及时率</w:t>
      </w:r>
      <w:r>
        <w:rPr>
          <w:rFonts w:hint="eastAsia" w:ascii="仿宋_GB2312" w:hAnsi="Times New Roman" w:cs="Times New Roman"/>
          <w:color w:val="auto"/>
          <w:highlight w:val="none"/>
        </w:rPr>
        <w:t>”指标，预期指标值为</w:t>
      </w:r>
      <w:r>
        <w:rPr>
          <w:rFonts w:hint="eastAsia" w:ascii="仿宋_GB2312" w:hAnsi="Times New Roman" w:cs="Times New Roman"/>
          <w:color w:val="auto"/>
          <w:highlight w:val="none"/>
          <w:lang w:eastAsia="zh-CN"/>
        </w:rPr>
        <w:t>大于等于</w:t>
      </w:r>
      <w:r>
        <w:rPr>
          <w:rFonts w:hint="eastAsia" w:ascii="仿宋_GB2312" w:hAnsi="Times New Roman" w:cs="Times New Roman"/>
          <w:color w:val="auto"/>
          <w:highlight w:val="none"/>
          <w:lang w:val="en-US" w:eastAsia="zh-CN"/>
        </w:rPr>
        <w:t>100%</w:t>
      </w:r>
      <w:r>
        <w:rPr>
          <w:rFonts w:hint="eastAsia" w:ascii="仿宋_GB2312" w:hAnsi="Times New Roman" w:cs="Times New Roman"/>
          <w:color w:val="auto"/>
          <w:highlight w:val="none"/>
        </w:rPr>
        <w:t>,全年实际值为</w:t>
      </w:r>
      <w:r>
        <w:rPr>
          <w:rFonts w:hint="eastAsia" w:ascii="仿宋_GB2312" w:hAnsi="Times New Roman" w:cs="Times New Roman"/>
          <w:color w:val="auto"/>
          <w:highlight w:val="none"/>
          <w:lang w:val="en-US" w:eastAsia="zh-CN"/>
        </w:rPr>
        <w:t>100%</w:t>
      </w:r>
      <w:r>
        <w:rPr>
          <w:rFonts w:hint="eastAsia" w:ascii="仿宋_GB2312" w:hAnsi="Times New Roman" w:cs="Times New Roman"/>
          <w:color w:val="auto"/>
          <w:highlight w:val="none"/>
        </w:rPr>
        <w:t>，指标完成率为100.00%。所设分值</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w:t>
      </w:r>
    </w:p>
    <w:p w14:paraId="5B4F97F2">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“项目</w:t>
      </w:r>
      <w:r>
        <w:rPr>
          <w:rFonts w:hint="eastAsia" w:ascii="仿宋_GB2312" w:hAnsi="Times New Roman" w:cs="Times New Roman"/>
          <w:color w:val="auto"/>
          <w:highlight w:val="none"/>
          <w:lang w:val="en-US" w:eastAsia="zh-CN"/>
        </w:rPr>
        <w:t>启动</w:t>
      </w:r>
      <w:r>
        <w:rPr>
          <w:rFonts w:hint="eastAsia" w:ascii="仿宋_GB2312" w:hAnsi="Times New Roman" w:cs="Times New Roman"/>
          <w:color w:val="auto"/>
          <w:highlight w:val="none"/>
        </w:rPr>
        <w:t>时间”指标，预期指标值为202</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年</w:t>
      </w:r>
      <w:r>
        <w:rPr>
          <w:rFonts w:hint="eastAsia" w:ascii="仿宋_GB2312" w:hAnsi="Times New Roman" w:cs="Times New Roman"/>
          <w:color w:val="auto"/>
          <w:highlight w:val="none"/>
          <w:lang w:val="en-US" w:eastAsia="zh-CN"/>
        </w:rPr>
        <w:t>1</w:t>
      </w:r>
      <w:r>
        <w:rPr>
          <w:rFonts w:hint="eastAsia" w:ascii="仿宋_GB2312" w:hAnsi="Times New Roman" w:cs="Times New Roman"/>
          <w:color w:val="auto"/>
          <w:highlight w:val="none"/>
        </w:rPr>
        <w:t>月,全年实际值为202</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年</w:t>
      </w:r>
      <w:r>
        <w:rPr>
          <w:rFonts w:hint="eastAsia" w:ascii="仿宋_GB2312" w:hAnsi="Times New Roman" w:cs="Times New Roman"/>
          <w:color w:val="auto"/>
          <w:highlight w:val="none"/>
          <w:lang w:val="en-US" w:eastAsia="zh-CN"/>
        </w:rPr>
        <w:t>1</w:t>
      </w:r>
      <w:r>
        <w:rPr>
          <w:rFonts w:hint="eastAsia" w:ascii="仿宋_GB2312" w:hAnsi="Times New Roman" w:cs="Times New Roman"/>
          <w:color w:val="auto"/>
          <w:highlight w:val="none"/>
        </w:rPr>
        <w:t>月，指标完成率为100.00%。所设分值</w:t>
      </w:r>
      <w:r>
        <w:rPr>
          <w:rFonts w:hint="eastAsia" w:ascii="仿宋_GB2312" w:hAnsi="Times New Roman" w:cs="Times New Roman"/>
          <w:color w:val="auto"/>
          <w:highlight w:val="none"/>
          <w:lang w:val="en-US" w:eastAsia="zh-CN"/>
        </w:rPr>
        <w:t>等5</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w:t>
      </w:r>
    </w:p>
    <w:p w14:paraId="2F6E2F66">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“项目完工时间”指标，预期指标值为202</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年</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月,全年实际值为202</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年</w:t>
      </w:r>
      <w:r>
        <w:rPr>
          <w:rFonts w:hint="eastAsia" w:ascii="仿宋_GB2312" w:hAnsi="Times New Roman" w:cs="Times New Roman"/>
          <w:color w:val="auto"/>
          <w:highlight w:val="none"/>
          <w:lang w:val="en-US" w:eastAsia="zh-CN"/>
        </w:rPr>
        <w:t>4</w:t>
      </w:r>
      <w:r>
        <w:rPr>
          <w:rFonts w:hint="eastAsia" w:ascii="仿宋_GB2312" w:hAnsi="Times New Roman" w:cs="Times New Roman"/>
          <w:color w:val="auto"/>
          <w:highlight w:val="none"/>
        </w:rPr>
        <w:t>月，指标完成率为100.00%。所设分值</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w:t>
      </w:r>
      <w:r>
        <w:rPr>
          <w:rFonts w:hint="eastAsia" w:ascii="仿宋_GB2312" w:hAnsi="Times New Roman" w:cs="Times New Roman"/>
          <w:color w:val="auto"/>
          <w:highlight w:val="none"/>
        </w:rPr>
        <w:t>分。</w:t>
      </w:r>
      <w:r>
        <w:rPr>
          <w:rFonts w:hint="eastAsia" w:ascii="仿宋_GB2312" w:hAnsi="Times New Roman" w:cs="Times New Roman"/>
          <w:color w:val="auto"/>
          <w:highlight w:val="none"/>
        </w:rPr>
        <w:tab/>
      </w:r>
      <w:r>
        <w:rPr>
          <w:rFonts w:hint="eastAsia" w:ascii="仿宋_GB2312" w:hAnsi="Times New Roman" w:cs="Times New Roman"/>
          <w:color w:val="auto"/>
          <w:highlight w:val="none"/>
        </w:rPr>
        <w:t xml:space="preserve">  </w:t>
      </w:r>
    </w:p>
    <w:p w14:paraId="33CDDF61">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1.4项目成本节约情况</w:t>
      </w:r>
    </w:p>
    <w:p w14:paraId="1ED82ECF">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“建筑工程费用”指标，预期指标值为</w:t>
      </w:r>
      <w:r>
        <w:rPr>
          <w:rFonts w:hint="eastAsia" w:ascii="仿宋_GB2312" w:hAnsi="Times New Roman" w:cs="Times New Roman"/>
          <w:color w:val="auto"/>
          <w:highlight w:val="none"/>
          <w:lang w:eastAsia="zh-CN"/>
        </w:rPr>
        <w:t>小于等于</w:t>
      </w:r>
      <w:r>
        <w:rPr>
          <w:rFonts w:hint="eastAsia" w:ascii="仿宋_GB2312" w:hAnsi="Times New Roman" w:cs="Times New Roman"/>
          <w:color w:val="auto"/>
          <w:highlight w:val="none"/>
          <w:lang w:val="en-US" w:eastAsia="zh-CN"/>
        </w:rPr>
        <w:t>288.52</w:t>
      </w:r>
      <w:r>
        <w:rPr>
          <w:rFonts w:hint="eastAsia" w:ascii="仿宋_GB2312" w:hAnsi="Times New Roman" w:cs="Times New Roman"/>
          <w:color w:val="auto"/>
          <w:highlight w:val="none"/>
        </w:rPr>
        <w:t>万元, 全年实际值为</w:t>
      </w:r>
      <w:r>
        <w:rPr>
          <w:rFonts w:hint="eastAsia" w:ascii="仿宋_GB2312" w:hAnsi="Times New Roman" w:cs="Times New Roman"/>
          <w:color w:val="auto"/>
          <w:highlight w:val="none"/>
          <w:lang w:val="en-US" w:eastAsia="zh-CN"/>
        </w:rPr>
        <w:t>283.68</w:t>
      </w:r>
      <w:r>
        <w:rPr>
          <w:rFonts w:hint="eastAsia" w:ascii="仿宋_GB2312" w:hAnsi="Times New Roman" w:cs="Times New Roman"/>
          <w:color w:val="auto"/>
          <w:highlight w:val="none"/>
        </w:rPr>
        <w:t>万元，指标完成率为</w:t>
      </w:r>
      <w:r>
        <w:rPr>
          <w:rFonts w:hint="eastAsia" w:ascii="仿宋_GB2312" w:hAnsi="Times New Roman" w:cs="Times New Roman"/>
          <w:color w:val="auto"/>
          <w:highlight w:val="none"/>
          <w:lang w:val="en-US" w:eastAsia="zh-CN"/>
        </w:rPr>
        <w:t>98.32</w:t>
      </w:r>
      <w:r>
        <w:rPr>
          <w:rFonts w:hint="eastAsia" w:ascii="仿宋_GB2312" w:hAnsi="Times New Roman" w:cs="Times New Roman"/>
          <w:color w:val="auto"/>
          <w:highlight w:val="none"/>
        </w:rPr>
        <w:t>%。所设分值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5.9</w:t>
      </w:r>
      <w:r>
        <w:rPr>
          <w:rFonts w:hint="eastAsia" w:ascii="仿宋_GB2312" w:hAnsi="Times New Roman" w:cs="Times New Roman"/>
          <w:color w:val="auto"/>
          <w:highlight w:val="none"/>
        </w:rPr>
        <w:t>分。</w:t>
      </w:r>
    </w:p>
    <w:p w14:paraId="679E5BF5">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偏差原因：项目已完工，剩余资金结余。</w:t>
      </w:r>
    </w:p>
    <w:p w14:paraId="5C6F592C">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改进措施：加强项目管理。</w:t>
      </w:r>
    </w:p>
    <w:p w14:paraId="7CAC3D6C">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“其他费用”指标，预期指标值为</w:t>
      </w:r>
      <w:r>
        <w:rPr>
          <w:rFonts w:hint="eastAsia" w:ascii="仿宋_GB2312" w:hAnsi="Times New Roman" w:cs="Times New Roman"/>
          <w:color w:val="auto"/>
          <w:highlight w:val="none"/>
          <w:lang w:eastAsia="zh-CN"/>
        </w:rPr>
        <w:t>小于等于</w:t>
      </w:r>
      <w:r>
        <w:rPr>
          <w:rFonts w:hint="eastAsia" w:ascii="仿宋_GB2312" w:hAnsi="Times New Roman" w:cs="Times New Roman"/>
          <w:color w:val="auto"/>
          <w:highlight w:val="none"/>
          <w:lang w:val="en-US" w:eastAsia="zh-CN"/>
        </w:rPr>
        <w:t>11.48</w:t>
      </w:r>
      <w:r>
        <w:rPr>
          <w:rFonts w:hint="eastAsia" w:ascii="仿宋_GB2312" w:hAnsi="Times New Roman" w:cs="Times New Roman"/>
          <w:color w:val="auto"/>
          <w:highlight w:val="none"/>
        </w:rPr>
        <w:t>‬万元, 全年实际值为</w:t>
      </w:r>
      <w:r>
        <w:rPr>
          <w:rFonts w:hint="eastAsia" w:ascii="仿宋_GB2312" w:hAnsi="Times New Roman" w:cs="Times New Roman"/>
          <w:color w:val="auto"/>
          <w:highlight w:val="none"/>
          <w:lang w:val="en-US" w:eastAsia="zh-CN"/>
        </w:rPr>
        <w:t>11.55</w:t>
      </w:r>
      <w:r>
        <w:rPr>
          <w:rFonts w:hint="eastAsia" w:ascii="仿宋_GB2312" w:hAnsi="Times New Roman" w:cs="Times New Roman"/>
          <w:color w:val="auto"/>
          <w:highlight w:val="none"/>
        </w:rPr>
        <w:t>‬万元，指标完成率为</w:t>
      </w:r>
      <w:r>
        <w:rPr>
          <w:rFonts w:hint="eastAsia" w:ascii="仿宋_GB2312" w:hAnsi="Times New Roman" w:cs="Times New Roman"/>
          <w:color w:val="auto"/>
          <w:highlight w:val="none"/>
          <w:lang w:val="en-US" w:eastAsia="zh-CN"/>
        </w:rPr>
        <w:t>99</w:t>
      </w:r>
      <w:r>
        <w:rPr>
          <w:rFonts w:hint="eastAsia" w:ascii="仿宋_GB2312" w:hAnsi="Times New Roman" w:cs="Times New Roman"/>
          <w:color w:val="auto"/>
          <w:highlight w:val="none"/>
        </w:rPr>
        <w:t>%。所设分值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5.94</w:t>
      </w:r>
      <w:r>
        <w:rPr>
          <w:rFonts w:hint="eastAsia" w:ascii="仿宋_GB2312" w:hAnsi="Times New Roman" w:cs="Times New Roman"/>
          <w:color w:val="auto"/>
          <w:highlight w:val="none"/>
        </w:rPr>
        <w:t>分。</w:t>
      </w:r>
    </w:p>
    <w:p w14:paraId="1B21E220">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偏差原因：未精准对前期费用进行全面评估。</w:t>
      </w:r>
    </w:p>
    <w:p w14:paraId="360C2E68">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rPr>
        <w:t>整改措施：建立严格的预算管理制度，加强成本意识培训在未来的项目建设中汲取经验教训，做到预算精准</w:t>
      </w:r>
      <w:r>
        <w:rPr>
          <w:rFonts w:hint="eastAsia" w:ascii="仿宋_GB2312" w:hAnsi="Times New Roman" w:cs="Times New Roman"/>
          <w:color w:val="auto"/>
          <w:highlight w:val="none"/>
          <w:lang w:eastAsia="zh-CN"/>
        </w:rPr>
        <w:t>。</w:t>
      </w:r>
    </w:p>
    <w:p w14:paraId="23779418">
      <w:pPr>
        <w:pStyle w:val="52"/>
        <w:keepNext w:val="0"/>
        <w:keepLines w:val="0"/>
        <w:pageBreakBefore w:val="0"/>
        <w:widowControl w:val="0"/>
        <w:kinsoku/>
        <w:wordWrap/>
        <w:overflowPunct/>
        <w:topLinePunct w:val="0"/>
        <w:autoSpaceDE/>
        <w:autoSpaceDN/>
        <w:bidi w:val="0"/>
        <w:adjustRightInd/>
        <w:spacing w:line="240" w:lineRule="auto"/>
        <w:ind w:left="0" w:leftChars="0" w:right="0" w:rightChars="0" w:firstLine="560"/>
        <w:textAlignment w:val="auto"/>
        <w:rPr>
          <w:rFonts w:hint="eastAsia" w:ascii="仿宋_GB2312" w:hAnsi="宋体" w:eastAsia="仿宋_GB2312" w:cstheme="minorBidi"/>
          <w:b/>
          <w:bCs w:val="0"/>
          <w:color w:val="auto"/>
          <w:kern w:val="2"/>
          <w:sz w:val="28"/>
          <w:szCs w:val="32"/>
          <w:highlight w:val="none"/>
          <w:lang w:val="en-US" w:eastAsia="zh-CN" w:bidi="ar-SA"/>
        </w:rPr>
      </w:pPr>
      <w:r>
        <w:rPr>
          <w:rFonts w:hint="eastAsia" w:ascii="仿宋_GB2312" w:hAnsi="宋体" w:eastAsia="仿宋_GB2312" w:cstheme="minorBidi"/>
          <w:b/>
          <w:bCs w:val="0"/>
          <w:color w:val="auto"/>
          <w:kern w:val="2"/>
          <w:sz w:val="28"/>
          <w:szCs w:val="32"/>
          <w:highlight w:val="none"/>
          <w:lang w:val="en-US" w:eastAsia="zh-CN" w:bidi="ar-SA"/>
        </w:rPr>
        <w:t>2.效益指标完成情况分析</w:t>
      </w:r>
    </w:p>
    <w:p w14:paraId="47BE0A9A">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2.1项目实施的社会效益分析</w:t>
      </w:r>
    </w:p>
    <w:p w14:paraId="799BD1D0">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“改善供电区域内的安全供电、可靠供电”指标，指标预期为有效改善，实际完成为有效改善，指标完成率为100.00%。所设分值</w:t>
      </w:r>
      <w:r>
        <w:rPr>
          <w:rFonts w:hint="eastAsia" w:ascii="仿宋_GB2312" w:cs="Times New Roman"/>
          <w:color w:val="auto"/>
          <w:highlight w:val="none"/>
          <w:lang w:val="en-US" w:eastAsia="zh-CN"/>
        </w:rPr>
        <w:t>15</w:t>
      </w:r>
      <w:r>
        <w:rPr>
          <w:rFonts w:hint="eastAsia" w:ascii="仿宋_GB2312" w:hAnsi="Times New Roman" w:cs="Times New Roman"/>
          <w:color w:val="auto"/>
          <w:highlight w:val="none"/>
          <w:lang w:val="en-US" w:eastAsia="zh-CN"/>
        </w:rPr>
        <w:t>分，实际得分</w:t>
      </w:r>
      <w:r>
        <w:rPr>
          <w:rFonts w:hint="eastAsia" w:ascii="仿宋_GB2312" w:cs="Times New Roman"/>
          <w:color w:val="auto"/>
          <w:highlight w:val="none"/>
          <w:lang w:val="en-US" w:eastAsia="zh-CN"/>
        </w:rPr>
        <w:t>15</w:t>
      </w:r>
      <w:r>
        <w:rPr>
          <w:rFonts w:hint="eastAsia" w:ascii="仿宋_GB2312" w:hAnsi="Times New Roman" w:cs="Times New Roman"/>
          <w:color w:val="auto"/>
          <w:highlight w:val="none"/>
          <w:lang w:val="en-US" w:eastAsia="zh-CN"/>
        </w:rPr>
        <w:t>分。</w:t>
      </w:r>
    </w:p>
    <w:p w14:paraId="005810B1">
      <w:pPr>
        <w:pStyle w:val="52"/>
        <w:spacing w:line="580" w:lineRule="exact"/>
        <w:ind w:left="0" w:leftChars="0" w:right="0" w:rightChars="0" w:firstLine="560"/>
        <w:rPr>
          <w:rFonts w:hint="eastAsia" w:ascii="仿宋_GB2312" w:cs="Times New Roman"/>
          <w:color w:val="auto"/>
          <w:highlight w:val="none"/>
          <w:lang w:val="en-US" w:eastAsia="zh-CN"/>
        </w:rPr>
      </w:pPr>
      <w:r>
        <w:rPr>
          <w:rFonts w:hint="eastAsia" w:ascii="仿宋_GB2312" w:cs="Times New Roman"/>
          <w:color w:val="auto"/>
          <w:highlight w:val="none"/>
          <w:lang w:val="en-US" w:eastAsia="zh-CN"/>
        </w:rPr>
        <w:t>2.2项目可持续影响指标分析</w:t>
      </w:r>
    </w:p>
    <w:p w14:paraId="60D773F2">
      <w:pPr>
        <w:pStyle w:val="52"/>
        <w:spacing w:line="580" w:lineRule="exact"/>
        <w:ind w:left="0" w:leftChars="0" w:right="0" w:rightChars="0" w:firstLine="560"/>
        <w:rPr>
          <w:rFonts w:hint="default" w:ascii="仿宋_GB2312" w:cs="Times New Roman"/>
          <w:color w:val="auto"/>
          <w:highlight w:val="none"/>
          <w:lang w:val="en-US" w:eastAsia="zh-CN"/>
        </w:rPr>
      </w:pPr>
      <w:r>
        <w:rPr>
          <w:rFonts w:hint="eastAsia" w:ascii="仿宋_GB2312" w:hAnsi="Times New Roman" w:cs="Times New Roman"/>
          <w:color w:val="auto"/>
          <w:highlight w:val="none"/>
          <w:lang w:val="en-US" w:eastAsia="zh-CN"/>
        </w:rPr>
        <w:t>“变压器及电线可使用年限”指标，指标预期为</w:t>
      </w:r>
      <w:r>
        <w:rPr>
          <w:rFonts w:hint="eastAsia" w:ascii="仿宋_GB2312" w:cs="Times New Roman"/>
          <w:color w:val="auto"/>
          <w:highlight w:val="none"/>
          <w:lang w:val="en-US" w:eastAsia="zh-CN"/>
        </w:rPr>
        <w:t>大于等于25年</w:t>
      </w:r>
      <w:r>
        <w:rPr>
          <w:rFonts w:hint="eastAsia" w:ascii="仿宋_GB2312" w:hAnsi="Times New Roman" w:cs="Times New Roman"/>
          <w:color w:val="auto"/>
          <w:highlight w:val="none"/>
          <w:lang w:val="en-US" w:eastAsia="zh-CN"/>
        </w:rPr>
        <w:t>，实际完成为</w:t>
      </w:r>
      <w:r>
        <w:rPr>
          <w:rFonts w:hint="eastAsia" w:ascii="仿宋_GB2312" w:cs="Times New Roman"/>
          <w:color w:val="auto"/>
          <w:highlight w:val="none"/>
          <w:lang w:val="en-US" w:eastAsia="zh-CN"/>
        </w:rPr>
        <w:t>25年</w:t>
      </w:r>
      <w:r>
        <w:rPr>
          <w:rFonts w:hint="eastAsia" w:ascii="仿宋_GB2312" w:hAnsi="Times New Roman" w:cs="Times New Roman"/>
          <w:color w:val="auto"/>
          <w:highlight w:val="none"/>
          <w:lang w:val="en-US" w:eastAsia="zh-CN"/>
        </w:rPr>
        <w:t>，指标完成率为100.00%。所设分值</w:t>
      </w:r>
      <w:r>
        <w:rPr>
          <w:rFonts w:hint="eastAsia" w:ascii="仿宋_GB2312" w:cs="Times New Roman"/>
          <w:color w:val="auto"/>
          <w:highlight w:val="none"/>
          <w:lang w:val="en-US" w:eastAsia="zh-CN"/>
        </w:rPr>
        <w:t>15</w:t>
      </w:r>
      <w:r>
        <w:rPr>
          <w:rFonts w:hint="eastAsia" w:ascii="仿宋_GB2312" w:hAnsi="Times New Roman" w:cs="Times New Roman"/>
          <w:color w:val="auto"/>
          <w:highlight w:val="none"/>
          <w:lang w:val="en-US" w:eastAsia="zh-CN"/>
        </w:rPr>
        <w:t>分，实际得分</w:t>
      </w:r>
      <w:r>
        <w:rPr>
          <w:rFonts w:hint="eastAsia" w:ascii="仿宋_GB2312" w:cs="Times New Roman"/>
          <w:color w:val="auto"/>
          <w:highlight w:val="none"/>
          <w:lang w:val="en-US" w:eastAsia="zh-CN"/>
        </w:rPr>
        <w:t>15</w:t>
      </w:r>
      <w:bookmarkStart w:id="0" w:name="_GoBack"/>
      <w:bookmarkEnd w:id="0"/>
      <w:r>
        <w:rPr>
          <w:rFonts w:hint="eastAsia" w:ascii="仿宋_GB2312" w:hAnsi="Times New Roman" w:cs="Times New Roman"/>
          <w:color w:val="auto"/>
          <w:highlight w:val="none"/>
          <w:lang w:val="en-US" w:eastAsia="zh-CN"/>
        </w:rPr>
        <w:t>分。</w:t>
      </w:r>
    </w:p>
    <w:p w14:paraId="05C5413E">
      <w:pPr>
        <w:pStyle w:val="33"/>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2" w:firstLineChars="200"/>
        <w:textAlignment w:val="auto"/>
        <w:rPr>
          <w:rFonts w:hint="eastAsia" w:ascii="仿宋_GB2312" w:hAnsi="宋体" w:eastAsia="仿宋_GB2312" w:cstheme="minorBidi"/>
          <w:b/>
          <w:bCs w:val="0"/>
          <w:color w:val="auto"/>
          <w:kern w:val="2"/>
          <w:sz w:val="28"/>
          <w:szCs w:val="32"/>
          <w:highlight w:val="none"/>
          <w:lang w:val="en-US" w:eastAsia="zh-CN" w:bidi="ar-SA"/>
        </w:rPr>
      </w:pPr>
      <w:r>
        <w:rPr>
          <w:rFonts w:hint="eastAsia" w:ascii="仿宋_GB2312" w:hAnsi="宋体" w:eastAsia="仿宋_GB2312" w:cstheme="minorBidi"/>
          <w:b/>
          <w:bCs w:val="0"/>
          <w:color w:val="auto"/>
          <w:kern w:val="2"/>
          <w:sz w:val="28"/>
          <w:szCs w:val="32"/>
          <w:highlight w:val="none"/>
          <w:lang w:val="en-US" w:eastAsia="zh-CN" w:bidi="ar-SA"/>
        </w:rPr>
        <w:t>3.满意度指标完成情况分析</w:t>
      </w:r>
    </w:p>
    <w:p w14:paraId="71F2662F">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“受益村</w:t>
      </w:r>
      <w:r>
        <w:rPr>
          <w:rFonts w:hint="eastAsia" w:ascii="仿宋_GB2312" w:cs="Times New Roman"/>
          <w:color w:val="auto"/>
          <w:highlight w:val="none"/>
          <w:lang w:val="en-US" w:eastAsia="zh-CN"/>
        </w:rPr>
        <w:t>民</w:t>
      </w:r>
      <w:r>
        <w:rPr>
          <w:rFonts w:hint="eastAsia" w:ascii="仿宋_GB2312" w:hAnsi="Times New Roman" w:cs="Times New Roman"/>
          <w:color w:val="auto"/>
          <w:highlight w:val="none"/>
          <w:lang w:val="en-US" w:eastAsia="zh-CN"/>
        </w:rPr>
        <w:t>满意度”指标，指标预期指标值为大于等于95%，实际完成值为95%，指标完成率为100.00%。所设分值10分，实际得分10分。</w:t>
      </w:r>
    </w:p>
    <w:p w14:paraId="16DA0D56">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项目实施完成后我单位就该项目的满意度采取抽样发放调查问卷的方式开展调查，通过对调查问卷的梳理和统计，受益村</w:t>
      </w:r>
      <w:r>
        <w:rPr>
          <w:rFonts w:hint="eastAsia" w:ascii="仿宋_GB2312" w:cs="Times New Roman"/>
          <w:color w:val="auto"/>
          <w:highlight w:val="none"/>
          <w:lang w:val="en-US" w:eastAsia="zh-CN"/>
        </w:rPr>
        <w:t>民</w:t>
      </w:r>
      <w:r>
        <w:rPr>
          <w:rFonts w:hint="eastAsia" w:ascii="仿宋_GB2312" w:hAnsi="Times New Roman" w:cs="Times New Roman"/>
          <w:color w:val="auto"/>
          <w:highlight w:val="none"/>
          <w:lang w:val="en-US" w:eastAsia="zh-CN"/>
        </w:rPr>
        <w:t>满意度指标综合满意率为95.00%。</w:t>
      </w:r>
    </w:p>
    <w:p w14:paraId="0E6BB138">
      <w:pPr>
        <w:pStyle w:val="29"/>
        <w:spacing w:before="120"/>
        <w:ind w:left="0" w:leftChars="0" w:right="3" w:firstLine="562" w:firstLineChars="200"/>
        <w:rPr>
          <w:rFonts w:hint="eastAsia" w:ascii="宋体" w:hAnsi="宋体"/>
          <w:color w:val="auto"/>
          <w:highlight w:val="none"/>
        </w:rPr>
      </w:pPr>
      <w:r>
        <w:rPr>
          <w:rFonts w:hint="eastAsia" w:ascii="宋体" w:hAnsi="宋体"/>
          <w:color w:val="auto"/>
          <w:highlight w:val="none"/>
        </w:rPr>
        <w:t>四、偏离绩效目标的原因和下一步改进措施</w:t>
      </w:r>
    </w:p>
    <w:p w14:paraId="3D3E24D9">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cs="Times New Roman"/>
          <w:color w:val="auto"/>
          <w:highlight w:val="none"/>
          <w:lang w:val="en-US" w:eastAsia="zh-CN"/>
        </w:rPr>
        <w:t>1.成本指标-</w:t>
      </w:r>
      <w:r>
        <w:rPr>
          <w:rFonts w:hint="eastAsia" w:ascii="仿宋_GB2312" w:hAnsi="Times New Roman" w:cs="Times New Roman"/>
          <w:color w:val="auto"/>
          <w:highlight w:val="none"/>
        </w:rPr>
        <w:t>“建筑工程费用”指标，预期指标值为</w:t>
      </w:r>
      <w:r>
        <w:rPr>
          <w:rFonts w:hint="eastAsia" w:ascii="仿宋_GB2312" w:hAnsi="Times New Roman" w:cs="Times New Roman"/>
          <w:color w:val="auto"/>
          <w:highlight w:val="none"/>
          <w:lang w:eastAsia="zh-CN"/>
        </w:rPr>
        <w:t>小于等于</w:t>
      </w:r>
      <w:r>
        <w:rPr>
          <w:rFonts w:hint="eastAsia" w:ascii="仿宋_GB2312" w:hAnsi="Times New Roman" w:cs="Times New Roman"/>
          <w:color w:val="auto"/>
          <w:highlight w:val="none"/>
          <w:lang w:val="en-US" w:eastAsia="zh-CN"/>
        </w:rPr>
        <w:t>288.52</w:t>
      </w:r>
      <w:r>
        <w:rPr>
          <w:rFonts w:hint="eastAsia" w:ascii="仿宋_GB2312" w:hAnsi="Times New Roman" w:cs="Times New Roman"/>
          <w:color w:val="auto"/>
          <w:highlight w:val="none"/>
        </w:rPr>
        <w:t>万元, 全年实际值为</w:t>
      </w:r>
      <w:r>
        <w:rPr>
          <w:rFonts w:hint="eastAsia" w:ascii="仿宋_GB2312" w:hAnsi="Times New Roman" w:cs="Times New Roman"/>
          <w:color w:val="auto"/>
          <w:highlight w:val="none"/>
          <w:lang w:val="en-US" w:eastAsia="zh-CN"/>
        </w:rPr>
        <w:t>283.68</w:t>
      </w:r>
      <w:r>
        <w:rPr>
          <w:rFonts w:hint="eastAsia" w:ascii="仿宋_GB2312" w:hAnsi="Times New Roman" w:cs="Times New Roman"/>
          <w:color w:val="auto"/>
          <w:highlight w:val="none"/>
        </w:rPr>
        <w:t>万元，指标完成率为</w:t>
      </w:r>
      <w:r>
        <w:rPr>
          <w:rFonts w:hint="eastAsia" w:ascii="仿宋_GB2312" w:hAnsi="Times New Roman" w:cs="Times New Roman"/>
          <w:color w:val="auto"/>
          <w:highlight w:val="none"/>
          <w:lang w:val="en-US" w:eastAsia="zh-CN"/>
        </w:rPr>
        <w:t>98.32</w:t>
      </w:r>
      <w:r>
        <w:rPr>
          <w:rFonts w:hint="eastAsia" w:ascii="仿宋_GB2312" w:hAnsi="Times New Roman" w:cs="Times New Roman"/>
          <w:color w:val="auto"/>
          <w:highlight w:val="none"/>
        </w:rPr>
        <w:t>%。所设分值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5.9</w:t>
      </w:r>
      <w:r>
        <w:rPr>
          <w:rFonts w:hint="eastAsia" w:ascii="仿宋_GB2312" w:hAnsi="Times New Roman" w:cs="Times New Roman"/>
          <w:color w:val="auto"/>
          <w:highlight w:val="none"/>
        </w:rPr>
        <w:t>分。</w:t>
      </w:r>
    </w:p>
    <w:p w14:paraId="6D597212">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偏差原因：项目已完工，剩余资金结余。</w:t>
      </w:r>
    </w:p>
    <w:p w14:paraId="37CF47D6">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改进措施：加强项目管理。</w:t>
      </w:r>
    </w:p>
    <w:p w14:paraId="222D64DF">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cs="Times New Roman"/>
          <w:color w:val="auto"/>
          <w:highlight w:val="none"/>
          <w:lang w:val="en-US" w:eastAsia="zh-CN"/>
        </w:rPr>
        <w:t>2.成本指标-</w:t>
      </w:r>
      <w:r>
        <w:rPr>
          <w:rFonts w:hint="eastAsia" w:ascii="仿宋_GB2312" w:hAnsi="Times New Roman" w:cs="Times New Roman"/>
          <w:color w:val="auto"/>
          <w:highlight w:val="none"/>
        </w:rPr>
        <w:t>“其他费用”指标，预期指标值为</w:t>
      </w:r>
      <w:r>
        <w:rPr>
          <w:rFonts w:hint="eastAsia" w:ascii="仿宋_GB2312" w:hAnsi="Times New Roman" w:cs="Times New Roman"/>
          <w:color w:val="auto"/>
          <w:highlight w:val="none"/>
          <w:lang w:eastAsia="zh-CN"/>
        </w:rPr>
        <w:t>小于等于</w:t>
      </w:r>
      <w:r>
        <w:rPr>
          <w:rFonts w:hint="eastAsia" w:ascii="仿宋_GB2312" w:hAnsi="Times New Roman" w:cs="Times New Roman"/>
          <w:color w:val="auto"/>
          <w:highlight w:val="none"/>
          <w:lang w:val="en-US" w:eastAsia="zh-CN"/>
        </w:rPr>
        <w:t>11.48</w:t>
      </w:r>
      <w:r>
        <w:rPr>
          <w:rFonts w:hint="eastAsia" w:ascii="仿宋_GB2312" w:hAnsi="Times New Roman" w:cs="Times New Roman"/>
          <w:color w:val="auto"/>
          <w:highlight w:val="none"/>
        </w:rPr>
        <w:t>‬万元, 全年实际值为</w:t>
      </w:r>
      <w:r>
        <w:rPr>
          <w:rFonts w:hint="eastAsia" w:ascii="仿宋_GB2312" w:hAnsi="Times New Roman" w:cs="Times New Roman"/>
          <w:color w:val="auto"/>
          <w:highlight w:val="none"/>
          <w:lang w:val="en-US" w:eastAsia="zh-CN"/>
        </w:rPr>
        <w:t>11.55</w:t>
      </w:r>
      <w:r>
        <w:rPr>
          <w:rFonts w:hint="eastAsia" w:ascii="仿宋_GB2312" w:hAnsi="Times New Roman" w:cs="Times New Roman"/>
          <w:color w:val="auto"/>
          <w:highlight w:val="none"/>
        </w:rPr>
        <w:t>‬万元，指标完成率为</w:t>
      </w:r>
      <w:r>
        <w:rPr>
          <w:rFonts w:hint="eastAsia" w:ascii="仿宋_GB2312" w:hAnsi="Times New Roman" w:cs="Times New Roman"/>
          <w:color w:val="auto"/>
          <w:highlight w:val="none"/>
          <w:lang w:val="en-US" w:eastAsia="zh-CN"/>
        </w:rPr>
        <w:t>99</w:t>
      </w:r>
      <w:r>
        <w:rPr>
          <w:rFonts w:hint="eastAsia" w:ascii="仿宋_GB2312" w:hAnsi="Times New Roman" w:cs="Times New Roman"/>
          <w:color w:val="auto"/>
          <w:highlight w:val="none"/>
        </w:rPr>
        <w:t>%。所设分值</w:t>
      </w:r>
      <w:r>
        <w:rPr>
          <w:rFonts w:hint="eastAsia" w:ascii="仿宋_GB2312" w:hAnsi="Times New Roman" w:cs="Times New Roman"/>
          <w:color w:val="auto"/>
          <w:highlight w:val="none"/>
          <w:lang w:val="en-US" w:eastAsia="zh-CN"/>
        </w:rPr>
        <w:t>6</w:t>
      </w:r>
      <w:r>
        <w:rPr>
          <w:rFonts w:hint="eastAsia" w:ascii="仿宋_GB2312" w:hAnsi="Times New Roman" w:cs="Times New Roman"/>
          <w:color w:val="auto"/>
          <w:highlight w:val="none"/>
        </w:rPr>
        <w:t>分，实际得分</w:t>
      </w:r>
      <w:r>
        <w:rPr>
          <w:rFonts w:hint="eastAsia" w:ascii="仿宋_GB2312" w:hAnsi="Times New Roman" w:cs="Times New Roman"/>
          <w:color w:val="auto"/>
          <w:highlight w:val="none"/>
          <w:lang w:val="en-US" w:eastAsia="zh-CN"/>
        </w:rPr>
        <w:t>5.94</w:t>
      </w:r>
      <w:r>
        <w:rPr>
          <w:rFonts w:hint="eastAsia" w:ascii="仿宋_GB2312" w:hAnsi="Times New Roman" w:cs="Times New Roman"/>
          <w:color w:val="auto"/>
          <w:highlight w:val="none"/>
        </w:rPr>
        <w:t>分。</w:t>
      </w:r>
    </w:p>
    <w:p w14:paraId="556DDED5">
      <w:pPr>
        <w:pStyle w:val="52"/>
        <w:spacing w:line="580" w:lineRule="exact"/>
        <w:ind w:left="0" w:leftChars="0" w:right="0" w:rightChars="0" w:firstLine="560"/>
        <w:rPr>
          <w:rFonts w:hint="eastAsia" w:ascii="仿宋_GB2312" w:hAnsi="Times New Roman" w:cs="Times New Roman"/>
          <w:color w:val="auto"/>
          <w:highlight w:val="none"/>
        </w:rPr>
      </w:pPr>
      <w:r>
        <w:rPr>
          <w:rFonts w:hint="eastAsia" w:ascii="仿宋_GB2312" w:hAnsi="Times New Roman" w:cs="Times New Roman"/>
          <w:color w:val="auto"/>
          <w:highlight w:val="none"/>
        </w:rPr>
        <w:t>偏差原因：未精准对前期费用进行全面评估。</w:t>
      </w:r>
    </w:p>
    <w:p w14:paraId="1BF37526">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rPr>
        <w:t>整改措施：建立严格的预算管理制度，加强成本意识培训在未来的项目建设中汲取经验教训，做到预算精准</w:t>
      </w:r>
      <w:r>
        <w:rPr>
          <w:rFonts w:hint="eastAsia" w:ascii="仿宋_GB2312" w:hAnsi="Times New Roman" w:cs="Times New Roman"/>
          <w:color w:val="auto"/>
          <w:highlight w:val="none"/>
          <w:lang w:val="en-US" w:eastAsia="zh-CN"/>
        </w:rPr>
        <w:t>。</w:t>
      </w:r>
    </w:p>
    <w:p w14:paraId="69479B57">
      <w:pPr>
        <w:pStyle w:val="29"/>
        <w:spacing w:before="120"/>
        <w:ind w:left="0" w:leftChars="0" w:right="3" w:firstLine="562" w:firstLineChars="200"/>
        <w:rPr>
          <w:rFonts w:hint="eastAsia" w:ascii="宋体" w:hAnsi="宋体"/>
          <w:color w:val="auto"/>
          <w:highlight w:val="none"/>
        </w:rPr>
      </w:pPr>
      <w:r>
        <w:rPr>
          <w:rFonts w:hint="eastAsia" w:ascii="宋体" w:hAnsi="宋体"/>
          <w:color w:val="auto"/>
          <w:highlight w:val="none"/>
        </w:rPr>
        <w:t>五、绩效自评结果拟应用和公开情况</w:t>
      </w:r>
    </w:p>
    <w:p w14:paraId="20263BDA">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项目本次评价通过文件研读、实地调研、数据采集、问卷调查方式下，全面了解于田县英巴格乡红柳大芸地电力提升改造建设项目资金的使用效率和效果，从而得出以下综合评价结论：在绩效目标方面，本项目共设置一级指标3个，二级指标7个，三级指标12个，其中已完成三级指标1</w:t>
      </w:r>
      <w:r>
        <w:rPr>
          <w:rFonts w:hint="eastAsia" w:ascii="仿宋_GB2312" w:cs="Times New Roman"/>
          <w:color w:val="auto"/>
          <w:highlight w:val="none"/>
          <w:lang w:val="en-US" w:eastAsia="zh-CN"/>
        </w:rPr>
        <w:t>0</w:t>
      </w:r>
      <w:r>
        <w:rPr>
          <w:rFonts w:hint="eastAsia" w:ascii="仿宋_GB2312" w:hAnsi="Times New Roman" w:cs="Times New Roman"/>
          <w:color w:val="auto"/>
          <w:highlight w:val="none"/>
          <w:lang w:val="en-US" w:eastAsia="zh-CN"/>
        </w:rPr>
        <w:t>个，指标完成率为99.</w:t>
      </w:r>
      <w:r>
        <w:rPr>
          <w:rFonts w:hint="eastAsia" w:ascii="仿宋_GB2312" w:cs="Times New Roman"/>
          <w:color w:val="auto"/>
          <w:highlight w:val="none"/>
          <w:lang w:val="en-US" w:eastAsia="zh-CN"/>
        </w:rPr>
        <w:t>78</w:t>
      </w:r>
      <w:r>
        <w:rPr>
          <w:rFonts w:hint="eastAsia" w:ascii="仿宋_GB2312" w:hAnsi="Times New Roman" w:cs="Times New Roman"/>
          <w:color w:val="auto"/>
          <w:highlight w:val="none"/>
          <w:lang w:val="en-US" w:eastAsia="zh-CN"/>
        </w:rPr>
        <w:t>%；在资金使用方面，严格按照《于田县扶贫资金财务管理制度》、《于田县财政局财务管理制度》执行，保障了资金使用规范、安全，无挪用、截留资金的情况发生。在项目管理方面，制定了《于田县英巴格乡红柳大芸地电力提升改造建设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1367B311">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项目最终得分为9</w:t>
      </w:r>
      <w:r>
        <w:rPr>
          <w:rFonts w:hint="eastAsia" w:ascii="仿宋_GB2312" w:cs="Times New Roman"/>
          <w:color w:val="auto"/>
          <w:highlight w:val="none"/>
          <w:lang w:val="en-US" w:eastAsia="zh-CN"/>
        </w:rPr>
        <w:t>9.68</w:t>
      </w:r>
      <w:r>
        <w:rPr>
          <w:rFonts w:hint="eastAsia" w:ascii="仿宋_GB2312" w:hAnsi="Times New Roman" w:cs="Times New Roman"/>
          <w:color w:val="auto"/>
          <w:highlight w:val="none"/>
          <w:lang w:val="en-US" w:eastAsia="zh-CN"/>
        </w:rPr>
        <w:t>分，评价等级为优。</w:t>
      </w:r>
    </w:p>
    <w:p w14:paraId="70B57032">
      <w:pPr>
        <w:pStyle w:val="52"/>
        <w:keepNext w:val="0"/>
        <w:keepLines w:val="0"/>
        <w:pageBreakBefore w:val="0"/>
        <w:widowControl w:val="0"/>
        <w:kinsoku/>
        <w:wordWrap/>
        <w:overflowPunct/>
        <w:topLinePunct w:val="0"/>
        <w:autoSpaceDE/>
        <w:autoSpaceDN/>
        <w:bidi w:val="0"/>
        <w:adjustRightInd/>
        <w:spacing w:line="240" w:lineRule="auto"/>
        <w:ind w:left="3" w:right="3" w:firstLine="554"/>
        <w:textAlignment w:val="auto"/>
        <w:rPr>
          <w:rFonts w:hint="eastAsia" w:ascii="宋体" w:hAnsi="宋体" w:eastAsia="黑体" w:cstheme="minorBidi"/>
          <w:b/>
          <w:bCs/>
          <w:color w:val="auto"/>
          <w:kern w:val="2"/>
          <w:sz w:val="28"/>
          <w:szCs w:val="44"/>
          <w:highlight w:val="none"/>
          <w:lang w:val="en-US" w:eastAsia="zh-CN" w:bidi="ar-SA"/>
        </w:rPr>
      </w:pPr>
      <w:r>
        <w:rPr>
          <w:rFonts w:hint="eastAsia" w:ascii="宋体" w:hAnsi="宋体" w:eastAsia="黑体" w:cstheme="minorBidi"/>
          <w:b/>
          <w:bCs/>
          <w:color w:val="auto"/>
          <w:kern w:val="2"/>
          <w:sz w:val="28"/>
          <w:szCs w:val="44"/>
          <w:highlight w:val="none"/>
          <w:lang w:val="en-US" w:eastAsia="zh-CN" w:bidi="ar-SA"/>
        </w:rPr>
        <w:t>（一）绩效自评结果拟应用情况</w:t>
      </w:r>
    </w:p>
    <w:p w14:paraId="3578F347">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B8B4FA2">
      <w:pPr>
        <w:pStyle w:val="52"/>
        <w:spacing w:line="580" w:lineRule="exact"/>
        <w:ind w:left="0" w:leftChars="0" w:right="0" w:rightChars="0" w:firstLine="560"/>
        <w:rPr>
          <w:rFonts w:hint="eastAsia" w:ascii="仿宋_GB2312" w:hAnsi="Times New Roman" w:cs="Times New Roman"/>
          <w:b/>
          <w:bCs/>
          <w:color w:val="auto"/>
          <w:highlight w:val="none"/>
          <w:lang w:val="en-US" w:eastAsia="zh-CN"/>
        </w:rPr>
      </w:pPr>
      <w:r>
        <w:rPr>
          <w:rFonts w:hint="eastAsia" w:ascii="仿宋_GB2312" w:hAnsi="Times New Roman" w:cs="Times New Roman"/>
          <w:b/>
          <w:bCs/>
          <w:color w:val="auto"/>
          <w:highlight w:val="none"/>
          <w:lang w:val="en-US" w:eastAsia="zh-CN"/>
        </w:rPr>
        <w:t>（二）指标佐证材料说明</w:t>
      </w:r>
    </w:p>
    <w:p w14:paraId="535D7097">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项目状况：该项目由于田县英巴格乡人民政府负责项目的实施方案，并由于田县发展和改革委员会下发《关于对于田县英巴格乡红柳大芸地电力提升改造建设项目实施方案的批复》（于发改项目〔2024〕26号）。</w:t>
      </w:r>
    </w:p>
    <w:p w14:paraId="2219230C">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资金状况：预算资金来源为乡村振兴衔接资金，文件依据：于田县发展和改革委员会下发《关于对于田县英巴格乡红柳大芸地电力提升改造建设项目实施方案的批复》（于发改项目〔2024〕26号）</w:t>
      </w:r>
    </w:p>
    <w:p w14:paraId="702F10FF">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过程状况：该项目于2024年1月制订初步方案并得到批复，于2024年1月30日发布竞争性谈判公告，英巴格乡人民政府委托招标代理公司为鼎建项目管理有限公司，开标时间为2024年2月2日，通过竞争性谈判的方式于2024年2月5日确定施工中标单位为新疆西部之光电力工程有限公司，2024年4月30日完工。</w:t>
      </w:r>
    </w:p>
    <w:p w14:paraId="440B4B06">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结果状况：2024年5月22日，于田县乡村振兴局，于县财政局、档案局、发展和改革委员会、电力公司联合竣工验收结果状况：合格。</w:t>
      </w:r>
    </w:p>
    <w:p w14:paraId="5BE4DC26">
      <w:pPr>
        <w:pStyle w:val="52"/>
        <w:keepNext w:val="0"/>
        <w:keepLines w:val="0"/>
        <w:pageBreakBefore w:val="0"/>
        <w:widowControl w:val="0"/>
        <w:kinsoku/>
        <w:wordWrap/>
        <w:overflowPunct/>
        <w:topLinePunct w:val="0"/>
        <w:autoSpaceDE/>
        <w:autoSpaceDN/>
        <w:bidi w:val="0"/>
        <w:adjustRightInd/>
        <w:spacing w:line="240" w:lineRule="auto"/>
        <w:ind w:left="3" w:right="3" w:firstLine="562"/>
        <w:textAlignment w:val="auto"/>
        <w:rPr>
          <w:rFonts w:hint="eastAsia" w:ascii="宋体" w:hAnsi="宋体" w:eastAsia="黑体" w:cstheme="minorBidi"/>
          <w:b/>
          <w:bCs/>
          <w:color w:val="auto"/>
          <w:kern w:val="2"/>
          <w:sz w:val="28"/>
          <w:szCs w:val="44"/>
          <w:highlight w:val="none"/>
          <w:lang w:val="en-US" w:eastAsia="zh-CN" w:bidi="ar-SA"/>
        </w:rPr>
      </w:pPr>
      <w:r>
        <w:rPr>
          <w:rFonts w:hint="eastAsia" w:ascii="宋体" w:hAnsi="宋体" w:eastAsia="黑体" w:cstheme="minorBidi"/>
          <w:b/>
          <w:bCs/>
          <w:color w:val="auto"/>
          <w:kern w:val="2"/>
          <w:sz w:val="28"/>
          <w:szCs w:val="44"/>
          <w:highlight w:val="none"/>
          <w:lang w:val="en-US" w:eastAsia="zh-CN" w:bidi="ar-SA"/>
        </w:rPr>
        <w:t>（三）主要经验及做法</w:t>
      </w:r>
    </w:p>
    <w:p w14:paraId="0A76A2CE">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于田县英巴格乡红柳大芸地电力提升改造建设项目资金安排、使用过程中严格执行乡村振兴项目资金管理制度，确保乡村振兴项目正常运行为构建长效稳定奠定物质基础。</w:t>
      </w:r>
    </w:p>
    <w:p w14:paraId="431415D4">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rPr>
          <w:rFonts w:hint="eastAsia" w:ascii="宋体" w:hAnsi="宋体" w:eastAsia="黑体" w:cstheme="minorBidi"/>
          <w:b/>
          <w:bCs/>
          <w:color w:val="auto"/>
          <w:kern w:val="2"/>
          <w:sz w:val="28"/>
          <w:szCs w:val="44"/>
          <w:highlight w:val="none"/>
          <w:lang w:val="en-US" w:eastAsia="zh-CN" w:bidi="ar-SA"/>
        </w:rPr>
      </w:pPr>
      <w:r>
        <w:rPr>
          <w:rFonts w:hint="eastAsia" w:ascii="宋体" w:hAnsi="宋体" w:eastAsia="黑体" w:cstheme="minorBidi"/>
          <w:b/>
          <w:bCs/>
          <w:color w:val="auto"/>
          <w:kern w:val="2"/>
          <w:sz w:val="28"/>
          <w:szCs w:val="44"/>
          <w:highlight w:val="none"/>
          <w:lang w:val="en-US" w:eastAsia="zh-CN" w:bidi="ar-SA"/>
        </w:rPr>
        <w:t>（四）存在的问题</w:t>
      </w:r>
    </w:p>
    <w:p w14:paraId="70E68FAE">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于田县英巴格乡红柳大芸地电力提升改造建设项目资金安排、使用过程中存在一些问题，主要是资金申报，审批，发放过程中存在对资金拨付缓慢问题。</w:t>
      </w:r>
    </w:p>
    <w:p w14:paraId="34607768">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rPr>
          <w:rFonts w:hint="eastAsia" w:ascii="宋体" w:hAnsi="宋体" w:eastAsia="黑体" w:cstheme="minorBidi"/>
          <w:b/>
          <w:bCs/>
          <w:color w:val="auto"/>
          <w:kern w:val="2"/>
          <w:sz w:val="28"/>
          <w:szCs w:val="44"/>
          <w:highlight w:val="none"/>
          <w:lang w:val="en-US" w:eastAsia="zh-CN" w:bidi="ar-SA"/>
        </w:rPr>
      </w:pPr>
      <w:r>
        <w:rPr>
          <w:rFonts w:hint="eastAsia" w:ascii="宋体" w:hAnsi="宋体" w:eastAsia="黑体" w:cstheme="minorBidi"/>
          <w:b/>
          <w:bCs/>
          <w:color w:val="auto"/>
          <w:kern w:val="2"/>
          <w:sz w:val="28"/>
          <w:szCs w:val="44"/>
          <w:highlight w:val="none"/>
          <w:lang w:val="en-US" w:eastAsia="zh-CN" w:bidi="ar-SA"/>
        </w:rPr>
        <w:t>（五）建议</w:t>
      </w:r>
    </w:p>
    <w:p w14:paraId="4F65A6D1">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5C8C1079">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rPr>
          <w:rFonts w:hint="eastAsia" w:ascii="宋体" w:hAnsi="宋体" w:eastAsia="黑体" w:cstheme="minorBidi"/>
          <w:b/>
          <w:bCs/>
          <w:color w:val="auto"/>
          <w:kern w:val="2"/>
          <w:sz w:val="28"/>
          <w:szCs w:val="44"/>
          <w:highlight w:val="none"/>
          <w:lang w:val="en-US" w:eastAsia="zh-CN" w:bidi="ar-SA"/>
        </w:rPr>
      </w:pPr>
      <w:r>
        <w:rPr>
          <w:rFonts w:hint="eastAsia" w:ascii="宋体" w:hAnsi="宋体" w:eastAsia="黑体" w:cstheme="minorBidi"/>
          <w:b/>
          <w:bCs/>
          <w:color w:val="auto"/>
          <w:kern w:val="2"/>
          <w:sz w:val="28"/>
          <w:szCs w:val="44"/>
          <w:highlight w:val="none"/>
          <w:lang w:val="en-US" w:eastAsia="zh-CN" w:bidi="ar-SA"/>
        </w:rPr>
        <w:t>（六）项目绩效公告公示情况</w:t>
      </w:r>
    </w:p>
    <w:p w14:paraId="49AF7E90">
      <w:pPr>
        <w:pStyle w:val="52"/>
        <w:spacing w:line="580" w:lineRule="exact"/>
        <w:ind w:left="0" w:leftChars="0" w:right="0" w:rightChars="0" w:firstLine="560"/>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19E45330">
        <w:pPr>
          <w:pStyle w:val="13"/>
          <w:jc w:val="center"/>
        </w:pPr>
        <w:r>
          <w:fldChar w:fldCharType="begin"/>
        </w:r>
        <w:r>
          <w:instrText xml:space="preserve">PAGE   \* MERGEFORMAT</w:instrText>
        </w:r>
        <w:r>
          <w:fldChar w:fldCharType="separate"/>
        </w:r>
        <w:r>
          <w:rPr>
            <w:lang w:val="zh-CN"/>
          </w:rPr>
          <w:t>1</w:t>
        </w:r>
        <w:r>
          <w:fldChar w:fldCharType="end"/>
        </w:r>
      </w:p>
    </w:sdtContent>
  </w:sdt>
  <w:p w14:paraId="27A2C407">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DD270">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172A27"/>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8823712"/>
    <w:rsid w:val="1821652C"/>
    <w:rsid w:val="184E439E"/>
    <w:rsid w:val="1C5E7CA4"/>
    <w:rsid w:val="1E9D1CE3"/>
    <w:rsid w:val="1FB8187C"/>
    <w:rsid w:val="26254825"/>
    <w:rsid w:val="26917203"/>
    <w:rsid w:val="280008CF"/>
    <w:rsid w:val="2D8F56D8"/>
    <w:rsid w:val="2E0B3A13"/>
    <w:rsid w:val="345F370E"/>
    <w:rsid w:val="37FF759F"/>
    <w:rsid w:val="3A0642EC"/>
    <w:rsid w:val="3BDE0AE2"/>
    <w:rsid w:val="3E982E81"/>
    <w:rsid w:val="3F23572E"/>
    <w:rsid w:val="46C66D06"/>
    <w:rsid w:val="500A43FB"/>
    <w:rsid w:val="662F5AB8"/>
    <w:rsid w:val="78FA43B7"/>
    <w:rsid w:val="7BAB58C5"/>
    <w:rsid w:val="7BC6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2">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2"/>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2"/>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6714</Words>
  <Characters>7412</Characters>
  <Lines>9</Lines>
  <Paragraphs>15</Paragraphs>
  <TotalTime>1</TotalTime>
  <ScaleCrop>false</ScaleCrop>
  <LinksUpToDate>false</LinksUpToDate>
  <CharactersWithSpaces>7608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2025-03-03T11:13:16Z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