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2A5183">
      <w:pPr>
        <w:spacing w:before="120" w:after="120" w:line="480" w:lineRule="auto"/>
        <w:ind w:firstLine="883" w:firstLineChars="200"/>
        <w:jc w:val="center"/>
        <w:outlineLvl w:val="0"/>
        <w:rPr>
          <w:rFonts w:ascii="仿宋_GB2312" w:hAnsi="Arial"/>
          <w:b/>
          <w:color w:val="auto"/>
          <w:sz w:val="44"/>
          <w:szCs w:val="44"/>
          <w:highlight w:val="none"/>
        </w:rPr>
      </w:pPr>
    </w:p>
    <w:p w14:paraId="17067CC2">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54F737CB">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4B7EB8BC">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348E7593">
      <w:pPr>
        <w:spacing w:line="540" w:lineRule="exact"/>
        <w:ind w:firstLine="600" w:firstLineChars="200"/>
        <w:jc w:val="center"/>
        <w:rPr>
          <w:rFonts w:hAnsi="宋体" w:cs="宋体"/>
          <w:color w:val="auto"/>
          <w:kern w:val="0"/>
          <w:sz w:val="30"/>
          <w:szCs w:val="30"/>
          <w:highlight w:val="none"/>
        </w:rPr>
      </w:pPr>
    </w:p>
    <w:p w14:paraId="7F8D20D9">
      <w:pPr>
        <w:spacing w:line="540" w:lineRule="exact"/>
        <w:ind w:firstLine="600" w:firstLineChars="200"/>
        <w:jc w:val="center"/>
        <w:rPr>
          <w:rFonts w:hAnsi="宋体" w:cs="宋体"/>
          <w:color w:val="auto"/>
          <w:kern w:val="0"/>
          <w:sz w:val="30"/>
          <w:szCs w:val="30"/>
          <w:highlight w:val="none"/>
        </w:rPr>
      </w:pPr>
    </w:p>
    <w:p w14:paraId="32F71E76">
      <w:pPr>
        <w:spacing w:line="540" w:lineRule="exact"/>
        <w:ind w:firstLine="600" w:firstLineChars="200"/>
        <w:jc w:val="center"/>
        <w:rPr>
          <w:rFonts w:hAnsi="宋体" w:cs="宋体"/>
          <w:color w:val="auto"/>
          <w:kern w:val="0"/>
          <w:sz w:val="30"/>
          <w:szCs w:val="30"/>
          <w:highlight w:val="none"/>
        </w:rPr>
      </w:pPr>
    </w:p>
    <w:p w14:paraId="146D52C2">
      <w:pPr>
        <w:spacing w:line="540" w:lineRule="exact"/>
        <w:ind w:firstLine="600" w:firstLineChars="200"/>
        <w:jc w:val="center"/>
        <w:rPr>
          <w:rFonts w:hAnsi="宋体" w:cs="宋体"/>
          <w:color w:val="auto"/>
          <w:kern w:val="0"/>
          <w:sz w:val="30"/>
          <w:szCs w:val="30"/>
          <w:highlight w:val="none"/>
        </w:rPr>
      </w:pPr>
    </w:p>
    <w:p w14:paraId="7969059D">
      <w:pPr>
        <w:spacing w:line="540" w:lineRule="exact"/>
        <w:ind w:firstLine="600" w:firstLineChars="200"/>
        <w:rPr>
          <w:rFonts w:hAnsi="宋体" w:cs="宋体"/>
          <w:color w:val="auto"/>
          <w:kern w:val="0"/>
          <w:sz w:val="30"/>
          <w:szCs w:val="30"/>
          <w:highlight w:val="none"/>
        </w:rPr>
      </w:pPr>
    </w:p>
    <w:p w14:paraId="14617517">
      <w:pPr>
        <w:spacing w:line="540" w:lineRule="exact"/>
        <w:ind w:firstLine="600" w:firstLineChars="200"/>
        <w:rPr>
          <w:rFonts w:hAnsi="宋体" w:cs="宋体"/>
          <w:color w:val="auto"/>
          <w:kern w:val="0"/>
          <w:sz w:val="30"/>
          <w:szCs w:val="30"/>
          <w:highlight w:val="none"/>
        </w:rPr>
      </w:pPr>
    </w:p>
    <w:p w14:paraId="4905F7E6">
      <w:pPr>
        <w:spacing w:line="360" w:lineRule="auto"/>
        <w:ind w:left="640" w:leftChars="200" w:firstLine="640" w:firstLineChars="200"/>
        <w:rPr>
          <w:rFonts w:ascii="仿宋" w:hAnsi="仿宋" w:eastAsia="仿宋" w:cs="仿宋"/>
          <w:color w:val="auto"/>
          <w:szCs w:val="32"/>
          <w:highlight w:val="none"/>
        </w:rPr>
      </w:pPr>
    </w:p>
    <w:p w14:paraId="0E3577DB">
      <w:pPr>
        <w:spacing w:line="360" w:lineRule="auto"/>
        <w:ind w:left="640" w:leftChars="200" w:firstLine="640" w:firstLineChars="200"/>
        <w:rPr>
          <w:rFonts w:ascii="仿宋" w:hAnsi="仿宋" w:eastAsia="仿宋" w:cs="仿宋"/>
          <w:color w:val="auto"/>
          <w:szCs w:val="32"/>
          <w:highlight w:val="none"/>
        </w:rPr>
      </w:pPr>
    </w:p>
    <w:p w14:paraId="2E33ECB0">
      <w:pPr>
        <w:spacing w:line="560" w:lineRule="exact"/>
        <w:ind w:left="640" w:leftChars="200" w:firstLine="640" w:firstLineChars="200"/>
        <w:rPr>
          <w:rFonts w:ascii="仿宋" w:hAnsi="仿宋" w:eastAsia="仿宋" w:cs="仿宋"/>
          <w:color w:val="auto"/>
          <w:szCs w:val="32"/>
          <w:highlight w:val="none"/>
        </w:rPr>
      </w:pPr>
    </w:p>
    <w:p w14:paraId="5FAD80DD">
      <w:pPr>
        <w:spacing w:line="560" w:lineRule="exact"/>
        <w:ind w:firstLine="640" w:firstLineChars="200"/>
        <w:rPr>
          <w:rFonts w:hint="eastAsia" w:ascii="仿宋" w:hAnsi="仿宋" w:eastAsia="仿宋" w:cs="仿宋"/>
          <w:bCs/>
          <w:color w:val="auto"/>
          <w:kern w:val="0"/>
          <w:highlight w:val="none"/>
        </w:rPr>
      </w:pPr>
      <w:r>
        <w:rPr>
          <w:rFonts w:hint="eastAsia" w:ascii="仿宋" w:hAnsi="仿宋" w:eastAsia="仿宋" w:cs="仿宋"/>
          <w:color w:val="auto"/>
          <w:szCs w:val="32"/>
          <w:highlight w:val="none"/>
        </w:rPr>
        <w:t>项目名称:</w:t>
      </w:r>
      <w:r>
        <w:rPr>
          <w:rFonts w:hint="eastAsia" w:ascii="仿宋" w:hAnsi="仿宋" w:eastAsia="仿宋" w:cs="仿宋"/>
          <w:bCs/>
          <w:color w:val="auto"/>
          <w:kern w:val="0"/>
          <w:highlight w:val="none"/>
        </w:rPr>
        <w:t>于田县兰干乡防渗渠2024年中央财政以工代赈项目</w:t>
      </w:r>
    </w:p>
    <w:p w14:paraId="4CD88AA9">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val="en-US" w:eastAsia="zh-CN"/>
        </w:rPr>
        <w:t>于田县兰干乡人民政府</w:t>
      </w:r>
    </w:p>
    <w:p w14:paraId="097C82C0">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主管部门(公章):于田县发展和改革委员会</w:t>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p>
    <w:p w14:paraId="210A9384">
      <w:pPr>
        <w:spacing w:line="560" w:lineRule="exact"/>
        <w:ind w:firstLine="640" w:firstLineChars="200"/>
        <w:rPr>
          <w:rFonts w:hint="eastAsia" w:ascii="仿宋" w:hAnsi="仿宋" w:eastAsia="仿宋" w:cs="仿宋"/>
          <w:color w:val="auto"/>
          <w:szCs w:val="32"/>
          <w:highlight w:val="none"/>
          <w:lang w:val="en-US"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val="en-US" w:eastAsia="zh-CN"/>
        </w:rPr>
        <w:t>舒纪祥</w:t>
      </w:r>
    </w:p>
    <w:p w14:paraId="43A0DE12">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26</w:t>
      </w:r>
      <w:r>
        <w:rPr>
          <w:rFonts w:ascii="仿宋" w:hAnsi="仿宋" w:eastAsia="仿宋" w:cs="仿宋"/>
          <w:color w:val="auto"/>
          <w:szCs w:val="32"/>
          <w:highlight w:val="none"/>
        </w:rPr>
        <w:t>日</w:t>
      </w:r>
    </w:p>
    <w:p w14:paraId="0E1820CF">
      <w:pPr>
        <w:spacing w:line="560" w:lineRule="exact"/>
        <w:ind w:firstLine="640" w:firstLineChars="200"/>
        <w:rPr>
          <w:rFonts w:ascii="仿宋_GB2312" w:hAnsi="仿宋_GB2312" w:cs="仿宋_GB2312"/>
          <w:color w:val="auto"/>
          <w:kern w:val="0"/>
          <w:szCs w:val="32"/>
          <w:highlight w:val="none"/>
          <w:lang w:bidi="en-US"/>
        </w:rPr>
      </w:pPr>
    </w:p>
    <w:p w14:paraId="49D636F8">
      <w:pPr>
        <w:spacing w:line="560" w:lineRule="exact"/>
        <w:ind w:firstLine="640" w:firstLineChars="200"/>
        <w:rPr>
          <w:rFonts w:ascii="仿宋_GB2312" w:hAnsi="仿宋_GB2312" w:cs="仿宋_GB2312"/>
          <w:color w:val="auto"/>
          <w:kern w:val="0"/>
          <w:szCs w:val="32"/>
          <w:highlight w:val="none"/>
          <w:lang w:bidi="en-US"/>
        </w:rPr>
      </w:pPr>
    </w:p>
    <w:p w14:paraId="7F71F123">
      <w:pPr>
        <w:spacing w:line="360" w:lineRule="auto"/>
        <w:ind w:firstLine="627" w:firstLineChars="200"/>
        <w:rPr>
          <w:rStyle w:val="19"/>
          <w:rFonts w:ascii="黑体" w:hAnsi="黑体" w:eastAsia="黑体" w:cs="Times New Roman"/>
          <w:color w:val="auto"/>
          <w:spacing w:val="-4"/>
          <w:szCs w:val="32"/>
          <w:highlight w:val="none"/>
        </w:rPr>
      </w:pPr>
    </w:p>
    <w:p w14:paraId="5EEBECC9">
      <w:pPr>
        <w:spacing w:line="360" w:lineRule="auto"/>
        <w:ind w:firstLine="627" w:firstLineChars="200"/>
        <w:rPr>
          <w:rStyle w:val="19"/>
          <w:rFonts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14:paraId="0919B943">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2C7DD3F3">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p w14:paraId="3A311ED5">
      <w:pPr>
        <w:pStyle w:val="52"/>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本项目根据于田县发展和改革委员会下发的《关于对于田县兰</w:t>
      </w:r>
      <w:r>
        <w:rPr>
          <w:rFonts w:hint="eastAsia" w:ascii="仿宋_GB2312"/>
          <w:color w:val="auto"/>
          <w:szCs w:val="32"/>
          <w:highlight w:val="none"/>
          <w:lang w:val="en-US" w:eastAsia="zh-CN"/>
        </w:rPr>
        <w:t>干</w:t>
      </w:r>
      <w:r>
        <w:rPr>
          <w:rFonts w:hint="eastAsia" w:ascii="仿宋_GB2312"/>
          <w:color w:val="auto"/>
          <w:szCs w:val="32"/>
          <w:highlight w:val="none"/>
        </w:rPr>
        <w:t>乡防渗渠 2024 年中央财政以工代赈项目实施方案的批复》（于发改项目</w:t>
      </w:r>
      <w:r>
        <w:rPr>
          <w:rFonts w:hint="eastAsia" w:ascii="仿宋_GB2312" w:hAnsi="仿宋_GB2312" w:eastAsia="仿宋_GB2312" w:cs="仿宋_GB2312"/>
          <w:color w:val="auto"/>
          <w:szCs w:val="32"/>
          <w:highlight w:val="none"/>
        </w:rPr>
        <w:t>〔</w:t>
      </w:r>
      <w:r>
        <w:rPr>
          <w:rFonts w:hint="eastAsia" w:ascii="仿宋_GB2312"/>
          <w:color w:val="auto"/>
          <w:szCs w:val="32"/>
          <w:highlight w:val="none"/>
        </w:rPr>
        <w:t>2024</w:t>
      </w:r>
      <w:r>
        <w:rPr>
          <w:rFonts w:hint="eastAsia" w:ascii="仿宋_GB2312" w:hAnsi="仿宋_GB2312" w:eastAsia="仿宋_GB2312" w:cs="仿宋_GB2312"/>
          <w:color w:val="auto"/>
          <w:szCs w:val="32"/>
          <w:highlight w:val="none"/>
        </w:rPr>
        <w:t>〕</w:t>
      </w:r>
      <w:r>
        <w:rPr>
          <w:rFonts w:hint="eastAsia" w:ascii="仿宋_GB2312"/>
          <w:color w:val="auto"/>
          <w:szCs w:val="32"/>
          <w:highlight w:val="none"/>
        </w:rPr>
        <w:t>23号）批复立项实施，于田县兰</w:t>
      </w:r>
      <w:r>
        <w:rPr>
          <w:rFonts w:hint="eastAsia" w:ascii="仿宋_GB2312"/>
          <w:color w:val="auto"/>
          <w:szCs w:val="32"/>
          <w:highlight w:val="none"/>
          <w:lang w:val="en-US" w:eastAsia="zh-CN"/>
        </w:rPr>
        <w:t>干</w:t>
      </w:r>
      <w:r>
        <w:rPr>
          <w:rFonts w:hint="eastAsia" w:ascii="仿宋_GB2312"/>
          <w:color w:val="auto"/>
          <w:szCs w:val="32"/>
          <w:highlight w:val="none"/>
        </w:rPr>
        <w:t>乡防渗渠 2024 年中央财政以工代赈项目预算安排总额为</w:t>
      </w:r>
      <w:r>
        <w:rPr>
          <w:rFonts w:hint="eastAsia" w:ascii="仿宋_GB2312"/>
          <w:color w:val="auto"/>
          <w:szCs w:val="32"/>
          <w:highlight w:val="none"/>
          <w:lang w:val="en-US" w:eastAsia="zh-CN"/>
        </w:rPr>
        <w:t>4</w:t>
      </w:r>
      <w:r>
        <w:rPr>
          <w:rFonts w:hint="eastAsia" w:ascii="仿宋_GB2312"/>
          <w:color w:val="auto"/>
          <w:szCs w:val="32"/>
          <w:highlight w:val="none"/>
        </w:rPr>
        <w:t>00.00万元，其中：以工代赈资金</w:t>
      </w:r>
      <w:r>
        <w:rPr>
          <w:rFonts w:hint="eastAsia" w:ascii="仿宋_GB2312" w:eastAsia="楷体_GB2312"/>
          <w:color w:val="auto"/>
          <w:szCs w:val="32"/>
          <w:highlight w:val="none"/>
          <w:lang w:val="en-US" w:eastAsia="zh-CN"/>
        </w:rPr>
        <w:t>400</w:t>
      </w:r>
      <w:r>
        <w:rPr>
          <w:rFonts w:hint="eastAsia" w:ascii="仿宋_GB2312"/>
          <w:color w:val="auto"/>
          <w:szCs w:val="32"/>
          <w:highlight w:val="none"/>
        </w:rPr>
        <w:t>.00万元。预算资金到位率为100.00%。</w:t>
      </w:r>
    </w:p>
    <w:p w14:paraId="79B0713C">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14:paraId="534FEC2A">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党的二十大报告将“实现全体人民共同富裕”作为中国现代化的本质要求之一，明确提出“拓宽农民增收致富渠道”“巩固拓展脱贫攻坚成果，增强脱贫地区和脱贫群众内生发展动力”“强化就业优先政策，健全就业促进机制，加强就业困难群众就业兜底帮扶”。以工代赈是以“工”为载体，兴“赈”之实效，工程是手段，赈济是目的，旨在让困难群众通过自身劳动融入社会并获取劳务报酬，在带动群众就业增收、激发群众内生动力方面成效显著，按照“项目建设作为载体，就业增收是根本目标”开展以工代赈项目建设。</w:t>
      </w:r>
    </w:p>
    <w:p w14:paraId="148FD4E3">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w:t>
      </w:r>
      <w:r>
        <w:rPr>
          <w:rFonts w:hint="eastAsia" w:ascii="仿宋_GB2312" w:hAnsi="Times New Roman" w:eastAsia="仿宋_GB2312" w:cs="Times New Roman"/>
          <w:color w:val="auto"/>
          <w:sz w:val="28"/>
          <w:szCs w:val="32"/>
          <w:highlight w:val="none"/>
          <w:lang w:val="en-US" w:eastAsia="zh-CN"/>
        </w:rPr>
        <w:t>1</w:t>
      </w:r>
      <w:r>
        <w:rPr>
          <w:rFonts w:hint="eastAsia" w:ascii="仿宋_GB2312" w:hAnsi="Times New Roman" w:eastAsia="仿宋_GB2312" w:cs="Times New Roman"/>
          <w:color w:val="auto"/>
          <w:sz w:val="28"/>
          <w:szCs w:val="32"/>
          <w:highlight w:val="none"/>
          <w:lang w:eastAsia="zh-CN"/>
        </w:rPr>
        <w:t>）</w:t>
      </w:r>
      <w:r>
        <w:rPr>
          <w:rFonts w:hint="eastAsia" w:ascii="仿宋_GB2312" w:hAnsi="Times New Roman" w:eastAsia="仿宋_GB2312" w:cs="Times New Roman"/>
          <w:color w:val="auto"/>
          <w:sz w:val="28"/>
          <w:szCs w:val="32"/>
          <w:highlight w:val="none"/>
        </w:rPr>
        <w:t>是灌区经济发展的要求</w:t>
      </w:r>
    </w:p>
    <w:p w14:paraId="5285EF26">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灌区是典型的干旱灌溉农业区，因此水资源对灌区的经济发展有着举足轻重的作用。但灌区内水资源时空分布不均，造成灌区用水矛盾。随着灌区经济的发展、人口的增加、各业用水量的增多，使本来水量有限的水资源更加紧张，难以满足日益增加的农牧业、工业、生活等方面的需水要求，水资源紧缺成为限制灌区经济发展的主要因素之一。因此，对灌区内渠道防渗、田间配套完善、提高灌溉水的利用率及利用效率是进一步改善农业生产条件、缓解矛盾、促进经济发展的唯一有效途径。</w:t>
      </w:r>
    </w:p>
    <w:p w14:paraId="64F4743F">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通过工程建设,灌溉水利用系数明显提高,可减少渠道的渗漏损失,增加有效水量，节水程度提高，对促进农业产业结构调整、生产水平提高、灌区经济发展和社会稳定有很大作用，是灌区内农业可持续发展的需要。</w:t>
      </w:r>
    </w:p>
    <w:p w14:paraId="1F09E09D">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(2)是夯实农田水利基础，巩固提升粮食产能的需要</w:t>
      </w:r>
    </w:p>
    <w:p w14:paraId="7BD012FA">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加大灌排骨干工程建设与改造力度,统筹推进田间渠系配套和用水自动化计量设施建设，因地制宜推进小型农田水利建设，夯实农业发展基础，巩固提升粮食产能和经济效益。</w:t>
      </w:r>
    </w:p>
    <w:p w14:paraId="410E7795">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(3)是促进绿色发展、生态发展，促进水资源节约和充分利用需要新时代中国特色社会主义发展需要。深入践行“绿水青山就是金山银山”，按照高质量发展要求，不断加快建立健全充分反映供求和资源稀缺程度的价格机制，不断推进水利工程供水价格改革，促进资源节约、绿色发展、生态发展，不断满足人民群众日益增长的优美生态环境需要，全面深化改革需要。完善水利工程,，保障水利工程供水企业持续稳定的经营，促进水资源的节约和利用。</w:t>
      </w:r>
    </w:p>
    <w:p w14:paraId="57603B47">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(4)是实现政府科学管理水资源，提升农业发展水平的需要</w:t>
      </w:r>
    </w:p>
    <w:p w14:paraId="0B2ACA44">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通过该项目的建设，保障防护林建设的同时，提升了农作物产量，对农村水资源运用不合理起到控制和引导作用;在水资源不充足的情况下，高效使用有效水源，充分利用水资源。</w:t>
      </w:r>
    </w:p>
    <w:p w14:paraId="5859352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当前，于田县农业现代化进程明显加快,但也面临着资源、环境与市场的多重压力,确保农民稳定增收的任务越来越重。通过该项目的实施，对于提高于田县农业现代化水平，促进农业生产方式转变、农民增收有重要意义。</w:t>
      </w:r>
    </w:p>
    <w:p w14:paraId="4E081ADB">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(5)工程建设是发展节水农业和建立节水型社会的需要</w:t>
      </w:r>
    </w:p>
    <w:p w14:paraId="71354FC5">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工程的建设能触动和培育农民的节约用水意识，改变农民用水观念，促使农民提高灌水技术和灌溉管理水平，为全社会树立节水观念和建立节水型社会打下一定的基础。</w:t>
      </w:r>
    </w:p>
    <w:p w14:paraId="1451F49D">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该建设项目实施以来，有效地提高了灌区水的利用率，工程管理方便，运行安全，外观整齐、美观，水利基础设施的配套、完善得到了加强，为灌区的农业增产、农民增收创造了良好的条件，给广大群众带来了真正的实惠，同时也大大调动了广大群众积极投入到工程建设之中。</w:t>
      </w:r>
    </w:p>
    <w:p w14:paraId="6CC2B63F">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由于上述原因开展于田县兰干乡防渗渠 2024 年中央财政以工代赈项目，本项目由于田县发展和改革委员会主管，</w:t>
      </w:r>
      <w:r>
        <w:rPr>
          <w:rFonts w:hint="eastAsia" w:ascii="仿宋_GB2312" w:hAnsi="Times New Roman" w:eastAsia="仿宋_GB2312" w:cs="Times New Roman"/>
          <w:color w:val="auto"/>
          <w:sz w:val="28"/>
          <w:szCs w:val="32"/>
          <w:highlight w:val="none"/>
          <w:lang w:val="en-US" w:eastAsia="zh-CN"/>
        </w:rPr>
        <w:t>于田县兰干乡</w:t>
      </w:r>
      <w:r>
        <w:rPr>
          <w:rFonts w:hint="eastAsia" w:ascii="仿宋_GB2312" w:hAnsi="Times New Roman" w:eastAsia="仿宋_GB2312" w:cs="Times New Roman"/>
          <w:color w:val="auto"/>
          <w:sz w:val="28"/>
          <w:szCs w:val="32"/>
          <w:highlight w:val="none"/>
        </w:rPr>
        <w:t>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3</w:t>
      </w:r>
      <w:r>
        <w:rPr>
          <w:rFonts w:hint="eastAsia" w:ascii="仿宋_GB2312" w:hAnsi="Times New Roman" w:eastAsia="仿宋_GB2312" w:cs="Times New Roman"/>
          <w:color w:val="auto"/>
          <w:sz w:val="28"/>
          <w:szCs w:val="32"/>
          <w:highlight w:val="none"/>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ascii="仿宋_GB2312" w:hAnsi="Times New Roman" w:eastAsia="仿宋_GB2312" w:cs="Times New Roman"/>
          <w:color w:val="auto"/>
          <w:sz w:val="28"/>
          <w:szCs w:val="32"/>
          <w:highlight w:val="none"/>
        </w:rPr>
        <w:t>6</w:t>
      </w:r>
      <w:r>
        <w:rPr>
          <w:rFonts w:hint="eastAsia" w:ascii="仿宋_GB2312" w:hAnsi="Times New Roman" w:eastAsia="仿宋_GB2312" w:cs="Times New Roman"/>
          <w:color w:val="auto"/>
          <w:sz w:val="28"/>
          <w:szCs w:val="32"/>
          <w:highlight w:val="none"/>
        </w:rPr>
        <w:t>月。</w:t>
      </w:r>
    </w:p>
    <w:p w14:paraId="1ED87210">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工程实施后，新建流量为0.5m</w:t>
      </w:r>
      <w:r>
        <w:rPr>
          <w:rFonts w:hint="eastAsia" w:ascii="宋体" w:hAnsi="宋体" w:eastAsia="宋体" w:cs="宋体"/>
          <w:color w:val="auto"/>
          <w:sz w:val="28"/>
          <w:szCs w:val="32"/>
          <w:highlight w:val="none"/>
        </w:rPr>
        <w:t>³</w:t>
      </w:r>
      <w:r>
        <w:rPr>
          <w:rFonts w:hint="eastAsia" w:ascii="仿宋_GB2312" w:hAnsi="Times New Roman" w:eastAsia="仿宋_GB2312" w:cs="Times New Roman"/>
          <w:color w:val="auto"/>
          <w:sz w:val="28"/>
          <w:szCs w:val="32"/>
          <w:highlight w:val="none"/>
        </w:rPr>
        <w:t>/s的防渗渠6公里，灌溉面积约 2000 亩。占地宽度 1.5</w:t>
      </w:r>
      <w:r>
        <w:rPr>
          <w:rFonts w:hint="eastAsia" w:ascii="仿宋_GB2312" w:hAnsi="仿宋_GB2312" w:eastAsia="仿宋_GB2312" w:cs="仿宋_GB2312"/>
          <w:color w:val="auto"/>
          <w:sz w:val="28"/>
          <w:szCs w:val="32"/>
          <w:highlight w:val="none"/>
        </w:rPr>
        <w:t>～</w:t>
      </w:r>
      <w:r>
        <w:rPr>
          <w:rFonts w:hint="eastAsia" w:ascii="仿宋_GB2312" w:hAnsi="Times New Roman" w:eastAsia="仿宋_GB2312" w:cs="Times New Roman"/>
          <w:color w:val="auto"/>
          <w:sz w:val="28"/>
          <w:szCs w:val="32"/>
          <w:highlight w:val="none"/>
        </w:rPr>
        <w:t>1.8米。大幅度提升当地经济实力，持续增加农民收入，当地用工群众</w:t>
      </w:r>
      <w:r>
        <w:rPr>
          <w:rFonts w:hint="eastAsia" w:ascii="仿宋_GB2312" w:hAnsi="Times New Roman" w:eastAsia="仿宋_GB2312" w:cs="Times New Roman"/>
          <w:color w:val="auto"/>
          <w:sz w:val="28"/>
          <w:szCs w:val="32"/>
          <w:highlight w:val="none"/>
          <w:lang w:val="en-US" w:eastAsia="zh-CN"/>
        </w:rPr>
        <w:t>81</w:t>
      </w:r>
      <w:r>
        <w:rPr>
          <w:rFonts w:hint="eastAsia" w:ascii="仿宋_GB2312" w:hAnsi="Times New Roman" w:eastAsia="仿宋_GB2312" w:cs="Times New Roman"/>
          <w:color w:val="auto"/>
          <w:sz w:val="28"/>
          <w:szCs w:val="32"/>
          <w:highlight w:val="none"/>
        </w:rPr>
        <w:t>人，发放劳务报酬</w:t>
      </w:r>
      <w:r>
        <w:rPr>
          <w:rFonts w:hint="eastAsia" w:ascii="仿宋_GB2312" w:hAnsi="Times New Roman" w:eastAsia="仿宋_GB2312" w:cs="Times New Roman"/>
          <w:color w:val="auto"/>
          <w:sz w:val="28"/>
          <w:szCs w:val="32"/>
          <w:highlight w:val="none"/>
          <w:lang w:val="en-US" w:eastAsia="zh-CN"/>
        </w:rPr>
        <w:t>85</w:t>
      </w:r>
      <w:r>
        <w:rPr>
          <w:rFonts w:hint="eastAsia" w:ascii="仿宋_GB2312" w:hAnsi="Times New Roman" w:eastAsia="仿宋_GB2312" w:cs="Times New Roman"/>
          <w:color w:val="auto"/>
          <w:sz w:val="28"/>
          <w:szCs w:val="32"/>
          <w:highlight w:val="none"/>
        </w:rPr>
        <w:t>万元，其中异地搬迁群众</w:t>
      </w:r>
      <w:r>
        <w:rPr>
          <w:rFonts w:hint="eastAsia" w:ascii="仿宋_GB2312" w:hAnsi="Times New Roman" w:eastAsia="仿宋_GB2312" w:cs="Times New Roman"/>
          <w:color w:val="auto"/>
          <w:sz w:val="28"/>
          <w:szCs w:val="32"/>
          <w:highlight w:val="none"/>
          <w:lang w:val="en-US" w:eastAsia="zh-CN"/>
        </w:rPr>
        <w:t>5</w:t>
      </w:r>
      <w:r>
        <w:rPr>
          <w:rFonts w:hint="eastAsia" w:ascii="仿宋_GB2312" w:hAnsi="Times New Roman" w:eastAsia="仿宋_GB2312" w:cs="Times New Roman"/>
          <w:color w:val="auto"/>
          <w:sz w:val="28"/>
          <w:szCs w:val="32"/>
          <w:highlight w:val="none"/>
        </w:rPr>
        <w:t>人，发放劳务报酬</w:t>
      </w:r>
      <w:r>
        <w:rPr>
          <w:rFonts w:hint="eastAsia" w:ascii="仿宋_GB2312" w:hAnsi="Times New Roman" w:eastAsia="仿宋_GB2312" w:cs="Times New Roman"/>
          <w:color w:val="auto"/>
          <w:sz w:val="28"/>
          <w:szCs w:val="32"/>
          <w:highlight w:val="none"/>
          <w:lang w:val="en-US" w:eastAsia="zh-CN"/>
        </w:rPr>
        <w:t>7.5</w:t>
      </w:r>
      <w:r>
        <w:rPr>
          <w:rFonts w:hint="eastAsia" w:ascii="仿宋_GB2312" w:hAnsi="Times New Roman" w:eastAsia="仿宋_GB2312" w:cs="Times New Roman"/>
          <w:color w:val="auto"/>
          <w:sz w:val="28"/>
          <w:szCs w:val="32"/>
          <w:highlight w:val="none"/>
        </w:rPr>
        <w:t>万元。</w:t>
      </w:r>
    </w:p>
    <w:p w14:paraId="5726FFA8">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7D0EE67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32"/>
          <w:highlight w:val="none"/>
        </w:rPr>
      </w:pPr>
      <w:r>
        <w:rPr>
          <w:rFonts w:hint="eastAsia" w:ascii="仿宋_GB2312" w:hAnsi="仿宋_GB2312" w:eastAsia="仿宋_GB2312" w:cs="仿宋_GB2312"/>
          <w:color w:val="auto"/>
          <w:sz w:val="28"/>
          <w:szCs w:val="32"/>
          <w:highlight w:val="none"/>
        </w:rPr>
        <w:t>于田县兰干乡防渗渠 2024 年中央财政以工代赈项目，根据于田县发展和改革委员会下发的《关于对于田县兰</w:t>
      </w:r>
      <w:r>
        <w:rPr>
          <w:rFonts w:hint="eastAsia" w:ascii="仿宋_GB2312" w:hAnsi="仿宋_GB2312" w:eastAsia="仿宋_GB2312" w:cs="仿宋_GB2312"/>
          <w:color w:val="auto"/>
          <w:sz w:val="28"/>
          <w:szCs w:val="32"/>
          <w:highlight w:val="none"/>
          <w:lang w:val="en-US" w:eastAsia="zh-CN"/>
        </w:rPr>
        <w:t>干</w:t>
      </w:r>
      <w:r>
        <w:rPr>
          <w:rFonts w:hint="eastAsia" w:ascii="仿宋_GB2312" w:hAnsi="仿宋_GB2312" w:eastAsia="仿宋_GB2312" w:cs="仿宋_GB2312"/>
          <w:color w:val="auto"/>
          <w:sz w:val="28"/>
          <w:szCs w:val="32"/>
          <w:highlight w:val="none"/>
        </w:rPr>
        <w:t>乡防渗渠2024年中央财政以工代赈项目实施方案的批复》（于发改项目〔2024〕23号）</w:t>
      </w:r>
      <w:r>
        <w:rPr>
          <w:rFonts w:hint="eastAsia" w:ascii="仿宋_GB2312" w:hAnsi="仿宋_GB2312" w:eastAsia="仿宋_GB2312" w:cs="仿宋_GB2312"/>
          <w:color w:val="auto"/>
          <w:sz w:val="28"/>
          <w:szCs w:val="32"/>
          <w:highlight w:val="none"/>
          <w:lang w:val="en-US" w:eastAsia="zh-CN"/>
        </w:rPr>
        <w:t>要求</w:t>
      </w:r>
      <w:r>
        <w:rPr>
          <w:rFonts w:hint="eastAsia" w:ascii="仿宋_GB2312" w:hAnsi="仿宋_GB2312" w:eastAsia="仿宋_GB2312" w:cs="仿宋_GB2312"/>
          <w:color w:val="auto"/>
          <w:sz w:val="28"/>
          <w:szCs w:val="32"/>
          <w:highlight w:val="none"/>
        </w:rPr>
        <w:t>，实施范围涉及</w:t>
      </w:r>
      <w:r>
        <w:rPr>
          <w:rFonts w:hint="eastAsia" w:ascii="仿宋_GB2312" w:hAnsi="仿宋_GB2312" w:eastAsia="仿宋_GB2312" w:cs="仿宋_GB2312"/>
          <w:color w:val="auto"/>
          <w:sz w:val="28"/>
          <w:szCs w:val="32"/>
          <w:highlight w:val="none"/>
          <w:lang w:val="en-US" w:eastAsia="zh-CN"/>
        </w:rPr>
        <w:t>1</w:t>
      </w:r>
      <w:r>
        <w:rPr>
          <w:rFonts w:hint="eastAsia" w:ascii="仿宋_GB2312" w:hAnsi="仿宋_GB2312" w:eastAsia="仿宋_GB2312" w:cs="仿宋_GB2312"/>
          <w:color w:val="auto"/>
          <w:sz w:val="28"/>
          <w:szCs w:val="32"/>
          <w:highlight w:val="none"/>
        </w:rPr>
        <w:t>个行政村</w:t>
      </w:r>
      <w:r>
        <w:rPr>
          <w:rFonts w:hint="eastAsia" w:ascii="仿宋_GB2312" w:hAnsi="仿宋_GB2312" w:eastAsia="仿宋_GB2312" w:cs="仿宋_GB2312"/>
          <w:color w:val="auto"/>
          <w:sz w:val="28"/>
          <w:szCs w:val="32"/>
          <w:highlight w:val="none"/>
          <w:lang w:val="en-US" w:eastAsia="zh-CN"/>
        </w:rPr>
        <w:t>拉依喀村</w:t>
      </w:r>
      <w:r>
        <w:rPr>
          <w:rFonts w:hint="eastAsia" w:ascii="仿宋_GB2312" w:hAnsi="仿宋_GB2312" w:eastAsia="仿宋_GB2312" w:cs="仿宋_GB2312"/>
          <w:color w:val="auto"/>
          <w:sz w:val="28"/>
          <w:szCs w:val="32"/>
          <w:highlight w:val="none"/>
        </w:rPr>
        <w:t>。建设内容：新建流量为0.5m³/s的防渗渠6公里，灌溉面积约 2000 亩。占地宽度 1.5～1.8米。</w:t>
      </w:r>
    </w:p>
    <w:p w14:paraId="3D2350BF">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439ADA8C">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仿宋_GB2312" w:eastAsia="仿宋_GB2312" w:cs="仿宋_GB2312"/>
          <w:color w:val="auto"/>
          <w:sz w:val="28"/>
          <w:szCs w:val="32"/>
          <w:highlight w:val="none"/>
        </w:rPr>
        <w:t>于田县兰干乡防渗渠 2024 年中央财政以工代赈项目</w:t>
      </w:r>
      <w:r>
        <w:rPr>
          <w:rFonts w:hint="eastAsia" w:ascii="仿宋_GB2312" w:hAnsi="Times New Roman" w:eastAsia="仿宋_GB2312" w:cs="Times New Roman"/>
          <w:color w:val="auto"/>
          <w:sz w:val="28"/>
          <w:szCs w:val="32"/>
          <w:highlight w:val="none"/>
        </w:rPr>
        <w:t>性质为水利工程建设项目，属于乡村振兴衔接资金项目。</w:t>
      </w:r>
    </w:p>
    <w:p w14:paraId="3352ACEB">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14:paraId="391370E5">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69E5697E">
      <w:pPr>
        <w:pStyle w:val="52"/>
        <w:spacing w:line="560" w:lineRule="exact"/>
        <w:ind w:left="3" w:right="3" w:firstLine="560"/>
        <w:rPr>
          <w:rFonts w:hint="eastAsia" w:ascii="仿宋_GB2312"/>
          <w:color w:val="auto"/>
          <w:szCs w:val="32"/>
          <w:highlight w:val="none"/>
        </w:rPr>
      </w:pPr>
      <w:r>
        <w:rPr>
          <w:rFonts w:hint="eastAsia" w:ascii="仿宋_GB2312" w:hAnsi="仿宋_GB2312" w:eastAsia="仿宋_GB2312" w:cs="仿宋_GB2312"/>
          <w:color w:val="auto"/>
          <w:sz w:val="28"/>
          <w:szCs w:val="32"/>
          <w:highlight w:val="none"/>
        </w:rPr>
        <w:t>于田县兰干乡防渗渠 2024 年中央财政以工代赈项目</w:t>
      </w:r>
      <w:r>
        <w:rPr>
          <w:rFonts w:hint="eastAsia" w:ascii="仿宋_GB2312"/>
          <w:color w:val="auto"/>
          <w:szCs w:val="32"/>
          <w:highlight w:val="none"/>
        </w:rPr>
        <w:t>总投资</w:t>
      </w:r>
      <w:r>
        <w:rPr>
          <w:rFonts w:hint="eastAsia" w:ascii="仿宋_GB2312"/>
          <w:color w:val="auto"/>
          <w:szCs w:val="32"/>
          <w:highlight w:val="none"/>
          <w:lang w:val="en-US" w:eastAsia="zh-CN"/>
        </w:rPr>
        <w:t>4</w:t>
      </w:r>
      <w:r>
        <w:rPr>
          <w:rFonts w:hint="eastAsia" w:ascii="仿宋_GB2312"/>
          <w:color w:val="auto"/>
          <w:szCs w:val="32"/>
          <w:highlight w:val="none"/>
        </w:rPr>
        <w:t>00.00万元，全部申请以工代赈资金。主要内容为：新建流量为0.5m³/s的防渗渠6公里，灌溉面积约 2000 亩。占地宽度 1.5～1.8米。</w:t>
      </w:r>
    </w:p>
    <w:p w14:paraId="6F10867F">
      <w:pPr>
        <w:pStyle w:val="52"/>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_GB2312" w:hAnsi="仿宋_GB2312" w:eastAsia="仿宋_GB2312" w:cs="仿宋_GB2312"/>
          <w:color w:val="auto"/>
          <w:sz w:val="28"/>
          <w:szCs w:val="32"/>
          <w:highlight w:val="none"/>
        </w:rPr>
        <w:t>于田县兰干乡防渗渠2024年中央财政以工代赈项目</w:t>
      </w:r>
      <w:r>
        <w:rPr>
          <w:rFonts w:hint="eastAsia" w:ascii="仿宋_GB2312"/>
          <w:color w:val="auto"/>
          <w:szCs w:val="32"/>
          <w:highlight w:val="none"/>
        </w:rPr>
        <w:t>实施，大幅度提升当地经济实力，持续增加农牧民收入，当地用工群众81人，发放劳务报酬85万元，其中异地搬迁群众5人，发放劳务报酬7.5万</w:t>
      </w:r>
      <w:r>
        <w:rPr>
          <w:rFonts w:hint="eastAsia" w:ascii="仿宋_GB2312" w:hAnsi="Times New Roman" w:eastAsia="仿宋_GB2312" w:cs="Times New Roman"/>
          <w:color w:val="auto"/>
          <w:sz w:val="28"/>
          <w:szCs w:val="32"/>
          <w:highlight w:val="none"/>
        </w:rPr>
        <w:t>。</w:t>
      </w:r>
    </w:p>
    <w:p w14:paraId="2D458734">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03B325AB">
      <w:pPr>
        <w:pStyle w:val="52"/>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本项目共设置一级指标3个，二级指标9个，</w:t>
      </w:r>
      <w:bookmarkStart w:id="1" w:name="_GoBack"/>
      <w:bookmarkEnd w:id="1"/>
      <w:r>
        <w:rPr>
          <w:rFonts w:hint="eastAsia" w:ascii="仿宋_GB2312"/>
          <w:color w:val="auto"/>
          <w:szCs w:val="32"/>
          <w:highlight w:val="none"/>
        </w:rPr>
        <w:t>三级指标</w:t>
      </w:r>
      <w:r>
        <w:rPr>
          <w:rFonts w:hint="eastAsia" w:ascii="仿宋_GB2312"/>
          <w:color w:val="auto"/>
          <w:szCs w:val="32"/>
          <w:highlight w:val="none"/>
          <w:lang w:val="en-US" w:eastAsia="zh-CN"/>
        </w:rPr>
        <w:t>16</w:t>
      </w:r>
      <w:r>
        <w:rPr>
          <w:rFonts w:hint="eastAsia" w:ascii="仿宋_GB2312"/>
          <w:color w:val="auto"/>
          <w:szCs w:val="32"/>
          <w:highlight w:val="none"/>
        </w:rPr>
        <w:t>个。</w:t>
      </w:r>
    </w:p>
    <w:p w14:paraId="4C04BB65">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59F965FF">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14:paraId="4BA41532">
      <w:pPr>
        <w:pStyle w:val="52"/>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0E743EBA">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14:paraId="5F9309B5">
      <w:pPr>
        <w:pStyle w:val="52"/>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hAnsi="仿宋_GB2312" w:eastAsia="仿宋_GB2312" w:cs="仿宋_GB2312"/>
          <w:color w:val="auto"/>
          <w:sz w:val="28"/>
          <w:szCs w:val="32"/>
          <w:highlight w:val="none"/>
        </w:rPr>
        <w:t>于田县兰干乡防渗渠2024年中央财政以工代赈项目</w:t>
      </w:r>
      <w:r>
        <w:rPr>
          <w:color w:val="auto"/>
          <w:highlight w:val="none"/>
        </w:rPr>
        <w:t>资金的使用管理、项目产出、综合效益等进行评价。</w:t>
      </w:r>
    </w:p>
    <w:p w14:paraId="4487D839">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14:paraId="5E944993">
      <w:pPr>
        <w:pStyle w:val="33"/>
        <w:rPr>
          <w:color w:val="auto"/>
          <w:highlight w:val="none"/>
        </w:rPr>
      </w:pPr>
      <w:r>
        <w:rPr>
          <w:rFonts w:hint="eastAsia"/>
          <w:color w:val="auto"/>
          <w:highlight w:val="none"/>
        </w:rPr>
        <w:t>1.前期准备</w:t>
      </w:r>
    </w:p>
    <w:p w14:paraId="6F4FD44A">
      <w:pPr>
        <w:pStyle w:val="52"/>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45E6478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组  长：覃舜波                            乡党委书记</w:t>
      </w:r>
    </w:p>
    <w:p w14:paraId="28CEFD90">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阿地力江·阿不都拉                乡党委副书记、乡长</w:t>
      </w:r>
    </w:p>
    <w:p w14:paraId="227B247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副组长：牛聚鹏                                副乡长</w:t>
      </w:r>
    </w:p>
    <w:p w14:paraId="722DEB7F">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成  员：舒纪祥                            项目办干部</w:t>
      </w:r>
    </w:p>
    <w:p w14:paraId="16A46571">
      <w:pPr>
        <w:spacing w:line="560" w:lineRule="exact"/>
        <w:ind w:firstLine="1680" w:firstLineChars="6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美合日阿依·阿卜来提</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项目办干部</w:t>
      </w:r>
    </w:p>
    <w:p w14:paraId="18A537F5">
      <w:pPr>
        <w:spacing w:line="560" w:lineRule="exact"/>
        <w:ind w:firstLine="1680" w:firstLineChars="6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吾麦尔将·阿吾力孜              乡财政所所长</w:t>
      </w:r>
    </w:p>
    <w:p w14:paraId="62DD17FE">
      <w:pPr>
        <w:pStyle w:val="52"/>
        <w:spacing w:line="560" w:lineRule="exact"/>
        <w:ind w:left="3" w:right="3" w:firstLine="560"/>
        <w:rPr>
          <w:color w:val="auto"/>
          <w:highlight w:val="none"/>
        </w:rPr>
      </w:pPr>
      <w:r>
        <w:rPr>
          <w:rFonts w:hint="eastAsia"/>
          <w:color w:val="auto"/>
          <w:highlight w:val="none"/>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color w:val="auto"/>
          <w:highlight w:val="none"/>
          <w:lang w:val="en-US" w:eastAsia="zh-CN"/>
        </w:rPr>
        <w:t>于田县发展和改革委员会</w:t>
      </w:r>
      <w:r>
        <w:rPr>
          <w:rFonts w:hint="eastAsia"/>
          <w:color w:val="auto"/>
          <w:highlight w:val="none"/>
        </w:rPr>
        <w:t>牵头，负责整个项目的统筹安排和经费使用管理工作，实现分级管理制度。</w:t>
      </w:r>
    </w:p>
    <w:p w14:paraId="1A67FA5F">
      <w:pPr>
        <w:pStyle w:val="33"/>
        <w:rPr>
          <w:color w:val="auto"/>
          <w:highlight w:val="none"/>
        </w:rPr>
      </w:pPr>
      <w:r>
        <w:rPr>
          <w:rFonts w:hint="eastAsia"/>
          <w:color w:val="auto"/>
          <w:highlight w:val="none"/>
        </w:rPr>
        <w:t>2.组织实施</w:t>
      </w:r>
    </w:p>
    <w:p w14:paraId="2AAC415B">
      <w:pPr>
        <w:pStyle w:val="52"/>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2AB1ABBF">
      <w:pPr>
        <w:pStyle w:val="33"/>
        <w:rPr>
          <w:color w:val="auto"/>
          <w:highlight w:val="none"/>
        </w:rPr>
      </w:pPr>
      <w:r>
        <w:rPr>
          <w:rFonts w:hint="eastAsia"/>
          <w:color w:val="auto"/>
          <w:highlight w:val="none"/>
        </w:rPr>
        <w:t>3.分析评价。</w:t>
      </w:r>
    </w:p>
    <w:p w14:paraId="5E595B41">
      <w:pPr>
        <w:pStyle w:val="52"/>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5C0B44C6">
      <w:pPr>
        <w:pStyle w:val="52"/>
        <w:spacing w:line="560" w:lineRule="exact"/>
        <w:ind w:left="3" w:right="3" w:firstLine="560"/>
        <w:rPr>
          <w:color w:val="auto"/>
          <w:highlight w:val="none"/>
        </w:rPr>
      </w:pPr>
      <w:r>
        <w:rPr>
          <w:color w:val="auto"/>
          <w:highlight w:val="none"/>
        </w:rPr>
        <w:t>（1）绩效自评指标体系</w:t>
      </w:r>
    </w:p>
    <w:p w14:paraId="5302013A">
      <w:pPr>
        <w:pStyle w:val="52"/>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6</w:t>
      </w:r>
      <w:r>
        <w:rPr>
          <w:color w:val="auto"/>
          <w:highlight w:val="none"/>
        </w:rPr>
        <w:t>分、质量指标</w:t>
      </w:r>
      <w:r>
        <w:rPr>
          <w:rFonts w:hint="eastAsia"/>
          <w:color w:val="auto"/>
          <w:highlight w:val="none"/>
          <w:lang w:val="en-US" w:eastAsia="zh-CN"/>
        </w:rPr>
        <w:t>17</w:t>
      </w:r>
      <w:r>
        <w:rPr>
          <w:color w:val="auto"/>
          <w:highlight w:val="none"/>
        </w:rPr>
        <w:t>分，时效指标1</w:t>
      </w:r>
      <w:r>
        <w:rPr>
          <w:rFonts w:hint="eastAsia"/>
          <w:color w:val="auto"/>
          <w:highlight w:val="none"/>
          <w:lang w:val="en-US" w:eastAsia="zh-CN"/>
        </w:rPr>
        <w:t>5</w:t>
      </w:r>
      <w:r>
        <w:rPr>
          <w:color w:val="auto"/>
          <w:highlight w:val="none"/>
        </w:rPr>
        <w:t>分、成本指标</w:t>
      </w:r>
      <w:r>
        <w:rPr>
          <w:rFonts w:hint="eastAsia"/>
          <w:color w:val="auto"/>
          <w:highlight w:val="none"/>
          <w:lang w:val="en-US" w:eastAsia="zh-CN"/>
        </w:rPr>
        <w:t>12</w:t>
      </w:r>
      <w:r>
        <w:rPr>
          <w:color w:val="auto"/>
          <w:highlight w:val="none"/>
        </w:rPr>
        <w:t>分、经济效益指标</w:t>
      </w:r>
      <w:r>
        <w:rPr>
          <w:rFonts w:hint="eastAsia"/>
          <w:color w:val="auto"/>
          <w:highlight w:val="none"/>
          <w:lang w:val="en-US" w:eastAsia="zh-CN"/>
        </w:rPr>
        <w:t>10</w:t>
      </w:r>
      <w:r>
        <w:rPr>
          <w:color w:val="auto"/>
          <w:highlight w:val="none"/>
        </w:rPr>
        <w:t>分、社会效益指标</w:t>
      </w:r>
      <w:r>
        <w:rPr>
          <w:rFonts w:hint="eastAsia"/>
          <w:color w:val="auto"/>
          <w:highlight w:val="none"/>
          <w:lang w:val="en-US" w:eastAsia="zh-CN"/>
        </w:rPr>
        <w:t>10</w:t>
      </w:r>
      <w:r>
        <w:rPr>
          <w:color w:val="auto"/>
          <w:highlight w:val="none"/>
        </w:rPr>
        <w:t>分、</w:t>
      </w:r>
      <w:r>
        <w:rPr>
          <w:rFonts w:hint="eastAsia"/>
          <w:color w:val="auto"/>
          <w:highlight w:val="none"/>
        </w:rPr>
        <w:t>生态效益</w:t>
      </w:r>
      <w:r>
        <w:rPr>
          <w:color w:val="auto"/>
          <w:highlight w:val="none"/>
        </w:rPr>
        <w:t>指标</w:t>
      </w:r>
      <w:r>
        <w:rPr>
          <w:rFonts w:hint="eastAsia"/>
          <w:color w:val="auto"/>
          <w:highlight w:val="none"/>
          <w:lang w:val="en-US" w:eastAsia="zh-CN"/>
        </w:rPr>
        <w:t>5</w:t>
      </w:r>
      <w:r>
        <w:rPr>
          <w:color w:val="auto"/>
          <w:highlight w:val="none"/>
        </w:rPr>
        <w:t>分、可持续影响指标</w:t>
      </w:r>
      <w:r>
        <w:rPr>
          <w:rFonts w:hint="eastAsia"/>
          <w:color w:val="auto"/>
          <w:highlight w:val="none"/>
          <w:lang w:val="en-US" w:eastAsia="zh-CN"/>
        </w:rPr>
        <w:t>5</w:t>
      </w:r>
      <w:r>
        <w:rPr>
          <w:color w:val="auto"/>
          <w:highlight w:val="none"/>
        </w:rPr>
        <w:t>分、满意度指标10分、预算资金执行率10分，满分100分。</w:t>
      </w:r>
    </w:p>
    <w:p w14:paraId="0B608F2C">
      <w:pPr>
        <w:pStyle w:val="52"/>
        <w:spacing w:line="560" w:lineRule="exact"/>
        <w:ind w:left="3" w:right="3" w:firstLine="560"/>
        <w:rPr>
          <w:color w:val="auto"/>
          <w:highlight w:val="none"/>
        </w:rPr>
      </w:pPr>
      <w:r>
        <w:rPr>
          <w:color w:val="auto"/>
          <w:highlight w:val="none"/>
        </w:rPr>
        <w:t>（2）绩效自评方法</w:t>
      </w:r>
    </w:p>
    <w:p w14:paraId="31803A96">
      <w:pPr>
        <w:pStyle w:val="52"/>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17566F30">
      <w:pPr>
        <w:pStyle w:val="52"/>
        <w:spacing w:line="560" w:lineRule="exact"/>
        <w:ind w:left="3" w:right="3" w:firstLine="560"/>
        <w:rPr>
          <w:color w:val="auto"/>
          <w:highlight w:val="none"/>
        </w:rPr>
      </w:pPr>
      <w:r>
        <w:rPr>
          <w:color w:val="auto"/>
          <w:highlight w:val="none"/>
        </w:rPr>
        <w:t>（3）绩效自评标准</w:t>
      </w:r>
    </w:p>
    <w:p w14:paraId="47D19755">
      <w:pPr>
        <w:pStyle w:val="52"/>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DFD6948">
      <w:pPr>
        <w:pStyle w:val="52"/>
        <w:spacing w:line="560" w:lineRule="exact"/>
        <w:ind w:left="3" w:right="3" w:firstLine="560"/>
        <w:rPr>
          <w:color w:val="auto"/>
          <w:highlight w:val="none"/>
        </w:rPr>
      </w:pPr>
      <w:r>
        <w:rPr>
          <w:color w:val="auto"/>
          <w:highlight w:val="none"/>
        </w:rPr>
        <w:t>（4）绩效自评等级</w:t>
      </w:r>
    </w:p>
    <w:p w14:paraId="259E5539">
      <w:pPr>
        <w:pStyle w:val="52"/>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61930A34">
      <w:pPr>
        <w:pStyle w:val="29"/>
        <w:spacing w:before="120"/>
        <w:ind w:leftChars="0" w:right="3" w:firstLine="562" w:firstLineChars="200"/>
        <w:rPr>
          <w:color w:val="auto"/>
          <w:highlight w:val="none"/>
        </w:rPr>
      </w:pPr>
      <w:r>
        <w:rPr>
          <w:rFonts w:hint="eastAsia"/>
          <w:color w:val="auto"/>
          <w:highlight w:val="none"/>
        </w:rPr>
        <w:t>三、绩效目标自评完成情况分析</w:t>
      </w:r>
    </w:p>
    <w:p w14:paraId="4DC23F50">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14:paraId="23ACE51C">
      <w:pPr>
        <w:pStyle w:val="33"/>
        <w:rPr>
          <w:color w:val="auto"/>
          <w:highlight w:val="none"/>
        </w:rPr>
      </w:pPr>
      <w:r>
        <w:rPr>
          <w:rFonts w:hint="eastAsia"/>
          <w:color w:val="auto"/>
          <w:highlight w:val="none"/>
        </w:rPr>
        <w:t>1.项目资金到位情况分析</w:t>
      </w:r>
    </w:p>
    <w:p w14:paraId="3374DEBF">
      <w:pPr>
        <w:pStyle w:val="52"/>
        <w:spacing w:line="560" w:lineRule="exact"/>
        <w:ind w:left="0" w:leftChars="0" w:right="3" w:firstLine="560"/>
        <w:rPr>
          <w:color w:val="auto"/>
          <w:highlight w:val="none"/>
        </w:rPr>
      </w:pPr>
      <w:r>
        <w:rPr>
          <w:rFonts w:hint="eastAsia" w:ascii="仿宋_GB2312" w:hAnsi="仿宋_GB2312" w:eastAsia="仿宋_GB2312" w:cs="仿宋_GB2312"/>
          <w:color w:val="auto"/>
          <w:sz w:val="28"/>
          <w:szCs w:val="32"/>
          <w:highlight w:val="none"/>
        </w:rPr>
        <w:t>于田县兰干乡防渗渠2024年中央财政以工代赈项目</w:t>
      </w:r>
      <w:r>
        <w:rPr>
          <w:rFonts w:hint="eastAsia"/>
          <w:color w:val="auto"/>
          <w:highlight w:val="none"/>
        </w:rPr>
        <w:t>预算安排总额为</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00.00万元，其中：以工代赈资金</w:t>
      </w:r>
      <w:r>
        <w:rPr>
          <w:rFonts w:hint="eastAsia" w:ascii="仿宋_GB2312" w:hAnsi="仿宋_GB2312" w:eastAsia="仿宋_GB2312" w:cs="仿宋_GB2312"/>
          <w:color w:val="auto"/>
          <w:highlight w:val="none"/>
          <w:lang w:val="en-US" w:eastAsia="zh-CN"/>
        </w:rPr>
        <w:t>400</w:t>
      </w:r>
      <w:r>
        <w:rPr>
          <w:rFonts w:hint="eastAsia" w:ascii="仿宋_GB2312" w:hAnsi="仿宋_GB2312" w:eastAsia="仿宋_GB2312" w:cs="仿宋_GB2312"/>
          <w:color w:val="auto"/>
          <w:highlight w:val="none"/>
        </w:rPr>
        <w:t>.00万元。预</w:t>
      </w:r>
      <w:r>
        <w:rPr>
          <w:rFonts w:hint="eastAsia"/>
          <w:color w:val="auto"/>
          <w:highlight w:val="none"/>
        </w:rPr>
        <w:t>算资金到位率为100.00%。</w:t>
      </w:r>
    </w:p>
    <w:p w14:paraId="08BE6A15">
      <w:pPr>
        <w:pStyle w:val="52"/>
        <w:spacing w:line="560" w:lineRule="exact"/>
        <w:ind w:left="0" w:leftChars="0" w:right="3" w:firstLine="562"/>
        <w:rPr>
          <w:b/>
          <w:color w:val="auto"/>
          <w:highlight w:val="none"/>
        </w:rPr>
      </w:pPr>
      <w:r>
        <w:rPr>
          <w:rFonts w:hint="eastAsia"/>
          <w:b/>
          <w:color w:val="auto"/>
          <w:highlight w:val="none"/>
        </w:rPr>
        <w:t>2.项目资金执行情况分析</w:t>
      </w:r>
    </w:p>
    <w:p w14:paraId="3A5FEC6E">
      <w:pPr>
        <w:pStyle w:val="52"/>
        <w:spacing w:line="560" w:lineRule="exact"/>
        <w:ind w:left="0" w:leftChars="0" w:right="3" w:firstLine="560"/>
        <w:rPr>
          <w:color w:val="auto"/>
          <w:highlight w:val="none"/>
        </w:rPr>
      </w:pPr>
      <w:r>
        <w:rPr>
          <w:rFonts w:hint="eastAsia" w:ascii="仿宋_GB2312" w:hAnsi="仿宋_GB2312" w:eastAsia="仿宋_GB2312" w:cs="仿宋_GB2312"/>
          <w:color w:val="auto"/>
          <w:sz w:val="28"/>
          <w:szCs w:val="32"/>
          <w:highlight w:val="none"/>
        </w:rPr>
        <w:t>于田县兰干乡防渗渠2024年中央财政以工代赈项目</w:t>
      </w:r>
      <w:r>
        <w:rPr>
          <w:rFonts w:hint="eastAsia"/>
          <w:color w:val="auto"/>
          <w:highlight w:val="none"/>
        </w:rPr>
        <w:t>预算投入资金</w:t>
      </w:r>
      <w:r>
        <w:rPr>
          <w:rFonts w:hint="eastAsia"/>
          <w:color w:val="auto"/>
          <w:highlight w:val="none"/>
          <w:lang w:val="en-US" w:eastAsia="zh-CN"/>
        </w:rPr>
        <w:t>4</w:t>
      </w:r>
      <w:r>
        <w:rPr>
          <w:rFonts w:hint="eastAsia"/>
          <w:color w:val="auto"/>
          <w:highlight w:val="none"/>
        </w:rPr>
        <w:t>00万元，经财务决算，项目实际完成投资共</w:t>
      </w:r>
      <w:r>
        <w:rPr>
          <w:rFonts w:hint="eastAsia"/>
          <w:color w:val="auto"/>
          <w:highlight w:val="none"/>
          <w:lang w:val="en-US" w:eastAsia="zh-CN"/>
        </w:rPr>
        <w:t>397.81</w:t>
      </w:r>
      <w:r>
        <w:rPr>
          <w:rFonts w:hint="eastAsia"/>
          <w:color w:val="auto"/>
          <w:highlight w:val="none"/>
        </w:rPr>
        <w:t>万元，其中：建筑安装工程投资</w:t>
      </w:r>
      <w:r>
        <w:rPr>
          <w:rFonts w:hint="eastAsia"/>
          <w:color w:val="auto"/>
          <w:highlight w:val="none"/>
          <w:lang w:val="en-US" w:eastAsia="zh-CN"/>
        </w:rPr>
        <w:t>361.01</w:t>
      </w:r>
      <w:r>
        <w:rPr>
          <w:rFonts w:hint="eastAsia"/>
          <w:color w:val="auto"/>
          <w:highlight w:val="none"/>
        </w:rPr>
        <w:t>万元，待摊投资36.8万元</w:t>
      </w:r>
      <w:r>
        <w:rPr>
          <w:rFonts w:hint="eastAsia"/>
          <w:color w:val="auto"/>
          <w:highlight w:val="none"/>
          <w:lang w:eastAsia="zh-CN"/>
        </w:rPr>
        <w:t>。</w:t>
      </w:r>
      <w:r>
        <w:rPr>
          <w:rFonts w:hint="eastAsia"/>
          <w:color w:val="auto"/>
          <w:highlight w:val="none"/>
        </w:rPr>
        <w:t>截至202</w:t>
      </w:r>
      <w:r>
        <w:rPr>
          <w:rFonts w:hint="eastAsia"/>
          <w:color w:val="auto"/>
          <w:highlight w:val="none"/>
          <w:lang w:val="en-US" w:eastAsia="zh-CN"/>
        </w:rPr>
        <w:t>4</w:t>
      </w:r>
      <w:r>
        <w:rPr>
          <w:rFonts w:hint="eastAsia"/>
          <w:color w:val="auto"/>
          <w:highlight w:val="none"/>
        </w:rPr>
        <w:t>年12月31日，项目实际支出</w:t>
      </w:r>
      <w:r>
        <w:rPr>
          <w:rFonts w:hint="eastAsia"/>
          <w:color w:val="auto"/>
          <w:highlight w:val="none"/>
          <w:lang w:val="en-US" w:eastAsia="zh-CN"/>
        </w:rPr>
        <w:t>397.81</w:t>
      </w:r>
      <w:r>
        <w:rPr>
          <w:rFonts w:hint="eastAsia"/>
          <w:color w:val="auto"/>
          <w:highlight w:val="none"/>
        </w:rPr>
        <w:t>元，预算资金执行率</w:t>
      </w:r>
      <w:r>
        <w:rPr>
          <w:rFonts w:hint="eastAsia"/>
          <w:color w:val="auto"/>
          <w:highlight w:val="none"/>
          <w:lang w:val="en-US" w:eastAsia="zh-CN"/>
        </w:rPr>
        <w:t>99.45</w:t>
      </w:r>
      <w:r>
        <w:rPr>
          <w:rFonts w:hint="eastAsia"/>
          <w:color w:val="auto"/>
          <w:highlight w:val="none"/>
        </w:rPr>
        <w:t>%。</w:t>
      </w:r>
    </w:p>
    <w:p w14:paraId="39F0F6A8">
      <w:pPr>
        <w:pStyle w:val="33"/>
        <w:rPr>
          <w:color w:val="auto"/>
          <w:highlight w:val="none"/>
        </w:rPr>
      </w:pPr>
      <w:r>
        <w:rPr>
          <w:rFonts w:hint="eastAsia"/>
          <w:color w:val="auto"/>
          <w:highlight w:val="none"/>
        </w:rPr>
        <w:t>3.项目资金管理情况分析</w:t>
      </w:r>
    </w:p>
    <w:p w14:paraId="6A3FCF6C">
      <w:pPr>
        <w:pStyle w:val="52"/>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3BAD5FE0">
      <w:pPr>
        <w:pStyle w:val="52"/>
        <w:spacing w:line="560" w:lineRule="exact"/>
        <w:ind w:leftChars="0" w:right="3" w:firstLine="562"/>
        <w:rPr>
          <w:b/>
          <w:color w:val="auto"/>
          <w:highlight w:val="none"/>
        </w:rPr>
      </w:pPr>
      <w:r>
        <w:rPr>
          <w:rFonts w:hint="eastAsia"/>
          <w:b/>
          <w:color w:val="auto"/>
          <w:highlight w:val="none"/>
        </w:rPr>
        <w:t>4.项目管理情况分析</w:t>
      </w:r>
    </w:p>
    <w:p w14:paraId="406DF1D1">
      <w:pPr>
        <w:pStyle w:val="52"/>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val="en-US" w:eastAsia="zh-CN"/>
        </w:rPr>
        <w:t>于田县兰干乡</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5EBDFB8C">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14:paraId="7FFF09F0">
      <w:pPr>
        <w:pStyle w:val="52"/>
        <w:spacing w:line="580" w:lineRule="exact"/>
        <w:ind w:left="3" w:right="3" w:firstLine="560"/>
        <w:rPr>
          <w:color w:val="auto"/>
          <w:highlight w:val="none"/>
        </w:rPr>
      </w:pPr>
      <w:r>
        <w:rPr>
          <w:color w:val="auto"/>
          <w:highlight w:val="none"/>
        </w:rPr>
        <w:t>本项目在</w:t>
      </w:r>
      <w:r>
        <w:rPr>
          <w:rFonts w:hint="eastAsia"/>
          <w:color w:val="auto"/>
          <w:highlight w:val="none"/>
          <w:lang w:val="en-US" w:eastAsia="zh-CN"/>
        </w:rPr>
        <w:t>2024</w:t>
      </w:r>
      <w:r>
        <w:rPr>
          <w:color w:val="auto"/>
          <w:highlight w:val="none"/>
        </w:rPr>
        <w:t>年</w:t>
      </w:r>
      <w:r>
        <w:rPr>
          <w:rFonts w:hint="eastAsia"/>
          <w:color w:val="auto"/>
          <w:highlight w:val="none"/>
        </w:rPr>
        <w:t>截止1</w:t>
      </w:r>
      <w:r>
        <w:rPr>
          <w:rFonts w:hint="eastAsia"/>
          <w:color w:val="auto"/>
          <w:highlight w:val="none"/>
          <w:lang w:val="en-US" w:eastAsia="zh-CN"/>
        </w:rPr>
        <w:t>2</w:t>
      </w:r>
      <w:r>
        <w:rPr>
          <w:rFonts w:hint="eastAsia"/>
          <w:color w:val="auto"/>
          <w:highlight w:val="none"/>
        </w:rPr>
        <w:t>月底，工程实际完成新建流量0.5立方米/秒的防渗渠6公里，灌溉面积2000亩，占地宽度1.5-1.8米。项目的实施大幅度提升当地经济实力，持续增加农牧民收入，当地用工群众118人，发放劳务报酬94.91万元，其中异地搬迁群众5人，发放劳务报酬15.20万。</w:t>
      </w:r>
    </w:p>
    <w:p w14:paraId="31125CBD">
      <w:pPr>
        <w:pStyle w:val="52"/>
        <w:ind w:left="0" w:leftChars="0" w:right="0" w:rightChars="0" w:firstLine="560"/>
        <w:rPr>
          <w:color w:val="auto"/>
          <w:highlight w:val="none"/>
        </w:rPr>
      </w:pPr>
    </w:p>
    <w:p w14:paraId="3937F9E4">
      <w:pPr>
        <w:pStyle w:val="52"/>
        <w:ind w:left="0" w:leftChars="0" w:right="0" w:rightChars="0" w:firstLine="560"/>
        <w:rPr>
          <w:color w:val="auto"/>
          <w:highlight w:val="none"/>
        </w:rPr>
      </w:pPr>
      <w:r>
        <w:rPr>
          <w:color w:val="auto"/>
          <w:highlight w:val="none"/>
        </w:rPr>
        <w:t>本</w:t>
      </w:r>
      <w:r>
        <w:rPr>
          <w:rFonts w:hint="eastAsia"/>
          <w:color w:val="auto"/>
          <w:highlight w:val="none"/>
        </w:rPr>
        <w:t>项目共设置一级指标3个，二级指标9个，三级指标</w:t>
      </w:r>
      <w:r>
        <w:rPr>
          <w:rFonts w:hint="eastAsia"/>
          <w:color w:val="auto"/>
          <w:highlight w:val="none"/>
          <w:lang w:val="en-US" w:eastAsia="zh-CN"/>
        </w:rPr>
        <w:t>16</w:t>
      </w:r>
      <w:r>
        <w:rPr>
          <w:rFonts w:hint="eastAsia"/>
          <w:color w:val="auto"/>
          <w:highlight w:val="none"/>
        </w:rPr>
        <w:t>个，其中已完成三级指标</w:t>
      </w:r>
      <w:r>
        <w:rPr>
          <w:rFonts w:hint="eastAsia"/>
          <w:color w:val="auto"/>
          <w:highlight w:val="none"/>
          <w:lang w:val="en-US" w:eastAsia="zh-CN"/>
        </w:rPr>
        <w:t>14</w:t>
      </w:r>
      <w:r>
        <w:rPr>
          <w:rFonts w:hint="eastAsia"/>
          <w:color w:val="auto"/>
          <w:highlight w:val="none"/>
        </w:rPr>
        <w:t>个，指标完成率为</w:t>
      </w:r>
      <w:r>
        <w:rPr>
          <w:rFonts w:hint="eastAsia"/>
          <w:color w:val="auto"/>
          <w:highlight w:val="none"/>
          <w:lang w:val="en-US" w:eastAsia="zh-CN"/>
        </w:rPr>
        <w:t>87.5</w:t>
      </w:r>
      <w:r>
        <w:rPr>
          <w:rFonts w:hint="eastAsia"/>
          <w:color w:val="auto"/>
          <w:highlight w:val="none"/>
        </w:rPr>
        <w:t>%，指标完成情况分析如下：</w:t>
      </w:r>
    </w:p>
    <w:p w14:paraId="3F22A06A">
      <w:pPr>
        <w:pStyle w:val="52"/>
        <w:spacing w:line="580" w:lineRule="exact"/>
        <w:ind w:left="0" w:leftChars="0" w:right="0" w:rightChars="0" w:firstLine="562"/>
        <w:rPr>
          <w:b/>
          <w:color w:val="auto"/>
          <w:highlight w:val="none"/>
        </w:rPr>
      </w:pPr>
      <w:r>
        <w:rPr>
          <w:rFonts w:hint="eastAsia"/>
          <w:b/>
          <w:color w:val="auto"/>
          <w:highlight w:val="none"/>
        </w:rPr>
        <w:t>1.产出指标完成情况分析</w:t>
      </w:r>
    </w:p>
    <w:p w14:paraId="1DC3F9E8">
      <w:pPr>
        <w:pStyle w:val="52"/>
        <w:spacing w:line="580" w:lineRule="exact"/>
        <w:ind w:left="0" w:leftChars="0" w:right="0" w:rightChars="0" w:firstLine="560"/>
        <w:rPr>
          <w:rFonts w:hint="default" w:ascii="仿宋_GB2312" w:eastAsia="仿宋_GB2312"/>
          <w:color w:val="auto"/>
          <w:highlight w:val="none"/>
          <w:lang w:val="en-US" w:eastAsia="zh-CN"/>
        </w:rPr>
      </w:pPr>
      <w:r>
        <w:rPr>
          <w:rFonts w:hint="eastAsia" w:ascii="仿宋_GB2312"/>
          <w:color w:val="auto"/>
          <w:highlight w:val="none"/>
        </w:rPr>
        <w:t>1.1</w:t>
      </w:r>
      <w:r>
        <w:rPr>
          <w:rFonts w:hint="eastAsia" w:ascii="仿宋_GB2312"/>
          <w:color w:val="auto"/>
          <w:highlight w:val="none"/>
          <w:lang w:val="en-US" w:eastAsia="zh-CN"/>
        </w:rPr>
        <w:t>数量指标</w:t>
      </w:r>
    </w:p>
    <w:p w14:paraId="0508D71C">
      <w:pPr>
        <w:pStyle w:val="52"/>
        <w:spacing w:line="560" w:lineRule="exact"/>
        <w:ind w:left="0" w:leftChars="0" w:right="0" w:rightChars="0" w:firstLine="560"/>
        <w:rPr>
          <w:rFonts w:hint="eastAsia"/>
          <w:color w:val="auto"/>
          <w:highlight w:val="none"/>
        </w:rPr>
      </w:pPr>
      <w:r>
        <w:rPr>
          <w:rFonts w:hint="eastAsia"/>
          <w:color w:val="auto"/>
          <w:highlight w:val="none"/>
        </w:rPr>
        <w:t>“新建</w:t>
      </w:r>
      <w:r>
        <w:rPr>
          <w:rFonts w:hint="eastAsia"/>
          <w:color w:val="auto"/>
          <w:highlight w:val="none"/>
          <w:lang w:val="en-US" w:eastAsia="zh-CN"/>
        </w:rPr>
        <w:t>防渗渠长度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6公里公里,全年实际值为</w:t>
      </w:r>
      <w:r>
        <w:rPr>
          <w:rFonts w:hint="eastAsia"/>
          <w:color w:val="auto"/>
          <w:highlight w:val="none"/>
          <w:lang w:val="en-US" w:eastAsia="zh-CN"/>
        </w:rPr>
        <w:t>6公里</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051A00DC">
      <w:pPr>
        <w:pStyle w:val="52"/>
        <w:spacing w:line="560" w:lineRule="exact"/>
        <w:ind w:left="0" w:leftChars="0" w:right="0" w:rightChars="0" w:firstLine="560"/>
        <w:rPr>
          <w:rFonts w:hint="default" w:eastAsia="仿宋_GB2312"/>
          <w:color w:val="auto"/>
          <w:highlight w:val="none"/>
          <w:lang w:val="en-US" w:eastAsia="zh-CN"/>
        </w:rPr>
      </w:pPr>
      <w:r>
        <w:rPr>
          <w:rFonts w:ascii="仿宋_GB2312"/>
          <w:color w:val="auto"/>
          <w:highlight w:val="none"/>
        </w:rPr>
        <w:t>1.2</w:t>
      </w:r>
      <w:r>
        <w:rPr>
          <w:rFonts w:hint="eastAsia" w:ascii="仿宋_GB2312"/>
          <w:color w:val="auto"/>
          <w:highlight w:val="none"/>
          <w:lang w:val="en-US" w:eastAsia="zh-CN"/>
        </w:rPr>
        <w:t>质量指标</w:t>
      </w:r>
    </w:p>
    <w:p w14:paraId="6992AD03">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防渗渠流量标准</w:t>
      </w:r>
      <w:r>
        <w:rPr>
          <w:rFonts w:hint="eastAsia"/>
          <w:color w:val="auto"/>
          <w:highlight w:val="none"/>
        </w:rPr>
        <w:t>”指标，预期指标值为</w:t>
      </w:r>
      <w:r>
        <w:rPr>
          <w:rFonts w:hint="eastAsia"/>
          <w:color w:val="auto"/>
          <w:highlight w:val="none"/>
          <w:lang w:val="en-US" w:eastAsia="zh-CN"/>
        </w:rPr>
        <w:t>等于0.5立方米/秒</w:t>
      </w:r>
      <w:r>
        <w:rPr>
          <w:rFonts w:hint="eastAsia"/>
          <w:color w:val="auto"/>
          <w:highlight w:val="none"/>
        </w:rPr>
        <w:t>,全年实际值为</w:t>
      </w:r>
      <w:r>
        <w:rPr>
          <w:rFonts w:hint="eastAsia"/>
          <w:color w:val="auto"/>
          <w:highlight w:val="none"/>
          <w:lang w:val="en-US" w:eastAsia="zh-CN"/>
        </w:rPr>
        <w:t>0.5立方米/秒</w:t>
      </w:r>
      <w:r>
        <w:rPr>
          <w:rFonts w:hint="eastAsia"/>
          <w:color w:val="auto"/>
          <w:highlight w:val="none"/>
        </w:rPr>
        <w:t>，指标完成率为100.00%。所设分值6分，实际得分6分。</w:t>
      </w:r>
    </w:p>
    <w:p w14:paraId="65BC4869">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工程验收合格率</w:t>
      </w:r>
      <w:r>
        <w:rPr>
          <w:rFonts w:hint="eastAsia"/>
          <w:color w:val="auto"/>
          <w:highlight w:val="none"/>
        </w:rPr>
        <w:t>”指标，预期指标值为</w:t>
      </w:r>
      <w:r>
        <w:rPr>
          <w:rFonts w:hint="eastAsia"/>
          <w:color w:val="auto"/>
          <w:highlight w:val="none"/>
          <w:lang w:eastAsia="zh-CN"/>
        </w:rPr>
        <w:t>等于</w:t>
      </w:r>
      <w:r>
        <w:rPr>
          <w:rFonts w:hint="eastAsia"/>
          <w:color w:val="auto"/>
          <w:highlight w:val="none"/>
          <w:lang w:val="en-US" w:eastAsia="zh-CN"/>
        </w:rPr>
        <w:t>100%</w:t>
      </w:r>
      <w:r>
        <w:rPr>
          <w:rFonts w:hint="eastAsia"/>
          <w:color w:val="auto"/>
          <w:highlight w:val="none"/>
        </w:rPr>
        <w:t>,全年实际值为</w:t>
      </w:r>
      <w:r>
        <w:rPr>
          <w:rFonts w:hint="eastAsia"/>
          <w:color w:val="auto"/>
          <w:highlight w:val="none"/>
          <w:lang w:val="en-US" w:eastAsia="zh-CN"/>
        </w:rPr>
        <w:t>100%</w:t>
      </w:r>
      <w:r>
        <w:rPr>
          <w:rFonts w:hint="eastAsia"/>
          <w:color w:val="auto"/>
          <w:highlight w:val="none"/>
        </w:rPr>
        <w:t>，指标完成率为100.00%。所设分值6分，实际得分6分。</w:t>
      </w:r>
    </w:p>
    <w:p w14:paraId="7F04BEFC">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w:t>
      </w:r>
      <w:r>
        <w:rPr>
          <w:rFonts w:hint="eastAsia"/>
          <w:color w:val="auto"/>
          <w:highlight w:val="none"/>
          <w:lang w:eastAsia="zh-CN"/>
        </w:rPr>
        <w:t>等于</w:t>
      </w:r>
      <w:r>
        <w:rPr>
          <w:rFonts w:hint="eastAsia"/>
          <w:color w:val="auto"/>
          <w:highlight w:val="none"/>
          <w:lang w:val="en-US" w:eastAsia="zh-CN"/>
        </w:rPr>
        <w:t>100%</w:t>
      </w:r>
      <w:r>
        <w:rPr>
          <w:rFonts w:hint="eastAsia"/>
          <w:color w:val="auto"/>
          <w:highlight w:val="none"/>
        </w:rPr>
        <w:t>,全年实际值为</w:t>
      </w:r>
      <w:r>
        <w:rPr>
          <w:rFonts w:hint="eastAsia"/>
          <w:color w:val="auto"/>
          <w:highlight w:val="none"/>
          <w:lang w:val="en-US" w:eastAsia="zh-CN"/>
        </w:rPr>
        <w:t>100%</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634ECEF6">
      <w:pPr>
        <w:pStyle w:val="52"/>
        <w:spacing w:line="560" w:lineRule="exact"/>
        <w:ind w:left="0" w:leftChars="0" w:right="0" w:rightChars="0" w:firstLine="560"/>
        <w:rPr>
          <w:rFonts w:hint="eastAsia" w:eastAsia="仿宋_GB2312"/>
          <w:color w:val="auto"/>
          <w:highlight w:val="none"/>
          <w:lang w:val="en-US" w:eastAsia="zh-CN"/>
        </w:rPr>
      </w:pPr>
      <w:r>
        <w:rPr>
          <w:color w:val="auto"/>
          <w:highlight w:val="none"/>
        </w:rPr>
        <w:t>1.3项目完成时效</w:t>
      </w:r>
      <w:r>
        <w:rPr>
          <w:rFonts w:hint="eastAsia"/>
          <w:color w:val="auto"/>
          <w:highlight w:val="none"/>
          <w:lang w:val="en-US" w:eastAsia="zh-CN"/>
        </w:rPr>
        <w:t>指标</w:t>
      </w:r>
    </w:p>
    <w:p w14:paraId="6272924A">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及时率”指标，预期指标值为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1C5A1946">
      <w:pPr>
        <w:pStyle w:val="52"/>
        <w:spacing w:line="560" w:lineRule="exact"/>
        <w:ind w:left="0" w:leftChars="0" w:right="0" w:rightChars="0" w:firstLine="56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“项目开工时间”指标，预期指标值为202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年</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月,全年实际值为202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年</w:t>
      </w: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rPr>
        <w:t>月，指标完成率为</w:t>
      </w:r>
      <w:r>
        <w:rPr>
          <w:rFonts w:hint="eastAsia" w:ascii="仿宋_GB2312" w:hAnsi="仿宋_GB2312" w:cs="仿宋_GB2312"/>
          <w:color w:val="auto"/>
          <w:highlight w:val="none"/>
          <w:lang w:val="en-US" w:eastAsia="zh-CN"/>
        </w:rPr>
        <w:t>95</w:t>
      </w:r>
      <w:r>
        <w:rPr>
          <w:rFonts w:hint="eastAsia" w:ascii="仿宋_GB2312" w:hAnsi="仿宋_GB2312" w:eastAsia="仿宋_GB2312" w:cs="仿宋_GB2312"/>
          <w:color w:val="auto"/>
          <w:highlight w:val="none"/>
        </w:rPr>
        <w:t>%。所设分值5分，实际得分</w:t>
      </w:r>
      <w:r>
        <w:rPr>
          <w:rFonts w:hint="eastAsia" w:ascii="仿宋_GB2312" w:hAnsi="仿宋_GB2312" w:eastAsia="仿宋_GB2312" w:cs="仿宋_GB2312"/>
          <w:color w:val="auto"/>
          <w:highlight w:val="none"/>
          <w:lang w:val="en-US" w:eastAsia="zh-CN"/>
        </w:rPr>
        <w:t>4</w:t>
      </w:r>
      <w:r>
        <w:rPr>
          <w:rFonts w:hint="eastAsia" w:ascii="仿宋_GB2312" w:hAnsi="仿宋_GB2312" w:cs="仿宋_GB2312"/>
          <w:color w:val="auto"/>
          <w:highlight w:val="none"/>
          <w:lang w:val="en-US" w:eastAsia="zh-CN"/>
        </w:rPr>
        <w:t>.5</w:t>
      </w:r>
      <w:r>
        <w:rPr>
          <w:rFonts w:hint="eastAsia" w:ascii="仿宋_GB2312" w:hAnsi="仿宋_GB2312" w:eastAsia="仿宋_GB2312" w:cs="仿宋_GB2312"/>
          <w:color w:val="auto"/>
          <w:highlight w:val="none"/>
        </w:rPr>
        <w:t>分。偏差原因：由于天气原因温度较低。改进措施：加强项目管理及时施工。</w:t>
      </w:r>
    </w:p>
    <w:p w14:paraId="224141BC">
      <w:pPr>
        <w:pStyle w:val="52"/>
        <w:spacing w:line="560" w:lineRule="exact"/>
        <w:ind w:left="0" w:leftChars="0" w:right="0" w:rightChars="0" w:firstLine="560"/>
        <w:rPr>
          <w:color w:val="auto"/>
          <w:highlight w:val="none"/>
        </w:rPr>
      </w:pPr>
      <w:r>
        <w:rPr>
          <w:rFonts w:hint="eastAsia" w:ascii="仿宋_GB2312" w:hAnsi="仿宋_GB2312" w:eastAsia="仿宋_GB2312" w:cs="仿宋_GB2312"/>
          <w:color w:val="auto"/>
          <w:highlight w:val="none"/>
        </w:rPr>
        <w:t>“项目完工时间”指标，预期指标值为202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年6月,全年实际值为202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 xml:space="preserve">年6月，指标完成率为100.00%。。所设分值5分，实际得分5分。     </w:t>
      </w:r>
      <w:r>
        <w:rPr>
          <w:color w:val="auto"/>
          <w:highlight w:val="none"/>
        </w:rPr>
        <w:t xml:space="preserve">   </w:t>
      </w:r>
    </w:p>
    <w:p w14:paraId="23E45906">
      <w:pPr>
        <w:pStyle w:val="52"/>
        <w:spacing w:line="560" w:lineRule="exact"/>
        <w:ind w:left="0" w:leftChars="0" w:right="0" w:rightChars="0" w:firstLine="560"/>
        <w:rPr>
          <w:color w:val="auto"/>
          <w:highlight w:val="none"/>
        </w:rPr>
      </w:pPr>
      <w:r>
        <w:rPr>
          <w:color w:val="auto"/>
          <w:highlight w:val="none"/>
        </w:rPr>
        <w:t>1.4项目成本节约情况</w:t>
      </w:r>
    </w:p>
    <w:p w14:paraId="27518888">
      <w:pPr>
        <w:pStyle w:val="52"/>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1014319C">
      <w:pPr>
        <w:pStyle w:val="33"/>
        <w:rPr>
          <w:rFonts w:hint="eastAsia"/>
          <w:color w:val="auto"/>
          <w:highlight w:val="none"/>
          <w:lang w:val="en-US" w:eastAsia="zh-CN"/>
        </w:rPr>
      </w:pPr>
      <w:bookmarkStart w:id="0" w:name="OLE_LINK1"/>
      <w:r>
        <w:rPr>
          <w:rFonts w:hint="eastAsia"/>
          <w:color w:val="auto"/>
          <w:highlight w:val="none"/>
        </w:rPr>
        <w:t>“</w:t>
      </w:r>
      <w:r>
        <w:rPr>
          <w:rFonts w:hint="eastAsia"/>
          <w:color w:val="auto"/>
          <w:highlight w:val="none"/>
          <w:lang w:val="en-US" w:eastAsia="zh-CN"/>
        </w:rPr>
        <w:t>建筑工程成本</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337万元, 全年实际值为</w:t>
      </w:r>
      <w:r>
        <w:rPr>
          <w:rFonts w:hint="eastAsia"/>
          <w:color w:val="auto"/>
          <w:highlight w:val="none"/>
          <w:lang w:val="en-US" w:eastAsia="zh-CN"/>
        </w:rPr>
        <w:t>361.01万元</w:t>
      </w:r>
      <w:r>
        <w:rPr>
          <w:rFonts w:hint="eastAsia"/>
          <w:color w:val="auto"/>
          <w:highlight w:val="none"/>
        </w:rPr>
        <w:t>，指标完成率为</w:t>
      </w:r>
      <w:r>
        <w:rPr>
          <w:rFonts w:hint="eastAsia"/>
          <w:color w:val="auto"/>
          <w:highlight w:val="none"/>
          <w:lang w:val="en-US" w:eastAsia="zh-CN"/>
        </w:rPr>
        <w:t>90</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分。偏差原因：项目已完工，相关评估决算已完成，工程节概资金2.19万元。改进措施：加强项目建设资金管理。</w:t>
      </w:r>
    </w:p>
    <w:p w14:paraId="79326FF5">
      <w:pPr>
        <w:pStyle w:val="33"/>
        <w:rPr>
          <w:rFonts w:hint="eastAsia"/>
          <w:color w:val="auto"/>
          <w:highlight w:val="none"/>
        </w:rPr>
      </w:pPr>
      <w:r>
        <w:rPr>
          <w:rFonts w:hint="eastAsia"/>
          <w:color w:val="auto"/>
          <w:highlight w:val="none"/>
        </w:rPr>
        <w:t>“</w:t>
      </w:r>
      <w:r>
        <w:rPr>
          <w:rFonts w:hint="eastAsia"/>
          <w:color w:val="auto"/>
          <w:highlight w:val="none"/>
          <w:lang w:val="en-US" w:eastAsia="zh-CN"/>
        </w:rPr>
        <w:t>其他成本</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63万元万元, 全年实际值为</w:t>
      </w:r>
      <w:r>
        <w:rPr>
          <w:rFonts w:hint="eastAsia"/>
          <w:color w:val="auto"/>
          <w:highlight w:val="none"/>
          <w:lang w:val="en-US" w:eastAsia="zh-CN"/>
        </w:rPr>
        <w:t>36.8万元</w:t>
      </w:r>
      <w:r>
        <w:rPr>
          <w:rFonts w:hint="eastAsia"/>
          <w:color w:val="auto"/>
          <w:highlight w:val="none"/>
        </w:rPr>
        <w:t>万元，指标完成率为</w:t>
      </w:r>
      <w:r>
        <w:rPr>
          <w:rFonts w:hint="eastAsia"/>
          <w:color w:val="auto"/>
          <w:highlight w:val="none"/>
          <w:lang w:val="en-US" w:eastAsia="zh-CN"/>
        </w:rPr>
        <w:t>58.41</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3.5</w:t>
      </w:r>
      <w:r>
        <w:rPr>
          <w:rFonts w:hint="eastAsia"/>
          <w:color w:val="auto"/>
          <w:highlight w:val="none"/>
        </w:rPr>
        <w:t>分。偏差原因：项目已完工，相关评估决算已完成，工程节概资金2.19万元。改进措施：加强项目建设资金管理。</w:t>
      </w:r>
    </w:p>
    <w:bookmarkEnd w:id="0"/>
    <w:p w14:paraId="24C93485">
      <w:pPr>
        <w:pStyle w:val="33"/>
        <w:rPr>
          <w:color w:val="auto"/>
          <w:highlight w:val="none"/>
        </w:rPr>
      </w:pPr>
      <w:r>
        <w:rPr>
          <w:rFonts w:hint="eastAsia"/>
          <w:color w:val="auto"/>
          <w:highlight w:val="none"/>
        </w:rPr>
        <w:t>2.效益指标完成情况分析</w:t>
      </w:r>
    </w:p>
    <w:p w14:paraId="3217224F">
      <w:pPr>
        <w:pStyle w:val="52"/>
        <w:spacing w:line="560" w:lineRule="exact"/>
        <w:ind w:left="0" w:leftChars="0" w:right="0" w:rightChars="0" w:firstLine="560"/>
        <w:rPr>
          <w:color w:val="auto"/>
          <w:highlight w:val="none"/>
        </w:rPr>
      </w:pPr>
      <w:r>
        <w:rPr>
          <w:color w:val="auto"/>
          <w:highlight w:val="none"/>
        </w:rPr>
        <w:t>2.1项目实施的经济效益分析</w:t>
      </w:r>
    </w:p>
    <w:p w14:paraId="6731E41B">
      <w:pPr>
        <w:pStyle w:val="52"/>
        <w:spacing w:line="560" w:lineRule="exact"/>
        <w:ind w:left="0" w:leftChars="0" w:right="0" w:rightChars="0" w:firstLine="560"/>
        <w:rPr>
          <w:color w:val="auto"/>
          <w:highlight w:val="none"/>
        </w:rPr>
      </w:pPr>
      <w:r>
        <w:rPr>
          <w:rFonts w:hint="eastAsia"/>
          <w:color w:val="auto"/>
          <w:highlight w:val="none"/>
        </w:rPr>
        <w:t>““带动增加劳动者全年总收入”指标，指标预期值为</w:t>
      </w:r>
      <w:r>
        <w:rPr>
          <w:rFonts w:hint="eastAsia"/>
          <w:color w:val="auto"/>
          <w:highlight w:val="none"/>
          <w:lang w:eastAsia="zh-CN"/>
        </w:rPr>
        <w:t>大于等于</w:t>
      </w:r>
      <w:r>
        <w:rPr>
          <w:rFonts w:hint="eastAsia"/>
          <w:color w:val="auto"/>
          <w:highlight w:val="none"/>
        </w:rPr>
        <w:t>85万元，实际完成值为</w:t>
      </w:r>
      <w:r>
        <w:rPr>
          <w:rFonts w:hint="eastAsia"/>
          <w:color w:val="auto"/>
          <w:highlight w:val="none"/>
          <w:lang w:val="en-US" w:eastAsia="zh-CN"/>
        </w:rPr>
        <w:t>94.91万元</w:t>
      </w:r>
      <w:r>
        <w:rPr>
          <w:rFonts w:hint="eastAsia"/>
          <w:color w:val="auto"/>
          <w:highlight w:val="none"/>
        </w:rPr>
        <w:t>，指标完成率为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分。偏差原因：项目实施过程中增加劳动者人数，收入增加。改进措施：加强项目管理。</w:t>
      </w:r>
    </w:p>
    <w:p w14:paraId="2DB53F91">
      <w:pPr>
        <w:pStyle w:val="52"/>
        <w:spacing w:line="560" w:lineRule="exact"/>
        <w:ind w:left="0" w:leftChars="0" w:right="0" w:rightChars="0" w:firstLine="560"/>
        <w:rPr>
          <w:color w:val="auto"/>
          <w:highlight w:val="none"/>
        </w:rPr>
      </w:pPr>
      <w:r>
        <w:rPr>
          <w:rFonts w:hint="eastAsia"/>
          <w:color w:val="auto"/>
          <w:highlight w:val="none"/>
        </w:rPr>
        <w:t>“带动易地搬脱贫群众收入”指标，指标预期值为</w:t>
      </w:r>
      <w:r>
        <w:rPr>
          <w:rFonts w:hint="eastAsia"/>
          <w:color w:val="auto"/>
          <w:highlight w:val="none"/>
          <w:lang w:eastAsia="zh-CN"/>
        </w:rPr>
        <w:t>大于等于</w:t>
      </w:r>
      <w:r>
        <w:rPr>
          <w:rFonts w:hint="eastAsia"/>
          <w:color w:val="auto"/>
          <w:highlight w:val="none"/>
        </w:rPr>
        <w:t>7.5万元，实际完成值为</w:t>
      </w:r>
      <w:r>
        <w:rPr>
          <w:rFonts w:hint="eastAsia"/>
          <w:color w:val="auto"/>
          <w:highlight w:val="none"/>
          <w:lang w:val="en-US" w:eastAsia="zh-CN"/>
        </w:rPr>
        <w:t>15.20万元</w:t>
      </w:r>
      <w:r>
        <w:rPr>
          <w:rFonts w:hint="eastAsia"/>
          <w:color w:val="auto"/>
          <w:highlight w:val="none"/>
        </w:rPr>
        <w:t>，指标完成率为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分。偏差原因：项目实施过程中增加劳动者人数，收入增加。改进措施：加强项目管理。</w:t>
      </w:r>
    </w:p>
    <w:p w14:paraId="4E4EDC1C">
      <w:pPr>
        <w:pStyle w:val="52"/>
        <w:spacing w:line="560" w:lineRule="exact"/>
        <w:ind w:left="0" w:leftChars="0" w:right="0" w:rightChars="0" w:firstLine="560"/>
        <w:rPr>
          <w:color w:val="auto"/>
          <w:highlight w:val="none"/>
        </w:rPr>
      </w:pPr>
      <w:r>
        <w:rPr>
          <w:color w:val="auto"/>
          <w:highlight w:val="none"/>
        </w:rPr>
        <w:t>2.2项目实施的社会效益分析</w:t>
      </w:r>
    </w:p>
    <w:p w14:paraId="3776065E">
      <w:pPr>
        <w:pStyle w:val="52"/>
        <w:spacing w:line="560" w:lineRule="exact"/>
        <w:ind w:left="0" w:leftChars="0" w:right="0" w:rightChars="0" w:firstLine="560"/>
        <w:rPr>
          <w:color w:val="auto"/>
          <w:highlight w:val="none"/>
        </w:rPr>
      </w:pPr>
      <w:r>
        <w:rPr>
          <w:rFonts w:hint="eastAsia"/>
          <w:color w:val="auto"/>
          <w:highlight w:val="none"/>
        </w:rPr>
        <w:t>“受益易地搬脱贫群众人口数”指标，指标预期值为</w:t>
      </w:r>
      <w:r>
        <w:rPr>
          <w:rFonts w:hint="eastAsia"/>
          <w:color w:val="auto"/>
          <w:highlight w:val="none"/>
          <w:lang w:eastAsia="zh-CN"/>
        </w:rPr>
        <w:t>大于等于</w:t>
      </w:r>
      <w:r>
        <w:rPr>
          <w:rFonts w:hint="eastAsia"/>
          <w:color w:val="auto"/>
          <w:highlight w:val="none"/>
        </w:rPr>
        <w:t>5人，实际完成值为</w:t>
      </w:r>
      <w:r>
        <w:rPr>
          <w:rFonts w:hint="eastAsia"/>
          <w:color w:val="auto"/>
          <w:highlight w:val="none"/>
          <w:lang w:val="en-US" w:eastAsia="zh-CN"/>
        </w:rPr>
        <w:t>5人</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2B9F552E">
      <w:pPr>
        <w:pStyle w:val="52"/>
        <w:spacing w:line="560" w:lineRule="exact"/>
        <w:ind w:left="0" w:leftChars="0" w:right="0" w:rightChars="0" w:firstLine="560"/>
        <w:rPr>
          <w:color w:val="auto"/>
          <w:highlight w:val="none"/>
        </w:rPr>
      </w:pPr>
      <w:r>
        <w:rPr>
          <w:rFonts w:hint="eastAsia"/>
          <w:color w:val="auto"/>
          <w:highlight w:val="none"/>
        </w:rPr>
        <w:t>“受益劳动者人数”指标，指标预期值为</w:t>
      </w:r>
      <w:r>
        <w:rPr>
          <w:rFonts w:hint="eastAsia"/>
          <w:color w:val="auto"/>
          <w:highlight w:val="none"/>
          <w:lang w:eastAsia="zh-CN"/>
        </w:rPr>
        <w:t>大于等于</w:t>
      </w:r>
      <w:r>
        <w:rPr>
          <w:rFonts w:hint="eastAsia"/>
          <w:color w:val="auto"/>
          <w:highlight w:val="none"/>
        </w:rPr>
        <w:t>81人，实际完成值为</w:t>
      </w:r>
      <w:r>
        <w:rPr>
          <w:rFonts w:hint="eastAsia"/>
          <w:color w:val="auto"/>
          <w:highlight w:val="none"/>
          <w:lang w:val="en-US" w:eastAsia="zh-CN"/>
        </w:rPr>
        <w:t>118人</w:t>
      </w:r>
      <w:r>
        <w:rPr>
          <w:rFonts w:hint="eastAsia"/>
          <w:color w:val="auto"/>
          <w:highlight w:val="none"/>
        </w:rPr>
        <w:t>，指标完成率为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4.5</w:t>
      </w:r>
      <w:r>
        <w:rPr>
          <w:rFonts w:hint="eastAsia"/>
          <w:color w:val="auto"/>
          <w:highlight w:val="none"/>
        </w:rPr>
        <w:t xml:space="preserve">分。偏差原因：项目实施过程中增加劳动者人数。改进措施：加强项目管理。 </w:t>
      </w:r>
      <w:r>
        <w:rPr>
          <w:color w:val="auto"/>
          <w:highlight w:val="none"/>
        </w:rPr>
        <w:t xml:space="preserve">   </w:t>
      </w:r>
    </w:p>
    <w:p w14:paraId="54F87DD3">
      <w:pPr>
        <w:pStyle w:val="52"/>
        <w:spacing w:line="560" w:lineRule="exact"/>
        <w:ind w:left="0" w:leftChars="0" w:right="0" w:rightChars="0" w:firstLine="560"/>
        <w:rPr>
          <w:color w:val="auto"/>
          <w:highlight w:val="none"/>
        </w:rPr>
      </w:pPr>
      <w:r>
        <w:rPr>
          <w:color w:val="auto"/>
          <w:highlight w:val="none"/>
        </w:rPr>
        <w:t>2.3项目实施的生态效益分析</w:t>
      </w:r>
    </w:p>
    <w:p w14:paraId="2E177D12">
      <w:pPr>
        <w:pStyle w:val="52"/>
        <w:spacing w:line="560" w:lineRule="exact"/>
        <w:ind w:left="0" w:leftChars="0" w:right="0" w:rightChars="0" w:firstLine="560"/>
        <w:rPr>
          <w:color w:val="auto"/>
          <w:highlight w:val="none"/>
        </w:rPr>
      </w:pPr>
      <w:r>
        <w:rPr>
          <w:rFonts w:hint="eastAsia"/>
          <w:color w:val="auto"/>
          <w:highlight w:val="none"/>
        </w:rPr>
        <w:t>“改善生态环境、减少水土流失</w:t>
      </w:r>
      <w:r>
        <w:rPr>
          <w:rFonts w:hint="eastAsia"/>
          <w:color w:val="auto"/>
          <w:highlight w:val="none"/>
        </w:rPr>
        <w:tab/>
      </w:r>
      <w:r>
        <w:rPr>
          <w:rFonts w:hint="eastAsia"/>
          <w:color w:val="auto"/>
          <w:highlight w:val="none"/>
        </w:rPr>
        <w:t>”指标，指标预期值为</w:t>
      </w:r>
      <w:r>
        <w:rPr>
          <w:rFonts w:hint="eastAsia"/>
          <w:color w:val="auto"/>
          <w:highlight w:val="none"/>
          <w:lang w:val="en-US" w:eastAsia="zh-CN"/>
        </w:rPr>
        <w:t>有效改善</w:t>
      </w:r>
      <w:r>
        <w:rPr>
          <w:rFonts w:hint="eastAsia"/>
          <w:color w:val="auto"/>
          <w:highlight w:val="none"/>
        </w:rPr>
        <w:t>，实际完成值为</w:t>
      </w:r>
      <w:r>
        <w:rPr>
          <w:rFonts w:hint="eastAsia"/>
          <w:color w:val="auto"/>
          <w:highlight w:val="none"/>
          <w:lang w:val="en-US" w:eastAsia="zh-CN"/>
        </w:rPr>
        <w:t>有效改善</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B15F154">
      <w:pPr>
        <w:pStyle w:val="52"/>
        <w:spacing w:line="560" w:lineRule="exact"/>
        <w:ind w:left="0" w:leftChars="0" w:right="0" w:rightChars="0" w:firstLine="560"/>
        <w:rPr>
          <w:color w:val="auto"/>
          <w:highlight w:val="none"/>
        </w:rPr>
      </w:pPr>
      <w:r>
        <w:rPr>
          <w:color w:val="auto"/>
          <w:highlight w:val="none"/>
        </w:rPr>
        <w:t>2.4项目实施的可持续影响分析</w:t>
      </w:r>
    </w:p>
    <w:p w14:paraId="3D34DA2C">
      <w:pPr>
        <w:pStyle w:val="33"/>
        <w:rPr>
          <w:color w:val="auto"/>
          <w:highlight w:val="none"/>
        </w:rPr>
      </w:pPr>
      <w:r>
        <w:rPr>
          <w:rFonts w:hint="eastAsia"/>
          <w:color w:val="auto"/>
          <w:highlight w:val="none"/>
        </w:rPr>
        <w:t>“</w:t>
      </w:r>
      <w:r>
        <w:rPr>
          <w:rFonts w:hint="eastAsia"/>
          <w:color w:val="auto"/>
          <w:highlight w:val="none"/>
          <w:lang w:val="en-US" w:eastAsia="zh-CN"/>
        </w:rPr>
        <w:t>防渗渠可使用年限（年）</w:t>
      </w:r>
      <w:r>
        <w:rPr>
          <w:rFonts w:hint="eastAsia"/>
          <w:color w:val="auto"/>
          <w:highlight w:val="none"/>
        </w:rPr>
        <w:t>”指标，指标预期值为</w:t>
      </w:r>
      <w:r>
        <w:rPr>
          <w:rFonts w:hint="eastAsia"/>
          <w:color w:val="auto"/>
          <w:highlight w:val="none"/>
          <w:lang w:eastAsia="zh-CN"/>
        </w:rPr>
        <w:t>大于等于</w:t>
      </w:r>
      <w:r>
        <w:rPr>
          <w:rFonts w:hint="eastAsia"/>
          <w:color w:val="auto"/>
          <w:highlight w:val="none"/>
        </w:rPr>
        <w:t>20年，实际完成值为20年，指标完成率为100.00%。。所设分值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39997F9B">
      <w:pPr>
        <w:pStyle w:val="33"/>
        <w:rPr>
          <w:color w:val="auto"/>
          <w:highlight w:val="none"/>
        </w:rPr>
      </w:pPr>
      <w:r>
        <w:rPr>
          <w:rFonts w:hint="eastAsia"/>
          <w:color w:val="auto"/>
          <w:highlight w:val="none"/>
        </w:rPr>
        <w:t>3.满意度指标完成情况分析</w:t>
      </w:r>
    </w:p>
    <w:p w14:paraId="4AF87E61">
      <w:pPr>
        <w:spacing w:line="560" w:lineRule="exact"/>
        <w:ind w:firstLine="544" w:firstLineChars="200"/>
        <w:rPr>
          <w:rFonts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“以工代赈参与群众满意度”指标，指标预期指标值为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95%，实际完成值为95%，指标完成率为100.00%。所设分值10分，实际得分10分。</w:t>
      </w:r>
    </w:p>
    <w:p w14:paraId="039BBD35">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项目实施完成后我单位就该项目的满意度采取抽样发放调查问卷的方式开展调查，通过对调查问卷的梳理和统计，以工代赈参与群众满意度指标综合满意率为95.00%。</w:t>
      </w:r>
    </w:p>
    <w:p w14:paraId="7CDB1F57">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57678A69">
      <w:pPr>
        <w:pStyle w:val="33"/>
        <w:rPr>
          <w:rFonts w:hint="eastAsia"/>
          <w:color w:val="auto"/>
          <w:highlight w:val="none"/>
        </w:rPr>
      </w:pPr>
      <w:r>
        <w:rPr>
          <w:rFonts w:hint="eastAsia" w:ascii="仿宋_GB2312"/>
          <w:color w:val="auto"/>
          <w:spacing w:val="-4"/>
          <w:szCs w:val="32"/>
          <w:highlight w:val="none"/>
        </w:rPr>
        <w:t>1.</w:t>
      </w:r>
      <w:r>
        <w:rPr>
          <w:rFonts w:hint="eastAsia" w:ascii="仿宋_GB2312"/>
          <w:color w:val="auto"/>
          <w:spacing w:val="-4"/>
          <w:szCs w:val="32"/>
          <w:highlight w:val="none"/>
          <w:lang w:val="en-US" w:eastAsia="zh-CN"/>
        </w:rPr>
        <w:t>成本指标</w:t>
      </w:r>
      <w:r>
        <w:rPr>
          <w:rFonts w:hint="eastAsia" w:ascii="仿宋_GB2312"/>
          <w:color w:val="auto"/>
          <w:spacing w:val="-4"/>
          <w:szCs w:val="32"/>
          <w:highlight w:val="none"/>
        </w:rPr>
        <w:t>-</w:t>
      </w:r>
      <w:r>
        <w:rPr>
          <w:rFonts w:hint="eastAsia"/>
          <w:color w:val="auto"/>
          <w:highlight w:val="none"/>
        </w:rPr>
        <w:t>“</w:t>
      </w:r>
      <w:r>
        <w:rPr>
          <w:rFonts w:hint="eastAsia"/>
          <w:color w:val="auto"/>
          <w:highlight w:val="none"/>
          <w:lang w:val="en-US" w:eastAsia="zh-CN"/>
        </w:rPr>
        <w:t>建筑工程成本</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337万元, 全年实际值为</w:t>
      </w:r>
      <w:r>
        <w:rPr>
          <w:rFonts w:hint="eastAsia"/>
          <w:color w:val="auto"/>
          <w:highlight w:val="none"/>
          <w:lang w:val="en-US" w:eastAsia="zh-CN"/>
        </w:rPr>
        <w:t>361.01万元</w:t>
      </w:r>
      <w:r>
        <w:rPr>
          <w:rFonts w:hint="eastAsia"/>
          <w:color w:val="auto"/>
          <w:highlight w:val="none"/>
        </w:rPr>
        <w:t>。</w:t>
      </w:r>
    </w:p>
    <w:p w14:paraId="42109E0F">
      <w:pPr>
        <w:pStyle w:val="33"/>
        <w:rPr>
          <w:rFonts w:hint="eastAsia"/>
          <w:color w:val="auto"/>
          <w:highlight w:val="none"/>
          <w:lang w:val="en-US" w:eastAsia="zh-CN"/>
        </w:rPr>
      </w:pPr>
      <w:r>
        <w:rPr>
          <w:rFonts w:hint="eastAsia"/>
          <w:color w:val="auto"/>
          <w:highlight w:val="none"/>
        </w:rPr>
        <w:t>偏差原因：项目已完工，相关评估决算已完成，工程节概资金2.19万元。改进措施：加强项目建设资金管理。</w:t>
      </w:r>
    </w:p>
    <w:p w14:paraId="3C73280F">
      <w:pPr>
        <w:pStyle w:val="33"/>
        <w:rPr>
          <w:rFonts w:hint="eastAsia"/>
          <w:color w:val="auto"/>
          <w:highlight w:val="none"/>
        </w:rPr>
      </w:pPr>
      <w:r>
        <w:rPr>
          <w:rFonts w:hint="eastAsia"/>
          <w:color w:val="auto"/>
          <w:highlight w:val="none"/>
        </w:rPr>
        <w:t>“</w:t>
      </w:r>
      <w:r>
        <w:rPr>
          <w:rFonts w:hint="eastAsia"/>
          <w:color w:val="auto"/>
          <w:highlight w:val="none"/>
          <w:lang w:val="en-US" w:eastAsia="zh-CN"/>
        </w:rPr>
        <w:t>其他成本</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63万元万元, 全年实际值为</w:t>
      </w:r>
      <w:r>
        <w:rPr>
          <w:rFonts w:hint="eastAsia"/>
          <w:color w:val="auto"/>
          <w:highlight w:val="none"/>
          <w:lang w:val="en-US" w:eastAsia="zh-CN"/>
        </w:rPr>
        <w:t>36.8</w:t>
      </w:r>
      <w:r>
        <w:rPr>
          <w:rFonts w:hint="eastAsia"/>
          <w:color w:val="auto"/>
          <w:highlight w:val="none"/>
        </w:rPr>
        <w:t>万元。</w:t>
      </w:r>
    </w:p>
    <w:p w14:paraId="75C53B30">
      <w:pPr>
        <w:pStyle w:val="33"/>
        <w:rPr>
          <w:rFonts w:hint="default" w:ascii="仿宋_GB2312"/>
          <w:color w:val="auto"/>
          <w:spacing w:val="-4"/>
          <w:szCs w:val="32"/>
          <w:highlight w:val="none"/>
          <w:lang w:val="en-US" w:eastAsia="zh-CN"/>
        </w:rPr>
      </w:pPr>
      <w:r>
        <w:rPr>
          <w:rFonts w:hint="eastAsia"/>
          <w:color w:val="auto"/>
          <w:highlight w:val="none"/>
        </w:rPr>
        <w:t>偏差原因：项目已完工，相关评估决算已完成，工程节概资金2.19万元。改进措施：加强项目建设资金管理。</w:t>
      </w:r>
    </w:p>
    <w:p w14:paraId="00196732">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14:paraId="1EADC102">
      <w:pPr>
        <w:pStyle w:val="52"/>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于田县兰干乡防渗渠2024年中央财政以工代赈项目资金的使用效率和效果，从而得出以下综合评价结论：在绩效目标方面，本项目共设置一级指标3个，二级指标9个，三级指标</w:t>
      </w:r>
      <w:r>
        <w:rPr>
          <w:rFonts w:hint="eastAsia" w:ascii="仿宋_GB2312"/>
          <w:color w:val="auto"/>
          <w:highlight w:val="none"/>
          <w:lang w:val="en-US" w:eastAsia="zh-CN"/>
        </w:rPr>
        <w:t>16</w:t>
      </w:r>
      <w:r>
        <w:rPr>
          <w:rFonts w:hint="eastAsia" w:ascii="仿宋_GB2312"/>
          <w:color w:val="auto"/>
          <w:highlight w:val="none"/>
        </w:rPr>
        <w:t>个，其中已完成三级指标</w:t>
      </w:r>
      <w:r>
        <w:rPr>
          <w:rFonts w:hint="eastAsia" w:ascii="仿宋_GB2312"/>
          <w:color w:val="auto"/>
          <w:highlight w:val="none"/>
          <w:lang w:val="en-US" w:eastAsia="zh-CN"/>
        </w:rPr>
        <w:t>14</w:t>
      </w:r>
      <w:r>
        <w:rPr>
          <w:rFonts w:hint="eastAsia" w:ascii="仿宋_GB2312"/>
          <w:color w:val="auto"/>
          <w:highlight w:val="none"/>
        </w:rPr>
        <w:t>个，指标完成率为</w:t>
      </w:r>
      <w:r>
        <w:rPr>
          <w:rFonts w:hint="eastAsia" w:ascii="仿宋_GB2312"/>
          <w:color w:val="auto"/>
          <w:highlight w:val="none"/>
          <w:lang w:val="en-US" w:eastAsia="zh-CN"/>
        </w:rPr>
        <w:t>87.5</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w:t>
      </w:r>
      <w:r>
        <w:rPr>
          <w:rFonts w:hint="eastAsia" w:ascii="仿宋_GB2312"/>
          <w:color w:val="auto"/>
          <w:highlight w:val="none"/>
          <w:lang w:val="en-US" w:eastAsia="zh-CN"/>
        </w:rPr>
        <w:t>于田县兰干乡</w:t>
      </w:r>
      <w:r>
        <w:rPr>
          <w:rFonts w:hint="eastAsia" w:ascii="仿宋_GB2312"/>
          <w:color w:val="auto"/>
          <w:highlight w:val="none"/>
        </w:rPr>
        <w:t>财务管理制度》执行，保障了资金使用规范、安全，无挪用、截留资金的情况发生。在项目管理方面，制定了《于田县兰干乡防渗渠2024年中央财政以工代赈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2630D5B">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95.45</w:t>
      </w:r>
      <w:r>
        <w:rPr>
          <w:rFonts w:hint="eastAsia" w:ascii="仿宋_GB2312"/>
          <w:color w:val="auto"/>
          <w:highlight w:val="none"/>
        </w:rPr>
        <w:t>分，评价等级为优。</w:t>
      </w:r>
    </w:p>
    <w:p w14:paraId="045DB493">
      <w:pPr>
        <w:pStyle w:val="52"/>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14:paraId="588BCD8D">
      <w:pPr>
        <w:pStyle w:val="52"/>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7821369E">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14:paraId="43F244DE">
      <w:pPr>
        <w:pStyle w:val="52"/>
        <w:spacing w:line="560" w:lineRule="exact"/>
        <w:ind w:left="3" w:right="3" w:firstLine="560"/>
        <w:rPr>
          <w:rFonts w:hint="eastAsia" w:ascii="仿宋_GB2312" w:eastAsia="仿宋_GB2312"/>
          <w:color w:val="auto"/>
          <w:highlight w:val="none"/>
          <w:lang w:val="en-US" w:eastAsia="zh-CN"/>
        </w:rPr>
      </w:pPr>
      <w:r>
        <w:rPr>
          <w:rFonts w:hint="eastAsia" w:ascii="仿宋_GB2312"/>
          <w:color w:val="auto"/>
          <w:highlight w:val="none"/>
        </w:rPr>
        <w:t>项目状况：由于田县兰干乡</w:t>
      </w:r>
      <w:r>
        <w:rPr>
          <w:rFonts w:hint="eastAsia" w:ascii="仿宋_GB2312"/>
          <w:color w:val="auto"/>
          <w:highlight w:val="none"/>
          <w:lang w:val="en-US" w:eastAsia="zh-CN"/>
        </w:rPr>
        <w:t>负责</w:t>
      </w:r>
      <w:r>
        <w:rPr>
          <w:rFonts w:hint="eastAsia" w:ascii="仿宋_GB2312"/>
          <w:color w:val="auto"/>
          <w:highlight w:val="none"/>
        </w:rPr>
        <w:t>项目的实施方案，并由于田县</w:t>
      </w:r>
      <w:r>
        <w:rPr>
          <w:rFonts w:hint="eastAsia" w:ascii="仿宋_GB2312"/>
          <w:color w:val="auto"/>
          <w:highlight w:val="none"/>
          <w:lang w:val="en-US" w:eastAsia="zh-CN"/>
        </w:rPr>
        <w:t>发展和改革委员会</w:t>
      </w:r>
      <w:r>
        <w:rPr>
          <w:rFonts w:hint="eastAsia" w:ascii="仿宋_GB2312"/>
          <w:color w:val="auto"/>
          <w:highlight w:val="none"/>
        </w:rPr>
        <w:t>审核后，下发了</w:t>
      </w:r>
      <w:r>
        <w:rPr>
          <w:rFonts w:hint="eastAsia" w:ascii="仿宋_GB2312"/>
          <w:color w:val="auto"/>
          <w:szCs w:val="32"/>
          <w:highlight w:val="none"/>
        </w:rPr>
        <w:t>《关于对于田县兰</w:t>
      </w:r>
      <w:r>
        <w:rPr>
          <w:rFonts w:hint="eastAsia" w:ascii="仿宋_GB2312"/>
          <w:color w:val="auto"/>
          <w:szCs w:val="32"/>
          <w:highlight w:val="none"/>
          <w:lang w:val="en-US" w:eastAsia="zh-CN"/>
        </w:rPr>
        <w:t>干</w:t>
      </w:r>
      <w:r>
        <w:rPr>
          <w:rFonts w:hint="eastAsia" w:ascii="仿宋_GB2312"/>
          <w:color w:val="auto"/>
          <w:szCs w:val="32"/>
          <w:highlight w:val="none"/>
        </w:rPr>
        <w:t>乡防渗渠 2024 年中央财政以工代赈项目实施方案的批复》（于发改项目</w:t>
      </w:r>
      <w:r>
        <w:rPr>
          <w:rFonts w:hint="eastAsia" w:ascii="仿宋_GB2312" w:hAnsi="仿宋_GB2312" w:eastAsia="仿宋_GB2312" w:cs="仿宋_GB2312"/>
          <w:color w:val="auto"/>
          <w:szCs w:val="32"/>
          <w:highlight w:val="none"/>
        </w:rPr>
        <w:t>〔</w:t>
      </w:r>
      <w:r>
        <w:rPr>
          <w:rFonts w:hint="eastAsia" w:ascii="仿宋_GB2312"/>
          <w:color w:val="auto"/>
          <w:szCs w:val="32"/>
          <w:highlight w:val="none"/>
        </w:rPr>
        <w:t>2024</w:t>
      </w:r>
      <w:r>
        <w:rPr>
          <w:rFonts w:hint="eastAsia" w:ascii="仿宋_GB2312" w:hAnsi="仿宋_GB2312" w:eastAsia="仿宋_GB2312" w:cs="仿宋_GB2312"/>
          <w:color w:val="auto"/>
          <w:szCs w:val="32"/>
          <w:highlight w:val="none"/>
        </w:rPr>
        <w:t>〕</w:t>
      </w:r>
      <w:r>
        <w:rPr>
          <w:rFonts w:hint="eastAsia" w:ascii="仿宋_GB2312"/>
          <w:color w:val="auto"/>
          <w:szCs w:val="32"/>
          <w:highlight w:val="none"/>
        </w:rPr>
        <w:t>23号）</w:t>
      </w:r>
      <w:r>
        <w:rPr>
          <w:rFonts w:hint="eastAsia" w:ascii="仿宋_GB2312"/>
          <w:color w:val="auto"/>
          <w:szCs w:val="32"/>
          <w:highlight w:val="none"/>
          <w:lang w:eastAsia="zh-CN"/>
        </w:rPr>
        <w:t>。</w:t>
      </w:r>
    </w:p>
    <w:p w14:paraId="1A5C6B9B">
      <w:pPr>
        <w:pStyle w:val="52"/>
        <w:spacing w:line="560" w:lineRule="exact"/>
        <w:ind w:left="3" w:right="3" w:firstLine="560"/>
        <w:rPr>
          <w:rFonts w:hint="eastAsia" w:ascii="仿宋_GB2312"/>
          <w:color w:val="auto"/>
          <w:szCs w:val="32"/>
          <w:highlight w:val="none"/>
          <w:lang w:eastAsia="zh-CN"/>
        </w:rPr>
      </w:pPr>
      <w:r>
        <w:rPr>
          <w:rFonts w:hint="eastAsia" w:ascii="仿宋_GB2312"/>
          <w:color w:val="auto"/>
          <w:highlight w:val="none"/>
        </w:rPr>
        <w:t>资金状况：预算资金来源为以工代赈资金，文件依据：</w:t>
      </w:r>
      <w:r>
        <w:rPr>
          <w:rFonts w:hint="eastAsia" w:ascii="仿宋_GB2312"/>
          <w:color w:val="auto"/>
          <w:szCs w:val="32"/>
          <w:highlight w:val="none"/>
        </w:rPr>
        <w:t>《关于对于田县兰</w:t>
      </w:r>
      <w:r>
        <w:rPr>
          <w:rFonts w:hint="eastAsia" w:ascii="仿宋_GB2312"/>
          <w:color w:val="auto"/>
          <w:szCs w:val="32"/>
          <w:highlight w:val="none"/>
          <w:lang w:val="en-US" w:eastAsia="zh-CN"/>
        </w:rPr>
        <w:t>干</w:t>
      </w:r>
      <w:r>
        <w:rPr>
          <w:rFonts w:hint="eastAsia" w:ascii="仿宋_GB2312"/>
          <w:color w:val="auto"/>
          <w:szCs w:val="32"/>
          <w:highlight w:val="none"/>
        </w:rPr>
        <w:t>乡防渗渠2024年中央财政以工代赈项目实施方案的批复》（于发改项目</w:t>
      </w:r>
      <w:r>
        <w:rPr>
          <w:rFonts w:hint="eastAsia" w:ascii="仿宋_GB2312" w:hAnsi="仿宋_GB2312" w:eastAsia="仿宋_GB2312" w:cs="仿宋_GB2312"/>
          <w:color w:val="auto"/>
          <w:szCs w:val="32"/>
          <w:highlight w:val="none"/>
        </w:rPr>
        <w:t>〔</w:t>
      </w:r>
      <w:r>
        <w:rPr>
          <w:rFonts w:hint="eastAsia" w:ascii="仿宋_GB2312"/>
          <w:color w:val="auto"/>
          <w:szCs w:val="32"/>
          <w:highlight w:val="none"/>
        </w:rPr>
        <w:t>2024</w:t>
      </w:r>
      <w:r>
        <w:rPr>
          <w:rFonts w:hint="eastAsia" w:ascii="仿宋_GB2312" w:hAnsi="仿宋_GB2312" w:eastAsia="仿宋_GB2312" w:cs="仿宋_GB2312"/>
          <w:color w:val="auto"/>
          <w:szCs w:val="32"/>
          <w:highlight w:val="none"/>
        </w:rPr>
        <w:t>〕</w:t>
      </w:r>
      <w:r>
        <w:rPr>
          <w:rFonts w:hint="eastAsia" w:ascii="仿宋_GB2312"/>
          <w:color w:val="auto"/>
          <w:szCs w:val="32"/>
          <w:highlight w:val="none"/>
        </w:rPr>
        <w:t>23号）</w:t>
      </w:r>
      <w:r>
        <w:rPr>
          <w:rFonts w:hint="eastAsia" w:ascii="仿宋_GB2312"/>
          <w:color w:val="auto"/>
          <w:szCs w:val="32"/>
          <w:highlight w:val="none"/>
          <w:lang w:eastAsia="zh-CN"/>
        </w:rPr>
        <w:t>。</w:t>
      </w:r>
    </w:p>
    <w:p w14:paraId="7184A7FD">
      <w:pPr>
        <w:pStyle w:val="52"/>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年1月制订</w:t>
      </w:r>
      <w:r>
        <w:rPr>
          <w:rFonts w:hint="eastAsia" w:ascii="仿宋_GB2312"/>
          <w:color w:val="auto"/>
          <w:highlight w:val="none"/>
          <w:lang w:val="en-US" w:eastAsia="zh-CN"/>
        </w:rPr>
        <w:t>实施方案</w:t>
      </w:r>
      <w:r>
        <w:rPr>
          <w:rFonts w:hint="eastAsia" w:ascii="仿宋_GB2312"/>
          <w:color w:val="auto"/>
          <w:highlight w:val="none"/>
        </w:rPr>
        <w:t>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2</w:t>
      </w:r>
      <w:r>
        <w:rPr>
          <w:rFonts w:hint="eastAsia" w:ascii="仿宋_GB2312"/>
          <w:color w:val="auto"/>
          <w:highlight w:val="none"/>
        </w:rPr>
        <w:t>月</w:t>
      </w:r>
      <w:r>
        <w:rPr>
          <w:rFonts w:hint="eastAsia" w:ascii="仿宋_GB2312"/>
          <w:color w:val="auto"/>
          <w:highlight w:val="none"/>
          <w:lang w:val="en-US" w:eastAsia="zh-CN"/>
        </w:rPr>
        <w:t>8</w:t>
      </w:r>
      <w:r>
        <w:rPr>
          <w:rFonts w:hint="eastAsia" w:ascii="仿宋_GB2312"/>
          <w:color w:val="auto"/>
          <w:highlight w:val="none"/>
        </w:rPr>
        <w:t>日进行</w:t>
      </w:r>
      <w:r>
        <w:rPr>
          <w:rFonts w:hint="eastAsia" w:ascii="仿宋_GB2312"/>
          <w:color w:val="auto"/>
          <w:highlight w:val="none"/>
          <w:lang w:val="en-US" w:eastAsia="zh-CN"/>
        </w:rPr>
        <w:t>了邀请</w:t>
      </w:r>
      <w:r>
        <w:rPr>
          <w:rFonts w:hint="eastAsia" w:ascii="仿宋_GB2312"/>
          <w:color w:val="auto"/>
          <w:highlight w:val="none"/>
        </w:rPr>
        <w:t>招标，于 2024年2月15日确定中标单位</w:t>
      </w:r>
      <w:r>
        <w:rPr>
          <w:rFonts w:hint="eastAsia" w:ascii="仿宋_GB2312"/>
          <w:color w:val="auto"/>
          <w:highlight w:val="none"/>
          <w:lang w:eastAsia="zh-CN"/>
        </w:rPr>
        <w:t>，</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w:t>
      </w:r>
      <w:r>
        <w:rPr>
          <w:rFonts w:hint="eastAsia" w:ascii="仿宋_GB2312"/>
          <w:color w:val="auto"/>
          <w:highlight w:val="none"/>
          <w:lang w:val="en-US" w:eastAsia="zh-CN"/>
        </w:rPr>
        <w:t>21</w:t>
      </w:r>
      <w:r>
        <w:rPr>
          <w:rFonts w:hint="eastAsia" w:ascii="仿宋_GB2312"/>
          <w:color w:val="auto"/>
          <w:highlight w:val="none"/>
        </w:rPr>
        <w:t>日完工。</w:t>
      </w:r>
    </w:p>
    <w:p w14:paraId="20585663">
      <w:pPr>
        <w:pStyle w:val="52"/>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8</w:t>
      </w:r>
      <w:r>
        <w:rPr>
          <w:rFonts w:hint="eastAsia" w:ascii="仿宋_GB2312"/>
          <w:color w:val="auto"/>
          <w:highlight w:val="none"/>
        </w:rPr>
        <w:t>月</w:t>
      </w:r>
      <w:r>
        <w:rPr>
          <w:rFonts w:hint="eastAsia" w:ascii="仿宋_GB2312"/>
          <w:color w:val="auto"/>
          <w:highlight w:val="none"/>
          <w:lang w:val="en-US" w:eastAsia="zh-CN"/>
        </w:rPr>
        <w:t>15</w:t>
      </w:r>
      <w:r>
        <w:rPr>
          <w:rFonts w:hint="eastAsia" w:ascii="仿宋_GB2312"/>
          <w:color w:val="auto"/>
          <w:highlight w:val="none"/>
        </w:rPr>
        <w:t>日于田县发展和改革委员会，于田县乡村振兴局，财政局，档案局</w:t>
      </w:r>
      <w:r>
        <w:rPr>
          <w:rFonts w:hint="eastAsia" w:ascii="仿宋_GB2312"/>
          <w:color w:val="auto"/>
          <w:highlight w:val="none"/>
          <w:lang w:eastAsia="zh-CN"/>
        </w:rPr>
        <w:t>，</w:t>
      </w:r>
      <w:r>
        <w:rPr>
          <w:rFonts w:hint="eastAsia" w:ascii="仿宋_GB2312"/>
          <w:color w:val="auto"/>
          <w:highlight w:val="none"/>
          <w:lang w:val="en-US" w:eastAsia="zh-CN"/>
        </w:rPr>
        <w:t>水利局</w:t>
      </w:r>
      <w:r>
        <w:rPr>
          <w:rFonts w:hint="eastAsia" w:ascii="仿宋_GB2312"/>
          <w:color w:val="auto"/>
          <w:highlight w:val="none"/>
        </w:rPr>
        <w:t>和参建单位联合竣工验收结果状况：合格。</w:t>
      </w:r>
    </w:p>
    <w:p w14:paraId="54DD6FC5">
      <w:pPr>
        <w:pStyle w:val="52"/>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14:paraId="5B9106F0">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202</w:t>
      </w:r>
      <w:r>
        <w:rPr>
          <w:rFonts w:hint="eastAsia" w:ascii="仿宋_GB2312" w:hAnsi="Times New Roman" w:eastAsia="仿宋_GB2312" w:cs="Times New Roman"/>
          <w:color w:val="auto"/>
          <w:sz w:val="28"/>
          <w:highlight w:val="none"/>
          <w:lang w:val="en-US" w:eastAsia="zh-CN"/>
        </w:rPr>
        <w:t>4</w:t>
      </w:r>
      <w:r>
        <w:rPr>
          <w:rFonts w:hint="eastAsia" w:ascii="仿宋_GB2312" w:hAnsi="Times New Roman" w:eastAsia="仿宋_GB2312" w:cs="Times New Roman"/>
          <w:color w:val="auto"/>
          <w:sz w:val="28"/>
          <w:highlight w:val="none"/>
        </w:rPr>
        <w:t>年于田县兰干乡防渗渠2024年中央财政以工代赈项目资金安排、使用过程中严格执行乡村振兴项目资金管理制度，确保乡村振兴项目正常运行为构建长效稳定奠定物质基础。</w:t>
      </w:r>
    </w:p>
    <w:p w14:paraId="6B950A66">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14:paraId="2F9C6027">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202</w:t>
      </w:r>
      <w:r>
        <w:rPr>
          <w:rFonts w:hint="eastAsia" w:ascii="仿宋_GB2312" w:hAnsi="Times New Roman" w:eastAsia="仿宋_GB2312" w:cs="Times New Roman"/>
          <w:color w:val="auto"/>
          <w:sz w:val="28"/>
          <w:highlight w:val="none"/>
          <w:lang w:val="en-US" w:eastAsia="zh-CN"/>
        </w:rPr>
        <w:t>4</w:t>
      </w:r>
      <w:r>
        <w:rPr>
          <w:rFonts w:hint="eastAsia" w:ascii="仿宋_GB2312" w:hAnsi="Times New Roman" w:eastAsia="仿宋_GB2312" w:cs="Times New Roman"/>
          <w:color w:val="auto"/>
          <w:sz w:val="28"/>
          <w:highlight w:val="none"/>
        </w:rPr>
        <w:t>年于田县兰</w:t>
      </w:r>
      <w:r>
        <w:rPr>
          <w:rFonts w:hint="eastAsia" w:ascii="仿宋_GB2312" w:hAnsi="Times New Roman" w:eastAsia="仿宋_GB2312" w:cs="Times New Roman"/>
          <w:color w:val="auto"/>
          <w:sz w:val="28"/>
          <w:highlight w:val="none"/>
          <w:lang w:val="en-US" w:eastAsia="zh-CN"/>
        </w:rPr>
        <w:t>干</w:t>
      </w:r>
      <w:r>
        <w:rPr>
          <w:rFonts w:hint="eastAsia" w:ascii="仿宋_GB2312" w:hAnsi="Times New Roman" w:eastAsia="仿宋_GB2312" w:cs="Times New Roman"/>
          <w:color w:val="auto"/>
          <w:sz w:val="28"/>
          <w:highlight w:val="none"/>
        </w:rPr>
        <w:t>乡防渗渠2024年中央财政以工代赈项目资金安排、使用过程中存在一些问题，主要是资金申报，审批，发放过程中存在对资金拨付缓慢问题。</w:t>
      </w:r>
    </w:p>
    <w:p w14:paraId="43140450">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14:paraId="05429243">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3F951408">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14:paraId="43380A37">
      <w:pPr>
        <w:pStyle w:val="52"/>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F415797">
        <w:pPr>
          <w:pStyle w:val="13"/>
          <w:jc w:val="center"/>
        </w:pPr>
        <w:r>
          <w:fldChar w:fldCharType="begin"/>
        </w:r>
        <w:r>
          <w:instrText xml:space="preserve">PAGE   \* MERGEFORMAT</w:instrText>
        </w:r>
        <w:r>
          <w:fldChar w:fldCharType="separate"/>
        </w:r>
        <w:r>
          <w:rPr>
            <w:lang w:val="zh-CN"/>
          </w:rPr>
          <w:t>1</w:t>
        </w:r>
        <w:r>
          <w:fldChar w:fldCharType="end"/>
        </w:r>
      </w:p>
    </w:sdtContent>
  </w:sdt>
  <w:p w14:paraId="1C87CD7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26B3D">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77B14"/>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E0B43"/>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8856AF"/>
    <w:rsid w:val="023D5371"/>
    <w:rsid w:val="031511C4"/>
    <w:rsid w:val="03D3473F"/>
    <w:rsid w:val="05DB4947"/>
    <w:rsid w:val="0619721E"/>
    <w:rsid w:val="063E5C91"/>
    <w:rsid w:val="06D51397"/>
    <w:rsid w:val="076D15CF"/>
    <w:rsid w:val="07BC60B3"/>
    <w:rsid w:val="07FB6BDB"/>
    <w:rsid w:val="08400A92"/>
    <w:rsid w:val="08452D5D"/>
    <w:rsid w:val="09A514F4"/>
    <w:rsid w:val="09AA4D5C"/>
    <w:rsid w:val="09E33DCA"/>
    <w:rsid w:val="09F75AC8"/>
    <w:rsid w:val="0A193C90"/>
    <w:rsid w:val="0A471424"/>
    <w:rsid w:val="0A6E38B1"/>
    <w:rsid w:val="0AA90B70"/>
    <w:rsid w:val="0B112BB9"/>
    <w:rsid w:val="0B6947A3"/>
    <w:rsid w:val="0B705B32"/>
    <w:rsid w:val="0B7332FE"/>
    <w:rsid w:val="0BD936D7"/>
    <w:rsid w:val="0C1E733C"/>
    <w:rsid w:val="0D156991"/>
    <w:rsid w:val="0D215336"/>
    <w:rsid w:val="0D991370"/>
    <w:rsid w:val="0DA02B87"/>
    <w:rsid w:val="0DD04666"/>
    <w:rsid w:val="0E6D6359"/>
    <w:rsid w:val="0E7019A5"/>
    <w:rsid w:val="0ED71A24"/>
    <w:rsid w:val="0F957915"/>
    <w:rsid w:val="0FDA3DE2"/>
    <w:rsid w:val="10967DE9"/>
    <w:rsid w:val="12705C37"/>
    <w:rsid w:val="13621F34"/>
    <w:rsid w:val="14997EA7"/>
    <w:rsid w:val="162419F3"/>
    <w:rsid w:val="1743234C"/>
    <w:rsid w:val="179606CE"/>
    <w:rsid w:val="18980476"/>
    <w:rsid w:val="18A17440"/>
    <w:rsid w:val="18C15C1F"/>
    <w:rsid w:val="18C94AD3"/>
    <w:rsid w:val="19FD4A34"/>
    <w:rsid w:val="1A424B3D"/>
    <w:rsid w:val="1A676495"/>
    <w:rsid w:val="1AC94917"/>
    <w:rsid w:val="1B6F54BE"/>
    <w:rsid w:val="1B6F5D7E"/>
    <w:rsid w:val="1BB43819"/>
    <w:rsid w:val="1BC752FA"/>
    <w:rsid w:val="1BE7774A"/>
    <w:rsid w:val="1CCC6940"/>
    <w:rsid w:val="1D50131F"/>
    <w:rsid w:val="1DD71A40"/>
    <w:rsid w:val="1E206F43"/>
    <w:rsid w:val="1E326C77"/>
    <w:rsid w:val="1EDC730E"/>
    <w:rsid w:val="217575A6"/>
    <w:rsid w:val="21DF0EC4"/>
    <w:rsid w:val="21F030D1"/>
    <w:rsid w:val="239519E9"/>
    <w:rsid w:val="23BD3DBC"/>
    <w:rsid w:val="24207C9D"/>
    <w:rsid w:val="24417C14"/>
    <w:rsid w:val="24CC7990"/>
    <w:rsid w:val="25145328"/>
    <w:rsid w:val="258424AE"/>
    <w:rsid w:val="258C1362"/>
    <w:rsid w:val="26493025"/>
    <w:rsid w:val="268A52CB"/>
    <w:rsid w:val="26B15E52"/>
    <w:rsid w:val="28893937"/>
    <w:rsid w:val="28B60BD0"/>
    <w:rsid w:val="2900009D"/>
    <w:rsid w:val="2AFC4894"/>
    <w:rsid w:val="2C183950"/>
    <w:rsid w:val="2D8A262B"/>
    <w:rsid w:val="2F4D56BE"/>
    <w:rsid w:val="305331A8"/>
    <w:rsid w:val="3102072B"/>
    <w:rsid w:val="318D4498"/>
    <w:rsid w:val="32195D2C"/>
    <w:rsid w:val="33737D51"/>
    <w:rsid w:val="33751688"/>
    <w:rsid w:val="3402116D"/>
    <w:rsid w:val="340824FC"/>
    <w:rsid w:val="344A041F"/>
    <w:rsid w:val="346B0553"/>
    <w:rsid w:val="34963C83"/>
    <w:rsid w:val="34F211E2"/>
    <w:rsid w:val="35064C8D"/>
    <w:rsid w:val="351078BA"/>
    <w:rsid w:val="35284C04"/>
    <w:rsid w:val="35B156CE"/>
    <w:rsid w:val="360D204B"/>
    <w:rsid w:val="36160F00"/>
    <w:rsid w:val="375B2943"/>
    <w:rsid w:val="37B07132"/>
    <w:rsid w:val="38350FCE"/>
    <w:rsid w:val="39E3734B"/>
    <w:rsid w:val="3A184C65"/>
    <w:rsid w:val="3A4D0C68"/>
    <w:rsid w:val="3AE113B1"/>
    <w:rsid w:val="3B1A3241"/>
    <w:rsid w:val="3BCB62E9"/>
    <w:rsid w:val="3C1E28BD"/>
    <w:rsid w:val="3C2C3AF7"/>
    <w:rsid w:val="3C86689A"/>
    <w:rsid w:val="3C88242C"/>
    <w:rsid w:val="3D292976"/>
    <w:rsid w:val="3D32306C"/>
    <w:rsid w:val="3D3D4FC4"/>
    <w:rsid w:val="3D793B23"/>
    <w:rsid w:val="3E982E81"/>
    <w:rsid w:val="3FF37BBC"/>
    <w:rsid w:val="40461754"/>
    <w:rsid w:val="407451A1"/>
    <w:rsid w:val="40AB66E9"/>
    <w:rsid w:val="427B7839"/>
    <w:rsid w:val="42A45AE6"/>
    <w:rsid w:val="42AD251E"/>
    <w:rsid w:val="430B16C1"/>
    <w:rsid w:val="438A6A89"/>
    <w:rsid w:val="455235D7"/>
    <w:rsid w:val="45CC5137"/>
    <w:rsid w:val="45F96148"/>
    <w:rsid w:val="462211FB"/>
    <w:rsid w:val="474F4272"/>
    <w:rsid w:val="4783216D"/>
    <w:rsid w:val="48561630"/>
    <w:rsid w:val="489B5295"/>
    <w:rsid w:val="49366353"/>
    <w:rsid w:val="49CF3448"/>
    <w:rsid w:val="4A1277D9"/>
    <w:rsid w:val="4A88071B"/>
    <w:rsid w:val="4A914BA1"/>
    <w:rsid w:val="4C2F01CE"/>
    <w:rsid w:val="4C3954F1"/>
    <w:rsid w:val="4C4243A5"/>
    <w:rsid w:val="4CEA0599"/>
    <w:rsid w:val="4D111FCA"/>
    <w:rsid w:val="4E1D5DC3"/>
    <w:rsid w:val="50760AC1"/>
    <w:rsid w:val="50A75D0F"/>
    <w:rsid w:val="530D131C"/>
    <w:rsid w:val="53776C5A"/>
    <w:rsid w:val="54071A30"/>
    <w:rsid w:val="55A439DB"/>
    <w:rsid w:val="5604091D"/>
    <w:rsid w:val="569A7742"/>
    <w:rsid w:val="569C6DA8"/>
    <w:rsid w:val="56A93273"/>
    <w:rsid w:val="577675F9"/>
    <w:rsid w:val="577D6D89"/>
    <w:rsid w:val="58CD3249"/>
    <w:rsid w:val="591E5852"/>
    <w:rsid w:val="5A85309E"/>
    <w:rsid w:val="5A947F1E"/>
    <w:rsid w:val="5A981634"/>
    <w:rsid w:val="5AF56A87"/>
    <w:rsid w:val="5B791466"/>
    <w:rsid w:val="5B8A5421"/>
    <w:rsid w:val="5CB87D6C"/>
    <w:rsid w:val="5E6824A3"/>
    <w:rsid w:val="5F9745B0"/>
    <w:rsid w:val="604C7149"/>
    <w:rsid w:val="609805E0"/>
    <w:rsid w:val="60F5158E"/>
    <w:rsid w:val="6267026A"/>
    <w:rsid w:val="631F28F3"/>
    <w:rsid w:val="63312626"/>
    <w:rsid w:val="64216B3E"/>
    <w:rsid w:val="64882719"/>
    <w:rsid w:val="64986E00"/>
    <w:rsid w:val="65077AE2"/>
    <w:rsid w:val="65515201"/>
    <w:rsid w:val="67256946"/>
    <w:rsid w:val="67B101D9"/>
    <w:rsid w:val="6850354E"/>
    <w:rsid w:val="693764BC"/>
    <w:rsid w:val="6AA162E3"/>
    <w:rsid w:val="6B655563"/>
    <w:rsid w:val="6B811C71"/>
    <w:rsid w:val="6CB056B8"/>
    <w:rsid w:val="6CF3094C"/>
    <w:rsid w:val="6E6715F2"/>
    <w:rsid w:val="6E737F96"/>
    <w:rsid w:val="6FC777C6"/>
    <w:rsid w:val="6FF173C5"/>
    <w:rsid w:val="700C2451"/>
    <w:rsid w:val="70377DBA"/>
    <w:rsid w:val="70666005"/>
    <w:rsid w:val="70B54896"/>
    <w:rsid w:val="70E21403"/>
    <w:rsid w:val="716F713B"/>
    <w:rsid w:val="717E112C"/>
    <w:rsid w:val="72395053"/>
    <w:rsid w:val="73A3131E"/>
    <w:rsid w:val="77170059"/>
    <w:rsid w:val="77204A34"/>
    <w:rsid w:val="77E3618D"/>
    <w:rsid w:val="77ED2B68"/>
    <w:rsid w:val="7892370F"/>
    <w:rsid w:val="78A20402"/>
    <w:rsid w:val="78CA2EA9"/>
    <w:rsid w:val="7A480529"/>
    <w:rsid w:val="7A734D12"/>
    <w:rsid w:val="7AE00762"/>
    <w:rsid w:val="7AE75F94"/>
    <w:rsid w:val="7B38059E"/>
    <w:rsid w:val="7C8B0BA1"/>
    <w:rsid w:val="7E024E93"/>
    <w:rsid w:val="7E4E1E86"/>
    <w:rsid w:val="7F421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6802</Words>
  <Characters>7347</Characters>
  <Lines>9</Lines>
  <Paragraphs>15</Paragraphs>
  <TotalTime>25</TotalTime>
  <ScaleCrop>false</ScaleCrop>
  <LinksUpToDate>false</LinksUpToDate>
  <CharactersWithSpaces>7532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有野</cp:lastModifiedBy>
  <dcterms:modified xsi:type="dcterms:W3CDTF">2025-07-30T11:46:14Z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