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A820166">
      <w:pPr>
        <w:spacing w:before="120" w:after="120" w:line="480" w:lineRule="auto"/>
        <w:ind w:firstLine="803" w:firstLineChars="200"/>
        <w:jc w:val="center"/>
        <w:outlineLvl w:val="0"/>
        <w:rPr>
          <w:rFonts w:hint="eastAsia" w:ascii="仿宋_GB2312" w:hAnsi="仿宋_GB2312" w:eastAsia="仿宋_GB2312" w:cs="仿宋_GB2312"/>
          <w:b/>
          <w:bCs w:val="0"/>
          <w:color w:val="auto"/>
          <w:sz w:val="40"/>
          <w:szCs w:val="40"/>
          <w:highlight w:val="none"/>
          <w:lang w:val="en-US" w:eastAsia="zh-CN"/>
        </w:rPr>
      </w:pPr>
      <w:r>
        <w:rPr>
          <w:rFonts w:hint="eastAsia" w:ascii="仿宋_GB2312" w:hAnsi="仿宋_GB2312" w:eastAsia="仿宋_GB2312" w:cs="仿宋_GB2312"/>
          <w:b/>
          <w:bCs w:val="0"/>
          <w:color w:val="auto"/>
          <w:sz w:val="40"/>
          <w:szCs w:val="40"/>
          <w:highlight w:val="none"/>
          <w:lang w:val="en-US" w:eastAsia="zh-CN"/>
        </w:rPr>
        <w:t xml:space="preserve"> </w:t>
      </w:r>
    </w:p>
    <w:p w14:paraId="5226C13F">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620D94F9">
      <w:pPr>
        <w:spacing w:line="700" w:lineRule="exact"/>
        <w:ind w:firstLine="803" w:firstLineChars="200"/>
        <w:jc w:val="center"/>
        <w:rPr>
          <w:rFonts w:hint="eastAsia" w:ascii="仿宋_GB2312" w:hAnsi="仿宋_GB2312" w:eastAsia="仿宋_GB2312" w:cs="仿宋_GB2312"/>
          <w:b/>
          <w:bCs w:val="0"/>
          <w:color w:val="auto"/>
          <w:kern w:val="0"/>
          <w:sz w:val="40"/>
          <w:szCs w:val="40"/>
          <w:highlight w:val="none"/>
        </w:rPr>
      </w:pPr>
    </w:p>
    <w:p w14:paraId="5AAC64D6">
      <w:pPr>
        <w:spacing w:line="540" w:lineRule="exact"/>
        <w:ind w:firstLine="803" w:firstLineChars="200"/>
        <w:jc w:val="center"/>
        <w:rPr>
          <w:rFonts w:hint="eastAsia" w:ascii="仿宋_GB2312" w:hAnsi="仿宋_GB2312" w:eastAsia="仿宋_GB2312" w:cs="仿宋_GB2312"/>
          <w:b/>
          <w:bCs w:val="0"/>
          <w:color w:val="auto"/>
          <w:kern w:val="0"/>
          <w:sz w:val="40"/>
          <w:szCs w:val="40"/>
          <w:highlight w:val="none"/>
        </w:rPr>
      </w:pPr>
      <w:r>
        <w:rPr>
          <w:rFonts w:hint="eastAsia" w:ascii="仿宋_GB2312" w:hAnsi="仿宋_GB2312" w:eastAsia="仿宋_GB2312" w:cs="仿宋_GB2312"/>
          <w:b/>
          <w:bCs w:val="0"/>
          <w:color w:val="auto"/>
          <w:kern w:val="0"/>
          <w:sz w:val="40"/>
          <w:szCs w:val="40"/>
          <w:highlight w:val="none"/>
        </w:rPr>
        <w:t>（202</w:t>
      </w:r>
      <w:r>
        <w:rPr>
          <w:rFonts w:hint="eastAsia" w:ascii="仿宋_GB2312" w:hAnsi="仿宋_GB2312" w:eastAsia="仿宋_GB2312" w:cs="仿宋_GB2312"/>
          <w:b/>
          <w:bCs w:val="0"/>
          <w:color w:val="auto"/>
          <w:kern w:val="0"/>
          <w:sz w:val="40"/>
          <w:szCs w:val="40"/>
          <w:highlight w:val="none"/>
          <w:lang w:val="en-US" w:eastAsia="zh-CN"/>
        </w:rPr>
        <w:t>4</w:t>
      </w:r>
      <w:r>
        <w:rPr>
          <w:rFonts w:hint="eastAsia" w:ascii="仿宋_GB2312" w:hAnsi="仿宋_GB2312" w:eastAsia="仿宋_GB2312" w:cs="仿宋_GB2312"/>
          <w:b/>
          <w:bCs w:val="0"/>
          <w:color w:val="auto"/>
          <w:kern w:val="0"/>
          <w:sz w:val="40"/>
          <w:szCs w:val="40"/>
          <w:highlight w:val="none"/>
        </w:rPr>
        <w:t>年度）</w:t>
      </w:r>
    </w:p>
    <w:p w14:paraId="11B8A4E7">
      <w:pPr>
        <w:spacing w:line="540" w:lineRule="exact"/>
        <w:ind w:firstLine="640" w:firstLineChars="200"/>
        <w:jc w:val="center"/>
        <w:rPr>
          <w:rFonts w:hint="eastAsia" w:ascii="仿宋_GB2312" w:hAnsi="仿宋_GB2312" w:eastAsia="仿宋_GB2312" w:cs="仿宋_GB2312"/>
          <w:color w:val="auto"/>
          <w:kern w:val="0"/>
          <w:sz w:val="32"/>
          <w:szCs w:val="32"/>
          <w:highlight w:val="none"/>
        </w:rPr>
      </w:pPr>
    </w:p>
    <w:p w14:paraId="15BCABE1">
      <w:pPr>
        <w:spacing w:line="540" w:lineRule="exact"/>
        <w:ind w:firstLine="640" w:firstLineChars="200"/>
        <w:jc w:val="center"/>
        <w:rPr>
          <w:rFonts w:hint="eastAsia" w:ascii="仿宋_GB2312" w:hAnsi="仿宋_GB2312" w:eastAsia="仿宋_GB2312" w:cs="仿宋_GB2312"/>
          <w:color w:val="auto"/>
          <w:kern w:val="0"/>
          <w:sz w:val="32"/>
          <w:szCs w:val="32"/>
          <w:highlight w:val="none"/>
        </w:rPr>
      </w:pPr>
    </w:p>
    <w:p w14:paraId="3D6F8807">
      <w:pPr>
        <w:spacing w:line="540" w:lineRule="exact"/>
        <w:ind w:firstLine="640" w:firstLineChars="200"/>
        <w:jc w:val="center"/>
        <w:rPr>
          <w:rFonts w:hint="eastAsia" w:ascii="仿宋_GB2312" w:hAnsi="仿宋_GB2312" w:eastAsia="仿宋_GB2312" w:cs="仿宋_GB2312"/>
          <w:color w:val="auto"/>
          <w:kern w:val="0"/>
          <w:sz w:val="32"/>
          <w:szCs w:val="32"/>
          <w:highlight w:val="none"/>
        </w:rPr>
      </w:pPr>
    </w:p>
    <w:p w14:paraId="68806454">
      <w:pPr>
        <w:spacing w:line="540" w:lineRule="exact"/>
        <w:ind w:firstLine="640" w:firstLineChars="200"/>
        <w:jc w:val="center"/>
        <w:rPr>
          <w:rFonts w:hint="eastAsia" w:ascii="仿宋_GB2312" w:hAnsi="仿宋_GB2312" w:eastAsia="仿宋_GB2312" w:cs="仿宋_GB2312"/>
          <w:color w:val="auto"/>
          <w:kern w:val="0"/>
          <w:sz w:val="32"/>
          <w:szCs w:val="32"/>
          <w:highlight w:val="none"/>
        </w:rPr>
      </w:pPr>
    </w:p>
    <w:p w14:paraId="002F8D3F">
      <w:pPr>
        <w:spacing w:line="540" w:lineRule="exact"/>
        <w:ind w:firstLine="640" w:firstLineChars="200"/>
        <w:rPr>
          <w:rFonts w:hint="eastAsia" w:ascii="仿宋_GB2312" w:hAnsi="仿宋_GB2312" w:eastAsia="仿宋_GB2312" w:cs="仿宋_GB2312"/>
          <w:color w:val="auto"/>
          <w:kern w:val="0"/>
          <w:sz w:val="32"/>
          <w:szCs w:val="32"/>
          <w:highlight w:val="none"/>
        </w:rPr>
      </w:pPr>
    </w:p>
    <w:p w14:paraId="0B7888B6">
      <w:pPr>
        <w:spacing w:line="540" w:lineRule="exact"/>
        <w:ind w:firstLine="640" w:firstLineChars="200"/>
        <w:rPr>
          <w:rFonts w:hint="eastAsia" w:ascii="仿宋_GB2312" w:hAnsi="仿宋_GB2312" w:eastAsia="仿宋_GB2312" w:cs="仿宋_GB2312"/>
          <w:color w:val="auto"/>
          <w:kern w:val="0"/>
          <w:sz w:val="32"/>
          <w:szCs w:val="32"/>
          <w:highlight w:val="none"/>
        </w:rPr>
      </w:pPr>
    </w:p>
    <w:p w14:paraId="6325B820">
      <w:pPr>
        <w:spacing w:line="360" w:lineRule="auto"/>
        <w:ind w:left="640" w:leftChars="200" w:firstLine="640" w:firstLineChars="200"/>
        <w:rPr>
          <w:rFonts w:hint="eastAsia" w:ascii="仿宋_GB2312" w:hAnsi="仿宋_GB2312" w:eastAsia="仿宋_GB2312" w:cs="仿宋_GB2312"/>
          <w:color w:val="auto"/>
          <w:sz w:val="32"/>
          <w:szCs w:val="32"/>
          <w:highlight w:val="none"/>
        </w:rPr>
      </w:pPr>
    </w:p>
    <w:p w14:paraId="4295CEAE">
      <w:pPr>
        <w:spacing w:line="360" w:lineRule="auto"/>
        <w:ind w:left="640" w:leftChars="200" w:firstLine="640" w:firstLineChars="200"/>
        <w:rPr>
          <w:rFonts w:hint="eastAsia" w:ascii="仿宋_GB2312" w:hAnsi="仿宋_GB2312" w:eastAsia="仿宋_GB2312" w:cs="仿宋_GB2312"/>
          <w:color w:val="auto"/>
          <w:sz w:val="32"/>
          <w:szCs w:val="32"/>
          <w:highlight w:val="none"/>
        </w:rPr>
      </w:pPr>
      <w:bookmarkStart w:id="4" w:name="_GoBack"/>
      <w:bookmarkEnd w:id="4"/>
    </w:p>
    <w:p w14:paraId="4206E752">
      <w:pPr>
        <w:spacing w:line="560" w:lineRule="exact"/>
        <w:ind w:left="640" w:leftChars="200" w:firstLine="640" w:firstLineChars="200"/>
        <w:rPr>
          <w:rFonts w:hint="eastAsia" w:ascii="仿宋_GB2312" w:hAnsi="仿宋_GB2312" w:eastAsia="仿宋_GB2312" w:cs="仿宋_GB2312"/>
          <w:color w:val="auto"/>
          <w:sz w:val="32"/>
          <w:szCs w:val="32"/>
          <w:highlight w:val="none"/>
        </w:rPr>
      </w:pPr>
    </w:p>
    <w:p w14:paraId="1C9E8E13">
      <w:pPr>
        <w:spacing w:line="560" w:lineRule="exact"/>
        <w:ind w:left="3200" w:leftChars="200" w:hanging="2560" w:hangingChars="8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  目  名  称:</w:t>
      </w:r>
      <w:r>
        <w:rPr>
          <w:rFonts w:hint="eastAsia" w:ascii="仿宋_GB2312" w:hAnsi="仿宋_GB2312" w:eastAsia="仿宋_GB2312" w:cs="仿宋_GB2312"/>
          <w:bCs/>
          <w:color w:val="auto"/>
          <w:kern w:val="0"/>
          <w:sz w:val="32"/>
          <w:szCs w:val="32"/>
          <w:highlight w:val="none"/>
        </w:rPr>
        <w:t>于田县斯也克乡</w:t>
      </w:r>
      <w:r>
        <w:rPr>
          <w:rFonts w:hint="eastAsia" w:ascii="仿宋_GB2312" w:hAnsi="仿宋_GB2312" w:eastAsia="仿宋_GB2312" w:cs="仿宋_GB2312"/>
          <w:bCs/>
          <w:color w:val="auto"/>
          <w:kern w:val="0"/>
          <w:sz w:val="32"/>
          <w:szCs w:val="32"/>
          <w:highlight w:val="none"/>
          <w:lang w:val="en-US" w:eastAsia="zh-CN"/>
        </w:rPr>
        <w:t>2024年农村污水治理工程建设项目</w:t>
      </w:r>
    </w:p>
    <w:p w14:paraId="185FA2C6">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实施单位(公章):</w:t>
      </w:r>
      <w:r>
        <w:rPr>
          <w:rFonts w:hint="eastAsia" w:ascii="仿宋_GB2312" w:hAnsi="仿宋_GB2312" w:eastAsia="仿宋_GB2312" w:cs="仿宋_GB2312"/>
          <w:color w:val="auto"/>
          <w:sz w:val="32"/>
          <w:szCs w:val="32"/>
          <w:highlight w:val="none"/>
          <w:lang w:eastAsia="zh-CN"/>
        </w:rPr>
        <w:t>于田县斯也克乡人民政府</w:t>
      </w:r>
    </w:p>
    <w:p w14:paraId="3381F45F">
      <w:pPr>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主管部门(公章):于田县</w:t>
      </w:r>
      <w:r>
        <w:rPr>
          <w:rFonts w:hint="eastAsia" w:ascii="仿宋_GB2312" w:hAnsi="仿宋_GB2312" w:eastAsia="仿宋_GB2312" w:cs="仿宋_GB2312"/>
          <w:color w:val="auto"/>
          <w:sz w:val="32"/>
          <w:szCs w:val="32"/>
          <w:highlight w:val="none"/>
          <w:lang w:val="en-US" w:eastAsia="zh-CN"/>
        </w:rPr>
        <w:t>发展和改革委员会</w:t>
      </w:r>
    </w:p>
    <w:p w14:paraId="444980E3">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项目负责人(签章):</w:t>
      </w:r>
      <w:r>
        <w:rPr>
          <w:rFonts w:hint="eastAsia" w:ascii="仿宋_GB2312" w:hAnsi="仿宋_GB2312" w:eastAsia="仿宋_GB2312" w:cs="仿宋_GB2312"/>
          <w:color w:val="auto"/>
          <w:sz w:val="32"/>
          <w:szCs w:val="32"/>
          <w:highlight w:val="none"/>
          <w:lang w:eastAsia="zh-CN"/>
        </w:rPr>
        <w:t>王立杰</w:t>
      </w:r>
    </w:p>
    <w:p w14:paraId="5676867F">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填  报  时  间:202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日</w:t>
      </w:r>
    </w:p>
    <w:p w14:paraId="616D63FA">
      <w:pPr>
        <w:spacing w:line="560" w:lineRule="exact"/>
        <w:ind w:firstLine="640" w:firstLineChars="200"/>
        <w:rPr>
          <w:rFonts w:hint="eastAsia" w:ascii="仿宋_GB2312" w:hAnsi="仿宋_GB2312" w:eastAsia="仿宋_GB2312" w:cs="仿宋_GB2312"/>
          <w:color w:val="auto"/>
          <w:kern w:val="0"/>
          <w:sz w:val="32"/>
          <w:szCs w:val="32"/>
          <w:highlight w:val="none"/>
          <w:lang w:bidi="en-US"/>
        </w:rPr>
      </w:pPr>
    </w:p>
    <w:p w14:paraId="21EC8232">
      <w:pPr>
        <w:spacing w:line="560" w:lineRule="exact"/>
        <w:ind w:firstLine="640" w:firstLineChars="200"/>
        <w:rPr>
          <w:rFonts w:hint="eastAsia" w:ascii="仿宋_GB2312" w:hAnsi="仿宋_GB2312" w:eastAsia="仿宋_GB2312" w:cs="仿宋_GB2312"/>
          <w:color w:val="auto"/>
          <w:kern w:val="0"/>
          <w:sz w:val="32"/>
          <w:szCs w:val="32"/>
          <w:highlight w:val="none"/>
          <w:lang w:bidi="en-US"/>
        </w:rPr>
      </w:pPr>
    </w:p>
    <w:p w14:paraId="6B57394A">
      <w:pPr>
        <w:spacing w:line="360" w:lineRule="auto"/>
        <w:ind w:firstLine="627" w:firstLineChars="200"/>
        <w:rPr>
          <w:rStyle w:val="19"/>
          <w:rFonts w:hint="eastAsia" w:ascii="仿宋_GB2312" w:hAnsi="仿宋_GB2312" w:eastAsia="仿宋_GB2312" w:cs="仿宋_GB2312"/>
          <w:color w:val="auto"/>
          <w:spacing w:val="-4"/>
          <w:sz w:val="32"/>
          <w:szCs w:val="32"/>
          <w:highlight w:val="none"/>
        </w:rPr>
      </w:pPr>
    </w:p>
    <w:p w14:paraId="2915CB4E">
      <w:pPr>
        <w:spacing w:line="360" w:lineRule="auto"/>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一、绩效目标分解下达情况</w:t>
      </w:r>
    </w:p>
    <w:p w14:paraId="1EA44417">
      <w:pPr>
        <w:spacing w:line="360" w:lineRule="auto"/>
        <w:ind w:firstLine="627"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pacing w:val="-4"/>
          <w:sz w:val="32"/>
          <w:szCs w:val="32"/>
          <w:highlight w:val="none"/>
        </w:rPr>
        <w:t>（一）财政专项乡村振兴衔接资金下达预算及项目情况</w:t>
      </w:r>
    </w:p>
    <w:p w14:paraId="2F3FDCC2">
      <w:pPr>
        <w:pStyle w:val="52"/>
        <w:ind w:left="3" w:right="3" w:firstLine="56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1.下达预算情况</w:t>
      </w:r>
    </w:p>
    <w:p w14:paraId="7B5263B4">
      <w:pPr>
        <w:pStyle w:val="52"/>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本项目根据</w:t>
      </w:r>
      <w:r>
        <w:rPr>
          <w:rFonts w:hint="eastAsia" w:ascii="仿宋_GB2312" w:hAnsi="仿宋_GB2312" w:cs="仿宋_GB2312"/>
          <w:color w:val="auto"/>
          <w:sz w:val="32"/>
          <w:szCs w:val="32"/>
          <w:highlight w:val="none"/>
          <w:lang w:val="en-US" w:eastAsia="zh-CN"/>
        </w:rPr>
        <w:t>于田县发展和改革委员会下发</w:t>
      </w:r>
      <w:r>
        <w:rPr>
          <w:rFonts w:hint="eastAsia" w:ascii="仿宋_GB2312" w:hAnsi="仿宋_GB2312" w:eastAsia="仿宋_GB2312" w:cs="仿宋_GB2312"/>
          <w:color w:val="auto"/>
          <w:sz w:val="32"/>
          <w:szCs w:val="32"/>
          <w:highlight w:val="none"/>
        </w:rPr>
        <w:t>的《关于对</w:t>
      </w:r>
      <w:r>
        <w:rPr>
          <w:rFonts w:hint="eastAsia" w:ascii="仿宋_GB2312" w:hAnsi="仿宋_GB2312" w:eastAsia="仿宋_GB2312" w:cs="仿宋_GB2312"/>
          <w:bCs/>
          <w:color w:val="auto"/>
          <w:kern w:val="0"/>
          <w:sz w:val="32"/>
          <w:szCs w:val="32"/>
          <w:highlight w:val="none"/>
        </w:rPr>
        <w:t>于田县斯也克乡</w:t>
      </w:r>
      <w:r>
        <w:rPr>
          <w:rFonts w:hint="eastAsia" w:ascii="仿宋_GB2312" w:hAnsi="仿宋_GB2312" w:eastAsia="仿宋_GB2312" w:cs="仿宋_GB2312"/>
          <w:bCs/>
          <w:color w:val="auto"/>
          <w:kern w:val="0"/>
          <w:sz w:val="32"/>
          <w:szCs w:val="32"/>
          <w:highlight w:val="none"/>
          <w:lang w:val="en-US" w:eastAsia="zh-CN"/>
        </w:rPr>
        <w:t>2024年农村污水治理工程建设项目</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的批复》（</w:t>
      </w:r>
      <w:r>
        <w:rPr>
          <w:rFonts w:hint="eastAsia" w:ascii="仿宋_GB2312" w:hAnsi="仿宋_GB2312" w:eastAsia="仿宋_GB2312" w:cs="仿宋_GB2312"/>
          <w:color w:val="auto"/>
          <w:sz w:val="32"/>
          <w:szCs w:val="32"/>
          <w:highlight w:val="none"/>
          <w:lang w:val="en-US" w:eastAsia="zh-CN"/>
        </w:rPr>
        <w:t>于发改项目</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号）批复实施，</w:t>
      </w:r>
      <w:r>
        <w:rPr>
          <w:rFonts w:hint="eastAsia" w:ascii="仿宋_GB2312" w:hAnsi="仿宋_GB2312" w:eastAsia="仿宋_GB2312" w:cs="仿宋_GB2312"/>
          <w:bCs/>
          <w:color w:val="auto"/>
          <w:kern w:val="0"/>
          <w:sz w:val="32"/>
          <w:szCs w:val="32"/>
          <w:highlight w:val="none"/>
        </w:rPr>
        <w:t>于田县斯也克乡</w:t>
      </w:r>
      <w:r>
        <w:rPr>
          <w:rFonts w:hint="eastAsia" w:ascii="仿宋_GB2312" w:hAnsi="仿宋_GB2312" w:eastAsia="仿宋_GB2312" w:cs="仿宋_GB2312"/>
          <w:bCs/>
          <w:color w:val="auto"/>
          <w:kern w:val="0"/>
          <w:sz w:val="32"/>
          <w:szCs w:val="32"/>
          <w:highlight w:val="none"/>
          <w:lang w:val="en-US" w:eastAsia="zh-CN"/>
        </w:rPr>
        <w:t>2024年农村污水治理工程建设项目</w:t>
      </w:r>
      <w:r>
        <w:rPr>
          <w:rFonts w:hint="eastAsia" w:ascii="仿宋_GB2312" w:hAnsi="仿宋_GB2312" w:eastAsia="仿宋_GB2312" w:cs="仿宋_GB2312"/>
          <w:color w:val="auto"/>
          <w:sz w:val="32"/>
          <w:szCs w:val="32"/>
          <w:highlight w:val="none"/>
        </w:rPr>
        <w:t>预算安排总额为</w:t>
      </w:r>
      <w:r>
        <w:rPr>
          <w:rFonts w:hint="eastAsia" w:ascii="仿宋_GB2312" w:hAnsi="仿宋_GB2312" w:eastAsia="仿宋_GB2312" w:cs="仿宋_GB2312"/>
          <w:color w:val="auto"/>
          <w:sz w:val="32"/>
          <w:szCs w:val="32"/>
          <w:highlight w:val="none"/>
          <w:lang w:val="en-US" w:eastAsia="zh-CN"/>
        </w:rPr>
        <w:t>790</w:t>
      </w:r>
      <w:r>
        <w:rPr>
          <w:rFonts w:hint="eastAsia" w:ascii="仿宋_GB2312" w:hAnsi="仿宋_GB2312" w:eastAsia="仿宋_GB2312" w:cs="仿宋_GB2312"/>
          <w:color w:val="auto"/>
          <w:sz w:val="32"/>
          <w:szCs w:val="32"/>
          <w:highlight w:val="none"/>
        </w:rPr>
        <w:t>万元，其中：</w:t>
      </w:r>
      <w:r>
        <w:rPr>
          <w:rFonts w:hint="eastAsia" w:ascii="仿宋_GB2312" w:hAnsi="仿宋_GB2312" w:eastAsia="仿宋_GB2312" w:cs="仿宋_GB2312"/>
          <w:color w:val="auto"/>
          <w:sz w:val="32"/>
          <w:szCs w:val="32"/>
          <w:highlight w:val="none"/>
          <w:lang w:val="en-US" w:eastAsia="zh-CN"/>
        </w:rPr>
        <w:t>乡村振兴衔接补助</w:t>
      </w:r>
      <w:r>
        <w:rPr>
          <w:rFonts w:hint="eastAsia" w:ascii="仿宋_GB2312" w:hAnsi="仿宋_GB2312" w:eastAsia="仿宋_GB2312" w:cs="仿宋_GB2312"/>
          <w:color w:val="auto"/>
          <w:sz w:val="32"/>
          <w:szCs w:val="32"/>
          <w:highlight w:val="none"/>
        </w:rPr>
        <w:t>资金</w:t>
      </w:r>
      <w:r>
        <w:rPr>
          <w:rFonts w:hint="eastAsia" w:ascii="仿宋_GB2312" w:hAnsi="仿宋_GB2312" w:eastAsia="仿宋_GB2312" w:cs="仿宋_GB2312"/>
          <w:color w:val="auto"/>
          <w:sz w:val="32"/>
          <w:szCs w:val="32"/>
          <w:highlight w:val="none"/>
          <w:lang w:val="en-US" w:eastAsia="zh-CN"/>
        </w:rPr>
        <w:t>790</w:t>
      </w:r>
      <w:r>
        <w:rPr>
          <w:rFonts w:hint="eastAsia" w:ascii="仿宋_GB2312" w:hAnsi="仿宋_GB2312" w:eastAsia="仿宋_GB2312" w:cs="仿宋_GB2312"/>
          <w:color w:val="auto"/>
          <w:sz w:val="32"/>
          <w:szCs w:val="32"/>
          <w:highlight w:val="none"/>
        </w:rPr>
        <w:t>万元。预算资金到位率为100.00%。</w:t>
      </w:r>
    </w:p>
    <w:p w14:paraId="1A88ADE1">
      <w:pPr>
        <w:pStyle w:val="52"/>
        <w:ind w:left="3" w:right="3" w:firstLine="56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2.项目实施背景</w:t>
      </w:r>
    </w:p>
    <w:p w14:paraId="2211AC09">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斯也克乡斯也克村是天津援疆重点扶持示范村,县政府已将这两个村农村生活污水治理列入年度重点治理村庄清单等。也是按照《于田县农村生活污水治理专项规划(2021-2030)》总体方案有计划实施。从人居环境整治提升、生态环境质量改善以及村民意愿方面，这两个村农村生活污水治理属于现阶段重点治理范围，是十分必要的。</w:t>
      </w:r>
    </w:p>
    <w:p w14:paraId="5012B7B2">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(一)关于人居环境整治提升的必要性。</w:t>
      </w:r>
    </w:p>
    <w:p w14:paraId="4DD7BE6F">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本项目中选定的斯也克村,均可纳入于田县两乡一镇污水系统的先拜巴扎镇污水管网，但都没有建设排水收集管网。农村目前生活污水存在以下问题:</w:t>
      </w:r>
    </w:p>
    <w:p w14:paraId="7CE169DA">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(1)每家每户均建设有旱厕，常年的生活习惯养成上旱厕的习惯。即使室内建设有冲洗厕所，使用频率也不是很高。安居房每家都设有淋浴设施，但由于室外无下水，也都不便使用。</w:t>
      </w:r>
    </w:p>
    <w:p w14:paraId="02EE441D">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(2)这两年由于没有项目资金支持，为缓解环境污染问题，部分农户发放了 PE 的小型 2-3格的化粪池，没有定期清掏，没有根本解决问题，污水满了之后全部自然渗入到地下。而且容积非常小，存储能力有限，吸污车抽拉不及时导致使用不方便。同时也容易造成环境污染，吸粪车经常到街道抽吸，给人们生活造成不舒服的感觉，有味道，且也要发生费用。</w:t>
      </w:r>
    </w:p>
    <w:p w14:paraId="6BE4FD9C">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(3)人们习惯随意大小便，污水的随意排放，给当地环境和地下水都造成了污染的隐患。</w:t>
      </w:r>
    </w:p>
    <w:p w14:paraId="634AC89D">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(4)农村污水存在乱倒乱排现象，村民房前屋后基本都有灌渠，如黑水(人排泄及冲洗粪便产生的高浓度污水)、灰水(厨房、洗浴等产生的杂排水)有的混合排入地下或者流入附近沟渠内,污染环境。</w:t>
      </w:r>
    </w:p>
    <w:p w14:paraId="35734010">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因此建设污水处理系统，能够更好地改善和提升当前农村的环境状况，为农村的生活营造更为健康和谐的生态环境。既有利于农村生产发展、生活宽裕、多风文明、村容整洁和管理民主的实现，又有利于农民生活质量的提升。随着新疆南疆地区农村生活污水处理项目的实施，可以改善当地人民的人居环境，缩小新疆地区与发达地区农村的差距，进一步提高当地老百姓的幸福感，从而更有利于社会的长治久安。</w:t>
      </w:r>
    </w:p>
    <w:p w14:paraId="257651F3">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(二)关于生态环境质量改善的必要性</w:t>
      </w:r>
    </w:p>
    <w:p w14:paraId="3E788A05">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斯也克村位于于田县城北部，区域内与其它村庄一样，几乎左右路边上都设有灌溉的大大小小灌渠，清澈的昆仑山水用于农田灌溉。</w:t>
      </w:r>
    </w:p>
    <w:p w14:paraId="643E58A6">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目前于田县的水环境质量整体上是比较好的，但农村污水有些直接深入地下，旱厕多，每年尽管雨水少，但是也会有4-5 次降水，地表堆积的垃圾粪便等脏物质会被雨水冲刷全部进入附件水体中，所以从改善生态环境质量方面出发，在资金允许的条件下，有计划逐渐治理农村污水是十分必要的，本项目又是示范村，县政府把该村污水治理列入计划重点解决。同时对处理后的中水用于当地生态和城区绿化的灌溉，充分将水资源进行二次利用，缓解了当地农耕时期用水紧张的局面，也为农村未来发展莫定基础。</w:t>
      </w:r>
    </w:p>
    <w:p w14:paraId="09FD8574">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(三)关于现阶段重点治理范围。</w:t>
      </w:r>
    </w:p>
    <w:p w14:paraId="7B3F41F4">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斯也克乡斯也克村是天津援疆重点扶持示范村，县政府已将这个村农村生活污水治理列入年度重点治理村庄清单等。正在打造旅游示范村，属于现阶段重点治理范围。</w:t>
      </w:r>
    </w:p>
    <w:p w14:paraId="0D14B46A">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(四)关于村民治理意愿。</w:t>
      </w:r>
    </w:p>
    <w:p w14:paraId="7D1B5FF2">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覆盖范围的村集体和村民对实施农促污水治理有着非常强烈的愿望，大家热情非常高，在项目前期建设和后续运维上都给予非常大的支持，并愿意承担部分运维费用，愿意支付污水处理费用，村民认为这是政府为老百姓实实在在看得见的做的好事。</w:t>
      </w:r>
    </w:p>
    <w:p w14:paraId="3D813254">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3、项目实施依据及范围</w:t>
      </w:r>
    </w:p>
    <w:p w14:paraId="184A2840">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Cs/>
          <w:color w:val="auto"/>
          <w:kern w:val="0"/>
          <w:sz w:val="32"/>
          <w:szCs w:val="32"/>
          <w:highlight w:val="none"/>
        </w:rPr>
        <w:t>于田县斯也克乡</w:t>
      </w:r>
      <w:r>
        <w:rPr>
          <w:rFonts w:hint="eastAsia" w:ascii="仿宋_GB2312" w:hAnsi="仿宋_GB2312" w:eastAsia="仿宋_GB2312" w:cs="仿宋_GB2312"/>
          <w:bCs/>
          <w:color w:val="auto"/>
          <w:kern w:val="0"/>
          <w:sz w:val="32"/>
          <w:szCs w:val="32"/>
          <w:highlight w:val="none"/>
          <w:lang w:val="en-US" w:eastAsia="zh-CN"/>
        </w:rPr>
        <w:t>2024年农村污水治理工程建设项目</w:t>
      </w:r>
      <w:r>
        <w:rPr>
          <w:rFonts w:hint="eastAsia" w:ascii="仿宋_GB2312" w:hAnsi="仿宋_GB2312" w:eastAsia="仿宋_GB2312" w:cs="仿宋_GB2312"/>
          <w:color w:val="auto"/>
          <w:sz w:val="32"/>
          <w:szCs w:val="32"/>
          <w:highlight w:val="none"/>
        </w:rPr>
        <w:t>，根据</w:t>
      </w:r>
      <w:r>
        <w:rPr>
          <w:rFonts w:hint="eastAsia" w:ascii="仿宋_GB2312" w:hAnsi="仿宋_GB2312" w:eastAsia="仿宋_GB2312" w:cs="仿宋_GB2312"/>
          <w:color w:val="auto"/>
          <w:sz w:val="32"/>
          <w:szCs w:val="32"/>
          <w:highlight w:val="none"/>
          <w:lang w:eastAsia="zh-CN"/>
        </w:rPr>
        <w:t>于田县发展和改革委员会</w:t>
      </w:r>
      <w:r>
        <w:rPr>
          <w:rFonts w:hint="eastAsia" w:ascii="仿宋_GB2312" w:hAnsi="仿宋_GB2312" w:eastAsia="仿宋_GB2312" w:cs="仿宋_GB2312"/>
          <w:color w:val="auto"/>
          <w:sz w:val="32"/>
          <w:szCs w:val="32"/>
          <w:highlight w:val="none"/>
          <w:lang w:val="en-US" w:eastAsia="zh-CN"/>
        </w:rPr>
        <w:t>下</w:t>
      </w:r>
      <w:r>
        <w:rPr>
          <w:rFonts w:hint="eastAsia" w:ascii="仿宋_GB2312" w:hAnsi="仿宋_GB2312" w:eastAsia="仿宋_GB2312" w:cs="仿宋_GB2312"/>
          <w:color w:val="auto"/>
          <w:sz w:val="32"/>
          <w:szCs w:val="32"/>
          <w:highlight w:val="none"/>
        </w:rPr>
        <w:t>发的《关于对</w:t>
      </w:r>
      <w:r>
        <w:rPr>
          <w:rFonts w:hint="eastAsia" w:ascii="仿宋_GB2312" w:hAnsi="仿宋_GB2312" w:eastAsia="仿宋_GB2312" w:cs="仿宋_GB2312"/>
          <w:bCs/>
          <w:color w:val="auto"/>
          <w:kern w:val="0"/>
          <w:sz w:val="32"/>
          <w:szCs w:val="32"/>
          <w:highlight w:val="none"/>
        </w:rPr>
        <w:t>于田县斯也克乡</w:t>
      </w:r>
      <w:r>
        <w:rPr>
          <w:rFonts w:hint="eastAsia" w:ascii="仿宋_GB2312" w:hAnsi="仿宋_GB2312" w:eastAsia="仿宋_GB2312" w:cs="仿宋_GB2312"/>
          <w:bCs/>
          <w:color w:val="auto"/>
          <w:kern w:val="0"/>
          <w:sz w:val="32"/>
          <w:szCs w:val="32"/>
          <w:highlight w:val="none"/>
          <w:lang w:val="en-US" w:eastAsia="zh-CN"/>
        </w:rPr>
        <w:t>2024年农村污水治理工程建设项目</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的批复》（于</w:t>
      </w:r>
      <w:r>
        <w:rPr>
          <w:rFonts w:hint="eastAsia" w:ascii="仿宋_GB2312" w:hAnsi="仿宋_GB2312" w:eastAsia="仿宋_GB2312" w:cs="仿宋_GB2312"/>
          <w:color w:val="auto"/>
          <w:sz w:val="32"/>
          <w:szCs w:val="32"/>
          <w:highlight w:val="none"/>
          <w:lang w:val="en-US" w:eastAsia="zh-CN"/>
        </w:rPr>
        <w:t>发改项目</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号）批复实施，实施范围涉及</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个行政村即</w:t>
      </w:r>
      <w:r>
        <w:rPr>
          <w:rFonts w:hint="eastAsia" w:ascii="仿宋_GB2312" w:hAnsi="仿宋_GB2312" w:eastAsia="仿宋_GB2312" w:cs="仿宋_GB2312"/>
          <w:color w:val="auto"/>
          <w:sz w:val="32"/>
          <w:szCs w:val="32"/>
          <w:highlight w:val="none"/>
          <w:lang w:eastAsia="zh-CN"/>
        </w:rPr>
        <w:t>斯也克乡</w:t>
      </w:r>
      <w:r>
        <w:rPr>
          <w:rFonts w:hint="eastAsia" w:ascii="仿宋_GB2312" w:hAnsi="仿宋_GB2312" w:eastAsia="仿宋_GB2312" w:cs="仿宋_GB2312"/>
          <w:color w:val="auto"/>
          <w:sz w:val="32"/>
          <w:szCs w:val="32"/>
          <w:highlight w:val="none"/>
          <w:lang w:val="en-US" w:eastAsia="zh-CN"/>
        </w:rPr>
        <w:t>斯也克村琼吾斯塘</w:t>
      </w:r>
      <w:r>
        <w:rPr>
          <w:rFonts w:hint="eastAsia" w:ascii="仿宋_GB2312" w:hAnsi="仿宋_GB2312" w:eastAsia="仿宋_GB2312" w:cs="仿宋_GB2312"/>
          <w:color w:val="auto"/>
          <w:sz w:val="32"/>
          <w:szCs w:val="32"/>
          <w:highlight w:val="none"/>
          <w:lang w:eastAsia="zh-CN"/>
        </w:rPr>
        <w:t>村</w:t>
      </w:r>
      <w:r>
        <w:rPr>
          <w:rFonts w:hint="eastAsia" w:ascii="仿宋_GB2312" w:hAnsi="仿宋_GB2312" w:eastAsia="仿宋_GB2312" w:cs="仿宋_GB2312"/>
          <w:color w:val="auto"/>
          <w:sz w:val="32"/>
          <w:szCs w:val="32"/>
          <w:highlight w:val="none"/>
        </w:rPr>
        <w:t>。 建设内容：新建排水干管HDPE双壁波纹管DN200-DN300共计17586米，新建UPVC排水支管,共计11128米，检查井及阀门井573座，新建一体化提升泵站2座，有效容积100立方米化粪池2座，路面拆除及修复1100平方米</w:t>
      </w:r>
      <w:r>
        <w:rPr>
          <w:rFonts w:hint="eastAsia" w:ascii="仿宋_GB2312" w:hAnsi="仿宋_GB2312" w:eastAsia="仿宋_GB2312" w:cs="仿宋_GB2312"/>
          <w:color w:val="auto"/>
          <w:sz w:val="32"/>
          <w:szCs w:val="32"/>
          <w:highlight w:val="none"/>
          <w:lang w:eastAsia="zh-CN"/>
        </w:rPr>
        <w:t>。</w:t>
      </w:r>
    </w:p>
    <w:p w14:paraId="27B76F9E">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4、项目基本性质及类别</w:t>
      </w:r>
    </w:p>
    <w:p w14:paraId="651F617B">
      <w:pPr>
        <w:spacing w:line="560" w:lineRule="exact"/>
        <w:ind w:firstLine="640" w:firstLineChars="200"/>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bCs/>
          <w:color w:val="auto"/>
          <w:kern w:val="0"/>
          <w:sz w:val="32"/>
          <w:szCs w:val="32"/>
          <w:highlight w:val="none"/>
        </w:rPr>
        <w:t>于田县斯也克乡</w:t>
      </w:r>
      <w:r>
        <w:rPr>
          <w:rFonts w:hint="eastAsia" w:ascii="仿宋_GB2312" w:hAnsi="仿宋_GB2312" w:eastAsia="仿宋_GB2312" w:cs="仿宋_GB2312"/>
          <w:bCs/>
          <w:color w:val="auto"/>
          <w:kern w:val="0"/>
          <w:sz w:val="32"/>
          <w:szCs w:val="32"/>
          <w:highlight w:val="none"/>
          <w:lang w:val="en-US" w:eastAsia="zh-CN"/>
        </w:rPr>
        <w:t>2024年农村污水治理工程建设项目</w:t>
      </w:r>
      <w:r>
        <w:rPr>
          <w:rFonts w:hint="eastAsia" w:ascii="仿宋_GB2312" w:hAnsi="仿宋_GB2312" w:eastAsia="仿宋_GB2312" w:cs="仿宋_GB2312"/>
          <w:color w:val="auto"/>
          <w:sz w:val="32"/>
          <w:szCs w:val="32"/>
          <w:highlight w:val="none"/>
        </w:rPr>
        <w:t>属于</w:t>
      </w:r>
      <w:r>
        <w:rPr>
          <w:rFonts w:hint="eastAsia" w:ascii="仿宋_GB2312" w:hAnsi="仿宋_GB2312" w:eastAsia="仿宋_GB2312" w:cs="仿宋_GB2312"/>
          <w:color w:val="auto"/>
          <w:sz w:val="32"/>
          <w:szCs w:val="32"/>
          <w:highlight w:val="none"/>
          <w:lang w:eastAsia="zh-CN"/>
        </w:rPr>
        <w:t>农村人居环境整治</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属于乡村振兴衔接资金项目。</w:t>
      </w:r>
    </w:p>
    <w:p w14:paraId="7EA1547F">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（二）财政专项乡村振兴衔接资金项目绩效目标设定情况</w:t>
      </w:r>
    </w:p>
    <w:p w14:paraId="01A0CEE1">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1.项目绩效总体目标</w:t>
      </w:r>
    </w:p>
    <w:p w14:paraId="529AFBA2">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kern w:val="0"/>
          <w:sz w:val="32"/>
          <w:szCs w:val="32"/>
          <w:highlight w:val="none"/>
        </w:rPr>
        <w:t>于田县斯也克乡</w:t>
      </w:r>
      <w:r>
        <w:rPr>
          <w:rFonts w:hint="eastAsia" w:ascii="仿宋_GB2312" w:hAnsi="仿宋_GB2312" w:eastAsia="仿宋_GB2312" w:cs="仿宋_GB2312"/>
          <w:bCs/>
          <w:color w:val="auto"/>
          <w:kern w:val="0"/>
          <w:sz w:val="32"/>
          <w:szCs w:val="32"/>
          <w:highlight w:val="none"/>
          <w:lang w:val="en-US" w:eastAsia="zh-CN"/>
        </w:rPr>
        <w:t>2024年农村污水治理工程建设项目</w:t>
      </w:r>
      <w:r>
        <w:rPr>
          <w:rFonts w:hint="eastAsia" w:ascii="仿宋_GB2312" w:hAnsi="仿宋_GB2312" w:eastAsia="仿宋_GB2312" w:cs="仿宋_GB2312"/>
          <w:color w:val="auto"/>
          <w:sz w:val="32"/>
          <w:szCs w:val="32"/>
          <w:highlight w:val="none"/>
        </w:rPr>
        <w:t>总投资</w:t>
      </w:r>
      <w:r>
        <w:rPr>
          <w:rFonts w:hint="eastAsia" w:ascii="仿宋_GB2312" w:hAnsi="仿宋_GB2312" w:eastAsia="仿宋_GB2312" w:cs="仿宋_GB2312"/>
          <w:color w:val="auto"/>
          <w:sz w:val="32"/>
          <w:szCs w:val="32"/>
          <w:highlight w:val="none"/>
          <w:lang w:val="en-US" w:eastAsia="zh-CN"/>
        </w:rPr>
        <w:t>790万元</w:t>
      </w:r>
      <w:r>
        <w:rPr>
          <w:rFonts w:hint="eastAsia" w:ascii="仿宋_GB2312" w:hAnsi="仿宋_GB2312" w:eastAsia="仿宋_GB2312" w:cs="仿宋_GB2312"/>
          <w:color w:val="auto"/>
          <w:sz w:val="32"/>
          <w:szCs w:val="32"/>
          <w:highlight w:val="none"/>
        </w:rPr>
        <w:t>，全部申请</w:t>
      </w:r>
      <w:bookmarkStart w:id="0" w:name="OLE_LINK1"/>
      <w:r>
        <w:rPr>
          <w:rFonts w:hint="eastAsia" w:ascii="仿宋_GB2312" w:hAnsi="仿宋_GB2312" w:eastAsia="仿宋_GB2312" w:cs="仿宋_GB2312"/>
          <w:color w:val="auto"/>
          <w:sz w:val="32"/>
          <w:szCs w:val="32"/>
          <w:highlight w:val="none"/>
          <w:lang w:val="en-US" w:eastAsia="zh-CN"/>
        </w:rPr>
        <w:t>乡村振兴衔接资金</w:t>
      </w:r>
      <w:bookmarkEnd w:id="0"/>
      <w:r>
        <w:rPr>
          <w:rFonts w:hint="eastAsia" w:ascii="仿宋_GB2312" w:hAnsi="仿宋_GB2312" w:eastAsia="仿宋_GB2312" w:cs="仿宋_GB2312"/>
          <w:color w:val="auto"/>
          <w:sz w:val="32"/>
          <w:szCs w:val="32"/>
          <w:highlight w:val="none"/>
        </w:rPr>
        <w:t>。主要内容为：新建排水干管HDPE双壁波纹管DN200-DN300共计17586米，新建UPVC排水支管,共计11128米，检查井及阀门井573座，新建一体化提升泵站2座，有效容积100立方米化粪池2座，路面拆除及修复1100平方米</w:t>
      </w:r>
      <w:r>
        <w:rPr>
          <w:rFonts w:hint="eastAsia" w:ascii="仿宋_GB2312" w:hAnsi="仿宋_GB2312" w:eastAsia="仿宋_GB2312" w:cs="仿宋_GB2312"/>
          <w:color w:val="auto"/>
          <w:sz w:val="32"/>
          <w:szCs w:val="32"/>
          <w:highlight w:val="none"/>
          <w:lang w:eastAsia="zh-CN"/>
        </w:rPr>
        <w:t>。</w:t>
      </w:r>
    </w:p>
    <w:p w14:paraId="1FC12002">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通过</w:t>
      </w:r>
      <w:r>
        <w:rPr>
          <w:rFonts w:hint="eastAsia" w:ascii="仿宋_GB2312" w:hAnsi="仿宋_GB2312" w:eastAsia="仿宋_GB2312" w:cs="仿宋_GB2312"/>
          <w:bCs/>
          <w:color w:val="auto"/>
          <w:kern w:val="0"/>
          <w:sz w:val="32"/>
          <w:szCs w:val="32"/>
          <w:highlight w:val="none"/>
        </w:rPr>
        <w:t>于田县斯也克乡</w:t>
      </w:r>
      <w:r>
        <w:rPr>
          <w:rFonts w:hint="eastAsia" w:ascii="仿宋_GB2312" w:hAnsi="仿宋_GB2312" w:eastAsia="仿宋_GB2312" w:cs="仿宋_GB2312"/>
          <w:bCs/>
          <w:color w:val="auto"/>
          <w:kern w:val="0"/>
          <w:sz w:val="32"/>
          <w:szCs w:val="32"/>
          <w:highlight w:val="none"/>
          <w:lang w:val="en-US" w:eastAsia="zh-CN"/>
        </w:rPr>
        <w:t>2024年农村污水治理工程建设项目</w:t>
      </w:r>
      <w:r>
        <w:rPr>
          <w:rFonts w:hint="eastAsia" w:ascii="仿宋_GB2312" w:hAnsi="仿宋_GB2312" w:eastAsia="仿宋_GB2312" w:cs="仿宋_GB2312"/>
          <w:color w:val="auto"/>
          <w:sz w:val="32"/>
          <w:szCs w:val="32"/>
          <w:highlight w:val="none"/>
        </w:rPr>
        <w:t>实施，项目区污水收集及治理率提高95%以上，农村人居环境得到较大改善后,环境质量显著提升,群众精神面貌更加振奋,投资创业环境更加优良,吸引成功人士投资兴业,发展乡村产业和乡村旅游,带动村民致富就业。</w:t>
      </w:r>
    </w:p>
    <w:p w14:paraId="3671BAF7">
      <w:pPr>
        <w:pStyle w:val="52"/>
        <w:spacing w:line="560" w:lineRule="exact"/>
        <w:ind w:left="3" w:right="3" w:firstLine="56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2.具体绩效指标</w:t>
      </w:r>
    </w:p>
    <w:p w14:paraId="14A33643">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根据《自治区财政专项扶贫资金绩效管理操作指南》（新财预〔2019〕170号）的规定，结合项目具体情况，本项目共设置一级指标3个，二级指标</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个，三级指标15个。</w:t>
      </w:r>
    </w:p>
    <w:p w14:paraId="2FF48030">
      <w:pPr>
        <w:pStyle w:val="29"/>
        <w:spacing w:before="120"/>
        <w:ind w:left="0" w:leftChars="0" w:right="3"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二、绩效自评工作开展情况</w:t>
      </w:r>
    </w:p>
    <w:p w14:paraId="108AF0B1">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（一）绩效自评工作开展范围</w:t>
      </w:r>
    </w:p>
    <w:p w14:paraId="196A51B8">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本次自评范围涵盖项目总体绩效目标、各项绩效指标完成情况以及预算执行情况。</w:t>
      </w:r>
    </w:p>
    <w:p w14:paraId="09342483">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（二）绩效自评工作对象</w:t>
      </w:r>
    </w:p>
    <w:p w14:paraId="0EA9C2C4">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hAnsi="仿宋_GB2312" w:eastAsia="仿宋_GB2312" w:cs="仿宋_GB2312"/>
          <w:bCs/>
          <w:color w:val="auto"/>
          <w:kern w:val="0"/>
          <w:sz w:val="32"/>
          <w:szCs w:val="32"/>
          <w:highlight w:val="none"/>
        </w:rPr>
        <w:t>于田县斯也克乡</w:t>
      </w:r>
      <w:r>
        <w:rPr>
          <w:rFonts w:hint="eastAsia" w:ascii="仿宋_GB2312" w:hAnsi="仿宋_GB2312" w:eastAsia="仿宋_GB2312" w:cs="仿宋_GB2312"/>
          <w:bCs/>
          <w:color w:val="auto"/>
          <w:kern w:val="0"/>
          <w:sz w:val="32"/>
          <w:szCs w:val="32"/>
          <w:highlight w:val="none"/>
          <w:lang w:val="en-US" w:eastAsia="zh-CN"/>
        </w:rPr>
        <w:t>2024年农村污水治理工程建设项目</w:t>
      </w:r>
      <w:r>
        <w:rPr>
          <w:rFonts w:hint="eastAsia" w:ascii="仿宋_GB2312" w:hAnsi="仿宋_GB2312" w:eastAsia="仿宋_GB2312" w:cs="仿宋_GB2312"/>
          <w:color w:val="auto"/>
          <w:sz w:val="32"/>
          <w:szCs w:val="32"/>
          <w:highlight w:val="none"/>
        </w:rPr>
        <w:t>资金的使用管理、项目产出、综合效益等进行评价。</w:t>
      </w:r>
    </w:p>
    <w:p w14:paraId="0C03664A">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（三）绩效自评工作方式</w:t>
      </w:r>
    </w:p>
    <w:p w14:paraId="341DD568">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1.前期准备</w:t>
      </w:r>
    </w:p>
    <w:p w14:paraId="5C6E84FF">
      <w:pPr>
        <w:pStyle w:val="52"/>
        <w:spacing w:line="560" w:lineRule="exact"/>
        <w:ind w:left="3"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认真学习相关要求与规定，成立绩效自评工作组，作为绩效自评工作具体实施机构。成员构成如下：</w:t>
      </w:r>
    </w:p>
    <w:p w14:paraId="022BC33F">
      <w:pPr>
        <w:pStyle w:val="52"/>
        <w:spacing w:line="560" w:lineRule="exact"/>
        <w:ind w:left="3" w:right="3" w:firstLine="56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组  长：</w:t>
      </w:r>
      <w:r>
        <w:rPr>
          <w:rFonts w:hint="eastAsia" w:ascii="仿宋_GB2312" w:hAnsi="仿宋_GB2312" w:eastAsia="仿宋_GB2312" w:cs="仿宋_GB2312"/>
          <w:color w:val="auto"/>
          <w:sz w:val="32"/>
          <w:szCs w:val="32"/>
          <w:highlight w:val="none"/>
          <w:lang w:val="en-US" w:eastAsia="zh-CN"/>
        </w:rPr>
        <w:t>郭小龙</w:t>
      </w:r>
      <w:r>
        <w:rPr>
          <w:rFonts w:hint="eastAsia" w:ascii="仿宋_GB2312" w:hAnsi="仿宋_GB2312" w:eastAsia="仿宋_GB2312" w:cs="仿宋_GB2312"/>
          <w:color w:val="auto"/>
          <w:sz w:val="32"/>
          <w:szCs w:val="32"/>
          <w:highlight w:val="none"/>
        </w:rPr>
        <w:t xml:space="preserve">               </w:t>
      </w: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乡党委书记</w:t>
      </w:r>
    </w:p>
    <w:p w14:paraId="327C334B">
      <w:pPr>
        <w:pStyle w:val="52"/>
        <w:spacing w:line="560" w:lineRule="exact"/>
        <w:ind w:left="3" w:right="3" w:firstLine="1920" w:firstLineChars="6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阿不都艾尼</w:t>
      </w:r>
      <w:r>
        <w:rPr>
          <w:rFonts w:hint="eastAsia" w:ascii="仿宋_GB2312" w:hAnsi="仿宋_GB2312" w:eastAsia="仿宋_GB2312" w:cs="仿宋_GB2312"/>
          <w:color w:val="auto"/>
          <w:sz w:val="32"/>
          <w:szCs w:val="32"/>
          <w:highlight w:val="none"/>
          <w:lang w:val="en-US" w:eastAsia="zh-CN"/>
        </w:rPr>
        <w:t>·买买提明</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eastAsia="zh-CN"/>
        </w:rPr>
        <w:t>乡党委副书记、乡长</w:t>
      </w:r>
    </w:p>
    <w:p w14:paraId="00F715C1">
      <w:pPr>
        <w:pStyle w:val="52"/>
        <w:spacing w:line="560" w:lineRule="exact"/>
        <w:ind w:left="3" w:right="3" w:firstLine="56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副组长：</w:t>
      </w:r>
      <w:r>
        <w:rPr>
          <w:rFonts w:hint="eastAsia" w:ascii="仿宋_GB2312" w:hAnsi="仿宋_GB2312" w:eastAsia="仿宋_GB2312" w:cs="仿宋_GB2312"/>
          <w:color w:val="auto"/>
          <w:sz w:val="32"/>
          <w:szCs w:val="32"/>
          <w:highlight w:val="none"/>
          <w:lang w:eastAsia="zh-CN"/>
        </w:rPr>
        <w:t>王立杰</w:t>
      </w:r>
      <w:r>
        <w:rPr>
          <w:rFonts w:hint="eastAsia" w:ascii="仿宋_GB2312" w:hAnsi="仿宋_GB2312" w:eastAsia="仿宋_GB2312" w:cs="仿宋_GB2312"/>
          <w:color w:val="auto"/>
          <w:sz w:val="32"/>
          <w:szCs w:val="32"/>
          <w:highlight w:val="none"/>
          <w:lang w:val="en-US" w:eastAsia="zh-CN"/>
        </w:rPr>
        <w:t xml:space="preserve">                副乡长</w:t>
      </w:r>
    </w:p>
    <w:p w14:paraId="77E55A38">
      <w:pPr>
        <w:pStyle w:val="52"/>
        <w:spacing w:line="560" w:lineRule="exact"/>
        <w:ind w:left="0" w:leftChars="0" w:right="3"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成  员：</w:t>
      </w:r>
      <w:r>
        <w:rPr>
          <w:rFonts w:hint="eastAsia" w:ascii="仿宋_GB2312" w:hAnsi="仿宋_GB2312" w:eastAsia="仿宋_GB2312" w:cs="仿宋_GB2312"/>
          <w:color w:val="auto"/>
          <w:sz w:val="32"/>
          <w:szCs w:val="32"/>
          <w:highlight w:val="none"/>
          <w:lang w:eastAsia="zh-CN"/>
        </w:rPr>
        <w:t>肖德泉</w:t>
      </w:r>
      <w:r>
        <w:rPr>
          <w:rFonts w:hint="eastAsia" w:ascii="仿宋_GB2312" w:hAnsi="仿宋_GB2312" w:eastAsia="仿宋_GB2312" w:cs="仿宋_GB2312"/>
          <w:color w:val="auto"/>
          <w:sz w:val="32"/>
          <w:szCs w:val="32"/>
          <w:highlight w:val="none"/>
        </w:rPr>
        <w:t xml:space="preserve">               </w:t>
      </w: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乡村振兴办干部</w:t>
      </w:r>
    </w:p>
    <w:p w14:paraId="20830074">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但</w:t>
      </w: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银</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eastAsia="zh-CN"/>
        </w:rPr>
        <w:t>乡村振兴办干部</w:t>
      </w:r>
    </w:p>
    <w:p w14:paraId="24A2D76E">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吾加阿西木</w:t>
      </w:r>
      <w:r>
        <w:rPr>
          <w:rFonts w:hint="eastAsia" w:ascii="仿宋_GB2312" w:hAnsi="仿宋_GB2312" w:eastAsia="仿宋_GB2312" w:cs="仿宋_GB2312"/>
          <w:color w:val="auto"/>
          <w:sz w:val="32"/>
          <w:szCs w:val="32"/>
          <w:highlight w:val="none"/>
          <w:lang w:val="en-US" w:eastAsia="zh-CN"/>
        </w:rPr>
        <w:t>·艾山</w:t>
      </w:r>
      <w:r>
        <w:rPr>
          <w:rFonts w:hint="eastAsia" w:ascii="仿宋_GB2312" w:hAnsi="仿宋_GB2312" w:eastAsia="仿宋_GB2312" w:cs="仿宋_GB2312"/>
          <w:color w:val="auto"/>
          <w:sz w:val="32"/>
          <w:szCs w:val="32"/>
          <w:highlight w:val="none"/>
        </w:rPr>
        <w:t xml:space="preserve">             </w:t>
      </w: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乡财政所所长</w:t>
      </w:r>
    </w:p>
    <w:p w14:paraId="01F6F51F">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办公室负责项目的计划制定、实施，督查、指导相关单位共同做好项目管理工作。切实把该项目作为</w:t>
      </w:r>
      <w:r>
        <w:rPr>
          <w:rFonts w:hint="eastAsia" w:ascii="仿宋_GB2312" w:hAnsi="仿宋_GB2312" w:eastAsia="仿宋_GB2312" w:cs="仿宋_GB2312"/>
          <w:color w:val="auto"/>
          <w:sz w:val="32"/>
          <w:szCs w:val="32"/>
          <w:highlight w:val="none"/>
          <w:lang w:eastAsia="zh-CN"/>
        </w:rPr>
        <w:t>农村人居环境</w:t>
      </w:r>
      <w:r>
        <w:rPr>
          <w:rFonts w:hint="eastAsia" w:ascii="仿宋_GB2312" w:hAnsi="仿宋_GB2312" w:eastAsia="仿宋_GB2312" w:cs="仿宋_GB2312"/>
          <w:color w:val="auto"/>
          <w:sz w:val="32"/>
          <w:szCs w:val="32"/>
          <w:highlight w:val="none"/>
        </w:rPr>
        <w:t>建设的重要举措来抓，加强领导，明确分工，落实责任，密切配合，形成合力，推动该项目顺利实施。由</w:t>
      </w:r>
      <w:r>
        <w:rPr>
          <w:rFonts w:hint="eastAsia" w:ascii="仿宋_GB2312" w:hAnsi="仿宋_GB2312" w:eastAsia="仿宋_GB2312" w:cs="仿宋_GB2312"/>
          <w:color w:val="auto"/>
          <w:sz w:val="32"/>
          <w:szCs w:val="32"/>
          <w:highlight w:val="none"/>
          <w:lang w:eastAsia="zh-CN"/>
        </w:rPr>
        <w:t>于田县斯也克乡人民政府</w:t>
      </w:r>
      <w:r>
        <w:rPr>
          <w:rFonts w:hint="eastAsia" w:ascii="仿宋_GB2312" w:hAnsi="仿宋_GB2312" w:eastAsia="仿宋_GB2312" w:cs="仿宋_GB2312"/>
          <w:color w:val="auto"/>
          <w:sz w:val="32"/>
          <w:szCs w:val="32"/>
          <w:highlight w:val="none"/>
        </w:rPr>
        <w:t>牵头，负责整个项目的统筹安排和经费使用管理工作，实现分级管理制度。</w:t>
      </w:r>
    </w:p>
    <w:p w14:paraId="3EDF09A7">
      <w:pPr>
        <w:pStyle w:val="33"/>
        <w:spacing w:before="0" w:beforeLine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2.组织实施</w:t>
      </w:r>
    </w:p>
    <w:p w14:paraId="793D05C5">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成立绩效自评工作组后，经评价组通过实地调研等方式，采用综合分析法对项目的决策、管理、绩效进行的综合评价分析。</w:t>
      </w:r>
    </w:p>
    <w:p w14:paraId="18804BC5">
      <w:pPr>
        <w:pStyle w:val="33"/>
        <w:spacing w:before="0" w:beforeLine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3.分析评价。</w:t>
      </w:r>
    </w:p>
    <w:p w14:paraId="1E4F4FE2">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首先按照指标体系进行定量、定性分析。其次开展量化打分、综合评价工作，形成初步评价结论。最后归纳整体项目情况与存在问题，撰写绩效自评报告。</w:t>
      </w:r>
    </w:p>
    <w:p w14:paraId="0AA7D66B">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（1）绩效自评指标体系</w:t>
      </w:r>
    </w:p>
    <w:p w14:paraId="08F0DB79">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分、质量指标</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分，时效指标</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分、成本指标</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分、、社会效益指标</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分、可持续影响指标</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分、满意度指标10分、预算资金执行率10分，满分100分。</w:t>
      </w:r>
    </w:p>
    <w:p w14:paraId="2E617817">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（2）绩效自评方法</w:t>
      </w:r>
    </w:p>
    <w:p w14:paraId="720041F5">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本次绩效自评采用比较法和综合分析法对项目资金的使用管理、项目产出、综合效益等进行评价。</w:t>
      </w:r>
    </w:p>
    <w:p w14:paraId="04339446">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（3）绩效自评标准</w:t>
      </w:r>
    </w:p>
    <w:p w14:paraId="78FB89E3">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3C231BF9">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（4）绩效自评等级</w:t>
      </w:r>
    </w:p>
    <w:p w14:paraId="5FC46798">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绩效自评总分值100分，根据评分结果，90（含）-100分为优、80（含）-90分为良、60（含）-80分为中、60分以下为差。</w:t>
      </w:r>
    </w:p>
    <w:p w14:paraId="280C1FF8">
      <w:pPr>
        <w:pStyle w:val="29"/>
        <w:spacing w:before="120"/>
        <w:ind w:leftChars="0" w:right="3"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三、绩效目标自评完成情况分析</w:t>
      </w:r>
    </w:p>
    <w:p w14:paraId="59E589EF">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（一）资金投入情况分析</w:t>
      </w:r>
    </w:p>
    <w:p w14:paraId="0F927B92">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1.项目资金到位情况分析</w:t>
      </w:r>
    </w:p>
    <w:p w14:paraId="1053EE6B">
      <w:pPr>
        <w:pStyle w:val="52"/>
        <w:spacing w:line="560" w:lineRule="exact"/>
        <w:ind w:left="0" w:leftChars="0"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于田县斯也克乡2024年农村污水治理工程建设项目预算安排总额为</w:t>
      </w:r>
      <w:r>
        <w:rPr>
          <w:rFonts w:hint="eastAsia" w:ascii="仿宋_GB2312" w:hAnsi="仿宋_GB2312" w:cs="仿宋_GB2312"/>
          <w:color w:val="auto"/>
          <w:sz w:val="32"/>
          <w:szCs w:val="32"/>
          <w:highlight w:val="none"/>
          <w:lang w:val="en-US" w:eastAsia="zh-CN"/>
        </w:rPr>
        <w:t>790</w:t>
      </w:r>
      <w:r>
        <w:rPr>
          <w:rFonts w:hint="eastAsia" w:ascii="仿宋_GB2312" w:hAnsi="仿宋_GB2312" w:eastAsia="仿宋_GB2312" w:cs="仿宋_GB2312"/>
          <w:color w:val="auto"/>
          <w:sz w:val="32"/>
          <w:szCs w:val="32"/>
          <w:highlight w:val="none"/>
        </w:rPr>
        <w:t>万元，其中：</w:t>
      </w:r>
      <w:r>
        <w:rPr>
          <w:rFonts w:hint="eastAsia" w:ascii="仿宋_GB2312" w:hAnsi="仿宋_GB2312" w:cs="仿宋_GB2312"/>
          <w:color w:val="auto"/>
          <w:sz w:val="32"/>
          <w:szCs w:val="32"/>
          <w:highlight w:val="none"/>
          <w:lang w:val="en-US" w:eastAsia="zh-CN"/>
        </w:rPr>
        <w:t>乡村振兴衔接资金790</w:t>
      </w:r>
      <w:r>
        <w:rPr>
          <w:rFonts w:hint="eastAsia" w:ascii="仿宋_GB2312" w:hAnsi="仿宋_GB2312" w:eastAsia="仿宋_GB2312" w:cs="仿宋_GB2312"/>
          <w:color w:val="auto"/>
          <w:sz w:val="32"/>
          <w:szCs w:val="32"/>
          <w:highlight w:val="none"/>
        </w:rPr>
        <w:t>万元。预算资金到位率为100.00%。</w:t>
      </w:r>
    </w:p>
    <w:p w14:paraId="14B66663">
      <w:pPr>
        <w:pStyle w:val="52"/>
        <w:spacing w:line="560" w:lineRule="exact"/>
        <w:ind w:left="0" w:leftChars="0" w:right="3" w:firstLine="56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2.项目资金执行情况分析</w:t>
      </w:r>
    </w:p>
    <w:p w14:paraId="263897F7">
      <w:pPr>
        <w:pStyle w:val="52"/>
        <w:spacing w:line="560" w:lineRule="exact"/>
        <w:ind w:left="0" w:leftChars="0"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于田县斯也克乡2024年农村污水治理工程建设项目预算投入资金</w:t>
      </w:r>
      <w:r>
        <w:rPr>
          <w:rFonts w:hint="eastAsia" w:ascii="仿宋_GB2312" w:hAnsi="仿宋_GB2312" w:eastAsia="仿宋_GB2312" w:cs="仿宋_GB2312"/>
          <w:color w:val="auto"/>
          <w:sz w:val="32"/>
          <w:szCs w:val="32"/>
          <w:highlight w:val="none"/>
          <w:lang w:val="en-US" w:eastAsia="zh-CN"/>
        </w:rPr>
        <w:t>790</w:t>
      </w:r>
      <w:r>
        <w:rPr>
          <w:rFonts w:hint="eastAsia" w:ascii="仿宋_GB2312" w:hAnsi="仿宋_GB2312" w:eastAsia="仿宋_GB2312" w:cs="仿宋_GB2312"/>
          <w:color w:val="auto"/>
          <w:sz w:val="32"/>
          <w:szCs w:val="32"/>
          <w:highlight w:val="none"/>
        </w:rPr>
        <w:t>万元，实际合同价共支付</w:t>
      </w:r>
      <w:r>
        <w:rPr>
          <w:rFonts w:hint="eastAsia" w:ascii="仿宋_GB2312" w:hAnsi="仿宋_GB2312" w:eastAsia="仿宋_GB2312" w:cs="仿宋_GB2312"/>
          <w:color w:val="auto"/>
          <w:sz w:val="32"/>
          <w:szCs w:val="32"/>
          <w:highlight w:val="none"/>
          <w:lang w:val="en-US" w:eastAsia="zh-CN"/>
        </w:rPr>
        <w:t>727.75</w:t>
      </w:r>
      <w:r>
        <w:rPr>
          <w:rFonts w:hint="eastAsia" w:ascii="仿宋_GB2312" w:hAnsi="仿宋_GB2312" w:eastAsia="仿宋_GB2312" w:cs="仿宋_GB2312"/>
          <w:color w:val="auto"/>
          <w:sz w:val="32"/>
          <w:szCs w:val="32"/>
          <w:highlight w:val="none"/>
        </w:rPr>
        <w:t>万元，其中：建筑投资用</w:t>
      </w:r>
      <w:r>
        <w:rPr>
          <w:rFonts w:hint="eastAsia" w:ascii="仿宋_GB2312" w:hAnsi="仿宋_GB2312" w:eastAsia="仿宋_GB2312" w:cs="仿宋_GB2312"/>
          <w:color w:val="auto"/>
          <w:sz w:val="32"/>
          <w:szCs w:val="32"/>
          <w:highlight w:val="none"/>
          <w:lang w:val="en-US" w:eastAsia="zh-CN"/>
        </w:rPr>
        <w:t>672.58</w:t>
      </w:r>
      <w:r>
        <w:rPr>
          <w:rFonts w:hint="eastAsia" w:ascii="仿宋_GB2312" w:hAnsi="仿宋_GB2312" w:eastAsia="仿宋_GB2312" w:cs="仿宋_GB2312"/>
          <w:color w:val="auto"/>
          <w:sz w:val="32"/>
          <w:szCs w:val="32"/>
          <w:highlight w:val="none"/>
        </w:rPr>
        <w:t>万元,其他待摊</w:t>
      </w:r>
      <w:r>
        <w:rPr>
          <w:rFonts w:hint="eastAsia" w:ascii="仿宋_GB2312" w:hAnsi="仿宋_GB2312" w:eastAsia="仿宋_GB2312" w:cs="仿宋_GB2312"/>
          <w:color w:val="auto"/>
          <w:sz w:val="32"/>
          <w:szCs w:val="32"/>
          <w:highlight w:val="none"/>
          <w:lang w:val="en-US" w:eastAsia="zh-CN"/>
        </w:rPr>
        <w:t>55.16</w:t>
      </w:r>
      <w:r>
        <w:rPr>
          <w:rFonts w:hint="eastAsia" w:ascii="仿宋_GB2312" w:hAnsi="仿宋_GB2312" w:eastAsia="仿宋_GB2312" w:cs="仿宋_GB2312"/>
          <w:color w:val="auto"/>
          <w:sz w:val="32"/>
          <w:szCs w:val="32"/>
          <w:highlight w:val="none"/>
        </w:rPr>
        <w:t>万元；实际工程</w:t>
      </w:r>
      <w:r>
        <w:rPr>
          <w:rFonts w:hint="eastAsia" w:ascii="仿宋_GB2312" w:hAnsi="仿宋_GB2312" w:cs="仿宋_GB2312"/>
          <w:color w:val="auto"/>
          <w:sz w:val="32"/>
          <w:szCs w:val="32"/>
          <w:highlight w:val="none"/>
          <w:lang w:val="en-US" w:eastAsia="zh-CN"/>
        </w:rPr>
        <w:t>节</w:t>
      </w:r>
      <w:r>
        <w:rPr>
          <w:rFonts w:hint="eastAsia" w:ascii="仿宋_GB2312" w:hAnsi="仿宋_GB2312" w:eastAsia="仿宋_GB2312" w:cs="仿宋_GB2312"/>
          <w:color w:val="auto"/>
          <w:sz w:val="32"/>
          <w:szCs w:val="32"/>
          <w:highlight w:val="none"/>
        </w:rPr>
        <w:t>概资金</w:t>
      </w:r>
      <w:r>
        <w:rPr>
          <w:rFonts w:hint="eastAsia" w:ascii="仿宋_GB2312" w:hAnsi="仿宋_GB2312" w:cs="仿宋_GB2312"/>
          <w:color w:val="auto"/>
          <w:sz w:val="32"/>
          <w:szCs w:val="32"/>
          <w:highlight w:val="none"/>
          <w:lang w:val="en-US" w:eastAsia="zh-CN"/>
        </w:rPr>
        <w:t>62.25</w:t>
      </w:r>
      <w:r>
        <w:rPr>
          <w:rFonts w:hint="eastAsia" w:ascii="仿宋_GB2312" w:hAnsi="仿宋_GB2312" w:eastAsia="仿宋_GB2312" w:cs="仿宋_GB2312"/>
          <w:color w:val="auto"/>
          <w:sz w:val="32"/>
          <w:szCs w:val="32"/>
          <w:highlight w:val="none"/>
        </w:rPr>
        <w:t>万元。</w:t>
      </w:r>
      <w:r>
        <w:rPr>
          <w:rFonts w:hint="eastAsia" w:ascii="仿宋_GB2312" w:hAnsi="仿宋_GB2312" w:cs="仿宋_GB2312"/>
          <w:color w:val="auto"/>
          <w:sz w:val="32"/>
          <w:szCs w:val="32"/>
          <w:highlight w:val="none"/>
          <w:lang w:val="en-US" w:eastAsia="zh-CN"/>
        </w:rPr>
        <w:t>截止2024年12月31日，</w:t>
      </w:r>
      <w:r>
        <w:rPr>
          <w:rFonts w:hint="eastAsia" w:ascii="仿宋_GB2312" w:hAnsi="仿宋_GB2312" w:eastAsia="仿宋_GB2312" w:cs="仿宋_GB2312"/>
          <w:color w:val="auto"/>
          <w:sz w:val="32"/>
          <w:szCs w:val="32"/>
          <w:highlight w:val="none"/>
        </w:rPr>
        <w:t>实际支出</w:t>
      </w:r>
      <w:r>
        <w:rPr>
          <w:rFonts w:hint="eastAsia" w:ascii="仿宋_GB2312" w:hAnsi="仿宋_GB2312" w:eastAsia="仿宋_GB2312" w:cs="仿宋_GB2312"/>
          <w:color w:val="auto"/>
          <w:sz w:val="32"/>
          <w:szCs w:val="32"/>
          <w:highlight w:val="none"/>
          <w:lang w:val="en-US" w:eastAsia="zh-CN"/>
        </w:rPr>
        <w:t>727.75</w:t>
      </w:r>
      <w:r>
        <w:rPr>
          <w:rFonts w:hint="eastAsia" w:ascii="仿宋_GB2312" w:hAnsi="仿宋_GB2312" w:eastAsia="仿宋_GB2312" w:cs="仿宋_GB2312"/>
          <w:color w:val="auto"/>
          <w:sz w:val="32"/>
          <w:szCs w:val="32"/>
          <w:highlight w:val="none"/>
        </w:rPr>
        <w:t>万元，预算资金执行率</w:t>
      </w:r>
      <w:r>
        <w:rPr>
          <w:rFonts w:hint="eastAsia" w:ascii="仿宋_GB2312" w:hAnsi="仿宋_GB2312" w:eastAsia="仿宋_GB2312" w:cs="仿宋_GB2312"/>
          <w:color w:val="auto"/>
          <w:sz w:val="32"/>
          <w:szCs w:val="32"/>
          <w:highlight w:val="none"/>
          <w:lang w:val="en-US" w:eastAsia="zh-CN"/>
        </w:rPr>
        <w:t>92.12</w:t>
      </w:r>
      <w:r>
        <w:rPr>
          <w:rFonts w:hint="eastAsia" w:ascii="仿宋_GB2312" w:hAnsi="仿宋_GB2312" w:eastAsia="仿宋_GB2312" w:cs="仿宋_GB2312"/>
          <w:color w:val="auto"/>
          <w:sz w:val="32"/>
          <w:szCs w:val="32"/>
          <w:highlight w:val="none"/>
        </w:rPr>
        <w:t>%。</w:t>
      </w:r>
    </w:p>
    <w:p w14:paraId="790F0754">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3.项目资金管理情况分析</w:t>
      </w:r>
    </w:p>
    <w:p w14:paraId="16E8135D">
      <w:pPr>
        <w:pStyle w:val="52"/>
        <w:spacing w:line="560" w:lineRule="exact"/>
        <w:ind w:left="0" w:leftChars="0"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5B2F5C81">
      <w:pPr>
        <w:pStyle w:val="52"/>
        <w:spacing w:line="560" w:lineRule="exact"/>
        <w:ind w:leftChars="0" w:right="3" w:firstLine="56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4.项目管理情况分析</w:t>
      </w:r>
    </w:p>
    <w:p w14:paraId="630D1E35">
      <w:pPr>
        <w:pStyle w:val="52"/>
        <w:spacing w:line="580" w:lineRule="exact"/>
        <w:ind w:left="0" w:leftChars="0"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在项目实施中，</w:t>
      </w:r>
      <w:r>
        <w:rPr>
          <w:rFonts w:hint="eastAsia" w:ascii="仿宋_GB2312" w:hAnsi="仿宋_GB2312" w:eastAsia="仿宋_GB2312" w:cs="仿宋_GB2312"/>
          <w:color w:val="auto"/>
          <w:sz w:val="32"/>
          <w:szCs w:val="32"/>
          <w:highlight w:val="none"/>
          <w:lang w:eastAsia="zh-CN"/>
        </w:rPr>
        <w:t>于田县斯也克乡人民政府</w:t>
      </w:r>
      <w:r>
        <w:rPr>
          <w:rFonts w:hint="eastAsia" w:ascii="仿宋_GB2312" w:hAnsi="仿宋_GB2312" w:eastAsia="仿宋_GB2312" w:cs="仿宋_GB2312"/>
          <w:color w:val="auto"/>
          <w:sz w:val="32"/>
          <w:szCs w:val="32"/>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40AD46CC">
      <w:pPr>
        <w:spacing w:line="58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（二）绩效目标完成情况分析</w:t>
      </w:r>
    </w:p>
    <w:p w14:paraId="64F7FD76">
      <w:pPr>
        <w:pStyle w:val="52"/>
        <w:spacing w:line="58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本项目在202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年截止</w:t>
      </w:r>
      <w:r>
        <w:rPr>
          <w:rFonts w:hint="eastAsia" w:ascii="仿宋_GB2312" w:hAnsi="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月底，工程实际</w:t>
      </w:r>
      <w:r>
        <w:rPr>
          <w:rFonts w:hint="eastAsia" w:ascii="仿宋_GB2312" w:hAnsi="仿宋_GB2312" w:cs="仿宋_GB2312"/>
          <w:color w:val="auto"/>
          <w:sz w:val="32"/>
          <w:szCs w:val="32"/>
          <w:highlight w:val="none"/>
          <w:lang w:val="en-US" w:eastAsia="zh-CN"/>
        </w:rPr>
        <w:t>完成</w:t>
      </w:r>
      <w:r>
        <w:rPr>
          <w:rFonts w:hint="eastAsia" w:ascii="仿宋_GB2312" w:hAnsi="仿宋_GB2312" w:eastAsia="仿宋_GB2312" w:cs="仿宋_GB2312"/>
          <w:color w:val="auto"/>
          <w:sz w:val="32"/>
          <w:szCs w:val="32"/>
          <w:highlight w:val="none"/>
        </w:rPr>
        <w:t>排水干管HDPE双壁波纹管DN200-DN300共计17586米，新建UPVC排水支管,共计11128米，检查井及阀门井573座，新建一体化提升泵站2座，有效容积100立方米化粪池2座，路面拆除及修复1100平方米。项目的实施，项目区污水收集及治理率提高95%以上，改善人居环境。</w:t>
      </w:r>
    </w:p>
    <w:p w14:paraId="70F3CC45">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本项目共设置本项目共设置一级指标3个，二级指标</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个，三级指标15个</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指标完成率为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%，指标完成情况分析如下：</w:t>
      </w:r>
    </w:p>
    <w:p w14:paraId="32EA9C31">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1.产出指标完成情况分析</w:t>
      </w:r>
    </w:p>
    <w:p w14:paraId="4C6A4271">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1.1项目完成数量</w:t>
      </w:r>
    </w:p>
    <w:p w14:paraId="64B5AD99">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脱贫村人居环境整治个数</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2个村</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2个村</w:t>
      </w:r>
      <w:r>
        <w:rPr>
          <w:rFonts w:hint="eastAsia" w:ascii="仿宋_GB2312" w:hAnsi="仿宋_GB2312" w:eastAsia="仿宋_GB2312" w:cs="仿宋_GB2312"/>
          <w:color w:val="auto"/>
          <w:sz w:val="32"/>
          <w:szCs w:val="32"/>
          <w:highlight w:val="none"/>
        </w:rPr>
        <w:t>，指标完成率为100.00%。所设分值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 xml:space="preserve">分。              </w:t>
      </w:r>
    </w:p>
    <w:p w14:paraId="76F7BC02">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新建排水干管</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17586米</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17586米</w:t>
      </w:r>
      <w:r>
        <w:rPr>
          <w:rFonts w:hint="eastAsia" w:ascii="仿宋_GB2312" w:hAnsi="仿宋_GB2312" w:eastAsia="仿宋_GB2312" w:cs="仿宋_GB2312"/>
          <w:color w:val="auto"/>
          <w:sz w:val="32"/>
          <w:szCs w:val="32"/>
          <w:highlight w:val="none"/>
        </w:rPr>
        <w:t>，指标完成率为100.00%。所设分值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4F4FB8BF">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排水支管（接户管）</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11128米</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11128米</w:t>
      </w:r>
      <w:r>
        <w:rPr>
          <w:rFonts w:hint="eastAsia" w:ascii="仿宋_GB2312" w:hAnsi="仿宋_GB2312" w:eastAsia="仿宋_GB2312" w:cs="仿宋_GB2312"/>
          <w:color w:val="auto"/>
          <w:sz w:val="32"/>
          <w:szCs w:val="32"/>
          <w:highlight w:val="none"/>
        </w:rPr>
        <w:t>，指标完成率为100.00%。所设分值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5CDF6F13">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排水检查井及阀门井</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573座</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573座</w:t>
      </w:r>
      <w:r>
        <w:rPr>
          <w:rFonts w:hint="eastAsia" w:ascii="仿宋_GB2312" w:hAnsi="仿宋_GB2312" w:eastAsia="仿宋_GB2312" w:cs="仿宋_GB2312"/>
          <w:color w:val="auto"/>
          <w:sz w:val="32"/>
          <w:szCs w:val="32"/>
          <w:highlight w:val="none"/>
        </w:rPr>
        <w:t>，指标完成率为100.00%。所设分值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20B7A197">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路面拆除与恢复</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1100平方米</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1100平方米</w:t>
      </w:r>
      <w:r>
        <w:rPr>
          <w:rFonts w:hint="eastAsia" w:ascii="仿宋_GB2312" w:hAnsi="仿宋_GB2312" w:eastAsia="仿宋_GB2312" w:cs="仿宋_GB2312"/>
          <w:color w:val="auto"/>
          <w:sz w:val="32"/>
          <w:szCs w:val="32"/>
          <w:highlight w:val="none"/>
        </w:rPr>
        <w:t>，指标完成率为100.00%。所设分值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1DD4EF53">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1.2项目完成质量</w:t>
      </w:r>
    </w:p>
    <w:p w14:paraId="71F03036">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“工程验收合格率”指标，预期指标值为</w:t>
      </w:r>
      <w:r>
        <w:rPr>
          <w:rFonts w:hint="eastAsia" w:ascii="仿宋_GB2312" w:hAnsi="仿宋_GB2312" w:cs="仿宋_GB2312"/>
          <w:color w:val="auto"/>
          <w:sz w:val="32"/>
          <w:szCs w:val="32"/>
          <w:highlight w:val="none"/>
          <w:lang w:val="en-US" w:eastAsia="zh-CN"/>
        </w:rPr>
        <w:t>等于</w:t>
      </w:r>
      <w:r>
        <w:rPr>
          <w:rFonts w:hint="eastAsia" w:ascii="仿宋_GB2312" w:hAnsi="仿宋_GB2312" w:eastAsia="仿宋_GB2312" w:cs="仿宋_GB2312"/>
          <w:color w:val="auto"/>
          <w:sz w:val="32"/>
          <w:szCs w:val="32"/>
          <w:highlight w:val="none"/>
        </w:rPr>
        <w:t>100.00%,全年实际值为100.00%，指标完成率为100.00%。所设分值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5E5C08EC">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1.3项目完成时效</w:t>
      </w:r>
    </w:p>
    <w:p w14:paraId="503DA9AA">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“项目开工时间”指标，预期指标值为</w:t>
      </w:r>
      <w:bookmarkStart w:id="1" w:name="OLE_LINK2"/>
      <w:r>
        <w:rPr>
          <w:rFonts w:hint="eastAsia" w:ascii="仿宋_GB2312" w:hAnsi="仿宋_GB2312" w:cs="仿宋_GB2312"/>
          <w:color w:val="auto"/>
          <w:sz w:val="32"/>
          <w:szCs w:val="32"/>
          <w:highlight w:val="none"/>
          <w:lang w:val="en-US" w:eastAsia="zh-CN"/>
        </w:rPr>
        <w:t>等于</w:t>
      </w:r>
      <w:bookmarkEnd w:id="1"/>
      <w:r>
        <w:rPr>
          <w:rFonts w:hint="eastAsia" w:ascii="仿宋_GB2312" w:hAnsi="仿宋_GB2312" w:eastAsia="仿宋_GB2312" w:cs="仿宋_GB2312"/>
          <w:color w:val="auto"/>
          <w:sz w:val="32"/>
          <w:szCs w:val="32"/>
          <w:highlight w:val="none"/>
          <w:lang w:val="en-US" w:eastAsia="zh-CN"/>
        </w:rPr>
        <w:t>2024年3月</w:t>
      </w:r>
      <w:r>
        <w:rPr>
          <w:rFonts w:hint="eastAsia" w:ascii="仿宋_GB2312" w:hAnsi="仿宋_GB2312" w:eastAsia="仿宋_GB2312" w:cs="仿宋_GB2312"/>
          <w:color w:val="auto"/>
          <w:sz w:val="32"/>
          <w:szCs w:val="32"/>
          <w:highlight w:val="none"/>
        </w:rPr>
        <w:t>,全年实际值为</w:t>
      </w:r>
      <w:bookmarkStart w:id="2" w:name="OLE_LINK4"/>
      <w:r>
        <w:rPr>
          <w:rFonts w:hint="eastAsia" w:ascii="仿宋_GB2312" w:hAnsi="仿宋_GB2312" w:eastAsia="仿宋_GB2312" w:cs="仿宋_GB2312"/>
          <w:color w:val="auto"/>
          <w:sz w:val="32"/>
          <w:szCs w:val="32"/>
          <w:highlight w:val="none"/>
          <w:lang w:val="en-US" w:eastAsia="zh-CN"/>
        </w:rPr>
        <w:t>2024年3月</w:t>
      </w:r>
      <w:bookmarkEnd w:id="2"/>
      <w:r>
        <w:rPr>
          <w:rFonts w:hint="eastAsia" w:ascii="仿宋_GB2312" w:hAnsi="仿宋_GB2312" w:eastAsia="仿宋_GB2312" w:cs="仿宋_GB2312"/>
          <w:color w:val="auto"/>
          <w:sz w:val="32"/>
          <w:szCs w:val="32"/>
          <w:highlight w:val="none"/>
        </w:rPr>
        <w:t>，指标完成率为</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0%。。所设分值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1E4A45A0">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“项目完工时间”指标，预期指标值为202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月,全年实际值为202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月，指标完成率为</w:t>
      </w:r>
      <w:r>
        <w:rPr>
          <w:rFonts w:hint="eastAsia" w:ascii="仿宋_GB2312" w:hAnsi="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4.5</w:t>
      </w:r>
      <w:r>
        <w:rPr>
          <w:rFonts w:hint="eastAsia" w:ascii="仿宋_GB2312" w:hAnsi="仿宋_GB2312" w:eastAsia="仿宋_GB2312" w:cs="仿宋_GB2312"/>
          <w:color w:val="auto"/>
          <w:sz w:val="32"/>
          <w:szCs w:val="32"/>
          <w:highlight w:val="none"/>
        </w:rPr>
        <w:t xml:space="preserve">分。 </w:t>
      </w:r>
    </w:p>
    <w:p w14:paraId="00C6788A">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1.4项目成本节约情况</w:t>
      </w:r>
    </w:p>
    <w:p w14:paraId="5A6E2ABB">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为有效控制项目实施成本，我单位在实施项目前就该项目设定了成本控制指标，实施过程中我单位通过公开招标的方式有效降低了项目执行成本，具体指标设置及完成情况如下：</w:t>
      </w:r>
    </w:p>
    <w:p w14:paraId="0FFA3869">
      <w:pPr>
        <w:pStyle w:val="52"/>
        <w:ind w:left="0" w:leftChars="0" w:right="0" w:rightChars="0" w:firstLine="560"/>
        <w:rPr>
          <w:rFonts w:hint="eastAsia" w:ascii="仿宋_GB2312" w:hAnsi="仿宋_GB2312" w:eastAsia="仿宋_GB2312" w:cs="仿宋_GB2312"/>
          <w:color w:val="auto"/>
          <w:sz w:val="32"/>
          <w:szCs w:val="32"/>
          <w:highlight w:val="none"/>
        </w:rPr>
      </w:pPr>
      <w:bookmarkStart w:id="3" w:name="OLE_LINK3"/>
      <w:r>
        <w:rPr>
          <w:rFonts w:hint="eastAsia" w:ascii="仿宋_GB2312" w:hAnsi="仿宋_GB2312" w:eastAsia="仿宋_GB2312" w:cs="仿宋_GB2312"/>
          <w:color w:val="auto"/>
          <w:sz w:val="32"/>
          <w:szCs w:val="32"/>
          <w:highlight w:val="none"/>
        </w:rPr>
        <w:t>“工程建设费用”指标，预期指标值为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eastAsia="仿宋_GB2312" w:cs="仿宋_GB2312"/>
          <w:color w:val="auto"/>
          <w:sz w:val="32"/>
          <w:szCs w:val="32"/>
          <w:highlight w:val="none"/>
        </w:rPr>
        <w:t>698.11万元, 全年实际值为</w:t>
      </w:r>
      <w:r>
        <w:rPr>
          <w:rFonts w:hint="eastAsia" w:ascii="仿宋_GB2312" w:hAnsi="仿宋_GB2312" w:eastAsia="仿宋_GB2312" w:cs="仿宋_GB2312"/>
          <w:color w:val="auto"/>
          <w:sz w:val="32"/>
          <w:szCs w:val="32"/>
          <w:highlight w:val="none"/>
          <w:lang w:val="en-US" w:eastAsia="zh-CN"/>
        </w:rPr>
        <w:t>672.58万元</w:t>
      </w:r>
      <w:r>
        <w:rPr>
          <w:rFonts w:hint="eastAsia" w:ascii="仿宋_GB2312" w:hAnsi="仿宋_GB2312" w:eastAsia="仿宋_GB2312" w:cs="仿宋_GB2312"/>
          <w:color w:val="auto"/>
          <w:sz w:val="32"/>
          <w:szCs w:val="32"/>
          <w:highlight w:val="none"/>
        </w:rPr>
        <w:t>，指标完成率为</w:t>
      </w:r>
      <w:r>
        <w:rPr>
          <w:rFonts w:hint="eastAsia" w:ascii="仿宋_GB2312" w:hAnsi="仿宋_GB2312" w:cs="仿宋_GB2312"/>
          <w:color w:val="auto"/>
          <w:sz w:val="32"/>
          <w:szCs w:val="32"/>
          <w:highlight w:val="none"/>
          <w:lang w:val="en-US" w:eastAsia="zh-CN"/>
        </w:rPr>
        <w:t>96.34</w:t>
      </w:r>
      <w:r>
        <w:rPr>
          <w:rFonts w:hint="eastAsia" w:ascii="仿宋_GB2312" w:hAnsi="仿宋_GB2312" w:eastAsia="仿宋_GB2312" w:cs="仿宋_GB2312"/>
          <w:color w:val="auto"/>
          <w:sz w:val="32"/>
          <w:szCs w:val="32"/>
          <w:highlight w:val="none"/>
        </w:rPr>
        <w:t>%。所设分值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4.81</w:t>
      </w:r>
      <w:r>
        <w:rPr>
          <w:rFonts w:hint="eastAsia" w:ascii="仿宋_GB2312" w:hAnsi="仿宋_GB2312" w:eastAsia="仿宋_GB2312" w:cs="仿宋_GB2312"/>
          <w:color w:val="auto"/>
          <w:sz w:val="32"/>
          <w:szCs w:val="32"/>
          <w:highlight w:val="none"/>
        </w:rPr>
        <w:t>分。偏差原因：项目已完工，相关评估决算已完成，工程节概资金62.25万元。改进措施：加强项目建设资金管理。</w:t>
      </w:r>
    </w:p>
    <w:p w14:paraId="53230D4F">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“其他费用”指标，预期指标值为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eastAsia="仿宋_GB2312" w:cs="仿宋_GB2312"/>
          <w:color w:val="auto"/>
          <w:sz w:val="32"/>
          <w:szCs w:val="32"/>
          <w:highlight w:val="none"/>
        </w:rPr>
        <w:t>68.88万元, 全年实际值为</w:t>
      </w:r>
      <w:r>
        <w:rPr>
          <w:rFonts w:hint="eastAsia" w:ascii="仿宋_GB2312" w:hAnsi="仿宋_GB2312" w:eastAsia="仿宋_GB2312" w:cs="仿宋_GB2312"/>
          <w:color w:val="auto"/>
          <w:sz w:val="32"/>
          <w:szCs w:val="32"/>
          <w:highlight w:val="none"/>
          <w:lang w:val="en-US" w:eastAsia="zh-CN"/>
        </w:rPr>
        <w:t>55.16万元</w:t>
      </w:r>
      <w:r>
        <w:rPr>
          <w:rFonts w:hint="eastAsia" w:ascii="仿宋_GB2312" w:hAnsi="仿宋_GB2312" w:eastAsia="仿宋_GB2312" w:cs="仿宋_GB2312"/>
          <w:color w:val="auto"/>
          <w:sz w:val="32"/>
          <w:szCs w:val="32"/>
          <w:highlight w:val="none"/>
        </w:rPr>
        <w:t>，指标完成率为</w:t>
      </w:r>
      <w:r>
        <w:rPr>
          <w:rFonts w:hint="eastAsia" w:ascii="仿宋_GB2312" w:hAnsi="仿宋_GB2312" w:cs="仿宋_GB2312"/>
          <w:color w:val="auto"/>
          <w:sz w:val="32"/>
          <w:szCs w:val="32"/>
          <w:highlight w:val="none"/>
          <w:lang w:val="en-US" w:eastAsia="zh-CN"/>
        </w:rPr>
        <w:t>80.08</w:t>
      </w:r>
      <w:r>
        <w:rPr>
          <w:rFonts w:hint="eastAsia" w:ascii="仿宋_GB2312" w:hAnsi="仿宋_GB2312" w:eastAsia="仿宋_GB2312" w:cs="仿宋_GB2312"/>
          <w:color w:val="auto"/>
          <w:sz w:val="32"/>
          <w:szCs w:val="32"/>
          <w:highlight w:val="none"/>
        </w:rPr>
        <w:t>%。所设分值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分。偏差原因：项目已完工，相关评估决算已完成，工程节概资金62.25万元。改进措施：加强项目建设资金管理。</w:t>
      </w:r>
    </w:p>
    <w:bookmarkEnd w:id="3"/>
    <w:p w14:paraId="6D04B8DE">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2.效益指标完成情况分析</w:t>
      </w:r>
    </w:p>
    <w:p w14:paraId="2CCC8BB2">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2.1项目实施的社会效益分析</w:t>
      </w:r>
    </w:p>
    <w:p w14:paraId="518602F9">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“完善农村污水处理系统”指标，指标预期值为效果显著，实际完成值为效果显著，指标完成率为100.00%。所设分值</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 xml:space="preserve">分。  </w:t>
      </w:r>
    </w:p>
    <w:p w14:paraId="6FC2F0F4">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“受益户数”指标，指标预期值为</w:t>
      </w:r>
      <w:r>
        <w:rPr>
          <w:rFonts w:hint="eastAsia" w:ascii="仿宋_GB2312" w:hAnsi="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rPr>
        <w:t>428户，实际完成值为428户，指标完成率为100.00%。所设分值</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分。</w:t>
      </w:r>
    </w:p>
    <w:p w14:paraId="68FA4AE2">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“受益人数”指标，指标预期值为</w:t>
      </w:r>
      <w:r>
        <w:rPr>
          <w:rFonts w:hint="eastAsia" w:ascii="仿宋_GB2312" w:hAnsi="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rPr>
        <w:t>1729人，实际完成值为1729人，指标完成率为100.00%。所设分值</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分。</w:t>
      </w:r>
    </w:p>
    <w:p w14:paraId="3B4824C0">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项目实施的可持续影响分析</w:t>
      </w:r>
    </w:p>
    <w:p w14:paraId="4FC0757D">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“管道设计可使用年限”指标，指标预期值为</w:t>
      </w:r>
      <w:r>
        <w:rPr>
          <w:rFonts w:hint="eastAsia" w:ascii="仿宋_GB2312" w:hAnsi="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年，实际完成值为</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年，指标完成率为100.00%。所设分值</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分。</w:t>
      </w:r>
    </w:p>
    <w:p w14:paraId="0129F797">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3.满意度指标完成情况分析</w:t>
      </w:r>
    </w:p>
    <w:p w14:paraId="20604B11">
      <w:pPr>
        <w:spacing w:line="560" w:lineRule="exact"/>
        <w:ind w:firstLine="624" w:firstLineChars="200"/>
        <w:rPr>
          <w:rFonts w:hint="eastAsia" w:ascii="仿宋_GB2312" w:hAnsi="仿宋_GB2312" w:eastAsia="仿宋_GB2312" w:cs="仿宋_GB2312"/>
          <w:bCs/>
          <w:color w:val="auto"/>
          <w:spacing w:val="-4"/>
          <w:sz w:val="32"/>
          <w:szCs w:val="32"/>
          <w:highlight w:val="none"/>
        </w:rPr>
      </w:pPr>
      <w:r>
        <w:rPr>
          <w:rFonts w:hint="eastAsia" w:ascii="仿宋_GB2312" w:hAnsi="仿宋_GB2312" w:eastAsia="仿宋_GB2312" w:cs="仿宋_GB2312"/>
          <w:bCs/>
          <w:color w:val="auto"/>
          <w:spacing w:val="-4"/>
          <w:sz w:val="32"/>
          <w:szCs w:val="32"/>
          <w:highlight w:val="none"/>
        </w:rPr>
        <w:t>“受益群众满意度”指标，指标预期指标值为</w:t>
      </w:r>
      <w:r>
        <w:rPr>
          <w:rFonts w:hint="eastAsia" w:ascii="仿宋_GB2312" w:hAnsi="仿宋_GB2312" w:eastAsia="仿宋_GB2312" w:cs="仿宋_GB2312"/>
          <w:bCs/>
          <w:color w:val="auto"/>
          <w:spacing w:val="-4"/>
          <w:sz w:val="32"/>
          <w:szCs w:val="32"/>
          <w:highlight w:val="none"/>
          <w:lang w:eastAsia="zh-CN"/>
        </w:rPr>
        <w:t>大于等于</w:t>
      </w:r>
      <w:r>
        <w:rPr>
          <w:rFonts w:hint="eastAsia" w:ascii="仿宋_GB2312" w:hAnsi="仿宋_GB2312" w:eastAsia="仿宋_GB2312" w:cs="仿宋_GB2312"/>
          <w:bCs/>
          <w:color w:val="auto"/>
          <w:spacing w:val="-4"/>
          <w:sz w:val="32"/>
          <w:szCs w:val="32"/>
          <w:highlight w:val="none"/>
        </w:rPr>
        <w:t>95%，实际完成值为</w:t>
      </w:r>
      <w:r>
        <w:rPr>
          <w:rFonts w:hint="eastAsia" w:ascii="仿宋_GB2312" w:hAnsi="仿宋_GB2312" w:eastAsia="仿宋_GB2312" w:cs="仿宋_GB2312"/>
          <w:bCs/>
          <w:color w:val="auto"/>
          <w:spacing w:val="-4"/>
          <w:sz w:val="32"/>
          <w:szCs w:val="32"/>
          <w:highlight w:val="none"/>
          <w:lang w:val="en-US" w:eastAsia="zh-CN"/>
        </w:rPr>
        <w:t>95</w:t>
      </w:r>
      <w:r>
        <w:rPr>
          <w:rFonts w:hint="eastAsia" w:ascii="仿宋_GB2312" w:hAnsi="仿宋_GB2312" w:eastAsia="仿宋_GB2312" w:cs="仿宋_GB2312"/>
          <w:bCs/>
          <w:color w:val="auto"/>
          <w:spacing w:val="-4"/>
          <w:sz w:val="32"/>
          <w:szCs w:val="32"/>
          <w:highlight w:val="none"/>
        </w:rPr>
        <w:t>%，指标完成率为100.00%。所设分值10分，实际得分10分。</w:t>
      </w:r>
    </w:p>
    <w:p w14:paraId="129C4FF0">
      <w:pPr>
        <w:pStyle w:val="29"/>
        <w:spacing w:beforeLines="0" w:line="560" w:lineRule="exact"/>
        <w:ind w:left="0" w:leftChars="0" w:right="0" w:rightChars="0" w:firstLine="624" w:firstLineChars="200"/>
        <w:rPr>
          <w:rFonts w:hint="eastAsia" w:ascii="仿宋_GB2312" w:hAnsi="仿宋_GB2312" w:eastAsia="仿宋_GB2312" w:cs="仿宋_GB2312"/>
          <w:b w:val="0"/>
          <w:color w:val="auto"/>
          <w:spacing w:val="-4"/>
          <w:sz w:val="32"/>
          <w:szCs w:val="32"/>
          <w:highlight w:val="none"/>
        </w:rPr>
      </w:pPr>
      <w:r>
        <w:rPr>
          <w:rFonts w:hint="eastAsia" w:ascii="仿宋_GB2312" w:hAnsi="仿宋_GB2312" w:eastAsia="仿宋_GB2312" w:cs="仿宋_GB2312"/>
          <w:b w:val="0"/>
          <w:color w:val="auto"/>
          <w:spacing w:val="-4"/>
          <w:sz w:val="32"/>
          <w:szCs w:val="32"/>
          <w:highlight w:val="none"/>
        </w:rPr>
        <w:t>项目实施完成后我单位就该项目的满意度采取抽样发放调查问卷的方式开展调查，通过对调查问卷的梳理和统计，满意度指标综合满意率为</w:t>
      </w:r>
      <w:r>
        <w:rPr>
          <w:rFonts w:hint="eastAsia" w:ascii="仿宋_GB2312" w:hAnsi="仿宋_GB2312" w:eastAsia="仿宋_GB2312" w:cs="仿宋_GB2312"/>
          <w:b w:val="0"/>
          <w:color w:val="auto"/>
          <w:spacing w:val="-4"/>
          <w:sz w:val="32"/>
          <w:szCs w:val="32"/>
          <w:highlight w:val="none"/>
          <w:lang w:val="en-US" w:eastAsia="zh-CN"/>
        </w:rPr>
        <w:t>95</w:t>
      </w:r>
      <w:r>
        <w:rPr>
          <w:rFonts w:hint="eastAsia" w:ascii="仿宋_GB2312" w:hAnsi="仿宋_GB2312" w:eastAsia="仿宋_GB2312" w:cs="仿宋_GB2312"/>
          <w:b w:val="0"/>
          <w:color w:val="auto"/>
          <w:spacing w:val="-4"/>
          <w:sz w:val="32"/>
          <w:szCs w:val="32"/>
          <w:highlight w:val="none"/>
        </w:rPr>
        <w:t>%。</w:t>
      </w:r>
    </w:p>
    <w:p w14:paraId="209FF0E4">
      <w:pPr>
        <w:pStyle w:val="29"/>
        <w:numPr>
          <w:ilvl w:val="0"/>
          <w:numId w:val="1"/>
        </w:numPr>
        <w:spacing w:before="120"/>
        <w:ind w:left="0" w:leftChars="0" w:right="3"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偏离绩效目标的原因和下一步改进措施</w:t>
      </w:r>
    </w:p>
    <w:p w14:paraId="679E5926">
      <w:pPr>
        <w:pStyle w:val="52"/>
        <w:numPr>
          <w:ilvl w:val="0"/>
          <w:numId w:val="2"/>
        </w:numPr>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成本指标-</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“工程建设费用”指标，预期指标值为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eastAsia="仿宋_GB2312" w:cs="仿宋_GB2312"/>
          <w:color w:val="auto"/>
          <w:sz w:val="32"/>
          <w:szCs w:val="32"/>
          <w:highlight w:val="none"/>
        </w:rPr>
        <w:t>698.11万元, 全年实际值为</w:t>
      </w:r>
      <w:r>
        <w:rPr>
          <w:rFonts w:hint="eastAsia" w:ascii="仿宋_GB2312" w:hAnsi="仿宋_GB2312" w:eastAsia="仿宋_GB2312" w:cs="仿宋_GB2312"/>
          <w:color w:val="auto"/>
          <w:sz w:val="32"/>
          <w:szCs w:val="32"/>
          <w:highlight w:val="none"/>
          <w:lang w:val="en-US" w:eastAsia="zh-CN"/>
        </w:rPr>
        <w:t>672.58万元</w:t>
      </w:r>
      <w:r>
        <w:rPr>
          <w:rFonts w:hint="eastAsia" w:ascii="仿宋_GB2312" w:hAnsi="仿宋_GB2312" w:eastAsia="仿宋_GB2312" w:cs="仿宋_GB2312"/>
          <w:color w:val="auto"/>
          <w:sz w:val="32"/>
          <w:szCs w:val="32"/>
          <w:highlight w:val="none"/>
        </w:rPr>
        <w:t>。</w:t>
      </w:r>
    </w:p>
    <w:p w14:paraId="4A2381AE">
      <w:pPr>
        <w:pStyle w:val="52"/>
        <w:numPr>
          <w:ilvl w:val="0"/>
          <w:numId w:val="0"/>
        </w:numPr>
        <w:ind w:right="0" w:rightChars="0" w:firstLine="960" w:firstLineChars="3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偏差原因：项目已完工，相关评估决算已完成，工程节概资金62.25万元。改进措施：加强项目建设资金管理。</w:t>
      </w:r>
    </w:p>
    <w:p w14:paraId="31D04DB1">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“其他费用”指标，预期指标值为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eastAsia="仿宋_GB2312" w:cs="仿宋_GB2312"/>
          <w:color w:val="auto"/>
          <w:sz w:val="32"/>
          <w:szCs w:val="32"/>
          <w:highlight w:val="none"/>
        </w:rPr>
        <w:t>68.88万元, 全年实际值为</w:t>
      </w:r>
      <w:r>
        <w:rPr>
          <w:rFonts w:hint="eastAsia" w:ascii="仿宋_GB2312" w:hAnsi="仿宋_GB2312" w:eastAsia="仿宋_GB2312" w:cs="仿宋_GB2312"/>
          <w:color w:val="auto"/>
          <w:sz w:val="32"/>
          <w:szCs w:val="32"/>
          <w:highlight w:val="none"/>
          <w:lang w:val="en-US" w:eastAsia="zh-CN"/>
        </w:rPr>
        <w:t>55.16万元</w:t>
      </w:r>
      <w:r>
        <w:rPr>
          <w:rFonts w:hint="eastAsia" w:ascii="仿宋_GB2312" w:hAnsi="仿宋_GB2312" w:eastAsia="仿宋_GB2312" w:cs="仿宋_GB2312"/>
          <w:color w:val="auto"/>
          <w:sz w:val="32"/>
          <w:szCs w:val="32"/>
          <w:highlight w:val="none"/>
        </w:rPr>
        <w:t>。</w:t>
      </w:r>
    </w:p>
    <w:p w14:paraId="541CA99E">
      <w:pPr>
        <w:pStyle w:val="52"/>
        <w:ind w:left="0" w:leftChars="0" w:right="0" w:rightChars="0" w:firstLine="960" w:firstLineChars="3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偏差原因：项目已完工，相关评估决算已完成，工程节概资金62.25万元。改进措施：加强项目建设资金管理。</w:t>
      </w:r>
    </w:p>
    <w:p w14:paraId="06F1A9A3">
      <w:pPr>
        <w:pStyle w:val="29"/>
        <w:numPr>
          <w:ilvl w:val="0"/>
          <w:numId w:val="0"/>
        </w:numPr>
        <w:spacing w:before="120"/>
        <w:ind w:right="3" w:rightChars="1"/>
        <w:rPr>
          <w:rFonts w:hint="eastAsia" w:ascii="仿宋_GB2312" w:hAnsi="仿宋_GB2312" w:eastAsia="仿宋_GB2312" w:cs="仿宋_GB2312"/>
          <w:color w:val="auto"/>
          <w:sz w:val="32"/>
          <w:szCs w:val="32"/>
          <w:highlight w:val="none"/>
          <w:lang w:val="en-US" w:eastAsia="zh-CN"/>
        </w:rPr>
      </w:pPr>
    </w:p>
    <w:p w14:paraId="5B145140">
      <w:pPr>
        <w:pStyle w:val="29"/>
        <w:spacing w:before="120"/>
        <w:ind w:left="0" w:leftChars="0" w:right="3"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五、绩效自评结果拟应用和公开情况</w:t>
      </w:r>
    </w:p>
    <w:p w14:paraId="12EB591E">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本次评价通过文件研读、实地调研、数据采集、问卷调查方式下，全面了解于田县斯也克乡克提其村乡村振兴示范村建设项目—人居环境整治资金的使用效率和效果，从而得出以下综合评价结论：在绩效目标方面，本项目共设置一级指标3个，二级指标</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个，三级指标15个，其中已完成三级指标15个，指标完成率为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%；在资金使用方面，严格按照《于田县</w:t>
      </w:r>
      <w:r>
        <w:rPr>
          <w:rFonts w:hint="eastAsia" w:ascii="仿宋_GB2312" w:hAnsi="仿宋_GB2312" w:cs="仿宋_GB2312"/>
          <w:color w:val="auto"/>
          <w:sz w:val="32"/>
          <w:szCs w:val="32"/>
          <w:highlight w:val="none"/>
          <w:lang w:val="en-US" w:eastAsia="zh-CN"/>
        </w:rPr>
        <w:t>衔接</w:t>
      </w:r>
      <w:r>
        <w:rPr>
          <w:rFonts w:hint="eastAsia" w:ascii="仿宋_GB2312" w:hAnsi="仿宋_GB2312" w:eastAsia="仿宋_GB2312" w:cs="仿宋_GB2312"/>
          <w:color w:val="auto"/>
          <w:sz w:val="32"/>
          <w:szCs w:val="32"/>
          <w:highlight w:val="none"/>
        </w:rPr>
        <w:t>资金财务管理制度》、《</w:t>
      </w:r>
      <w:r>
        <w:rPr>
          <w:rFonts w:hint="eastAsia" w:ascii="仿宋_GB2312" w:hAnsi="仿宋_GB2312" w:eastAsia="仿宋_GB2312" w:cs="仿宋_GB2312"/>
          <w:color w:val="auto"/>
          <w:sz w:val="32"/>
          <w:szCs w:val="32"/>
          <w:highlight w:val="none"/>
          <w:lang w:eastAsia="zh-CN"/>
        </w:rPr>
        <w:t>于田县斯也克乡人民政府</w:t>
      </w:r>
      <w:r>
        <w:rPr>
          <w:rFonts w:hint="eastAsia" w:ascii="仿宋_GB2312" w:hAnsi="仿宋_GB2312" w:eastAsia="仿宋_GB2312" w:cs="仿宋_GB2312"/>
          <w:color w:val="auto"/>
          <w:sz w:val="32"/>
          <w:szCs w:val="32"/>
          <w:highlight w:val="none"/>
        </w:rPr>
        <w:t>财务管理制度》执行，保障了资金使用规范、安全，无挪用、截留资金的情况发生。在项目管理方面，制定了《于田县斯也克乡2024年农村污水治理工程建设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1E974E55">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项目最终得分为</w:t>
      </w:r>
      <w:r>
        <w:rPr>
          <w:rFonts w:hint="eastAsia" w:ascii="仿宋_GB2312" w:hAnsi="仿宋_GB2312" w:cs="仿宋_GB2312"/>
          <w:color w:val="auto"/>
          <w:sz w:val="32"/>
          <w:szCs w:val="32"/>
          <w:highlight w:val="none"/>
          <w:lang w:val="en-US" w:eastAsia="zh-CN"/>
        </w:rPr>
        <w:t>97.52</w:t>
      </w:r>
      <w:r>
        <w:rPr>
          <w:rFonts w:hint="eastAsia" w:ascii="仿宋_GB2312" w:hAnsi="仿宋_GB2312" w:eastAsia="仿宋_GB2312" w:cs="仿宋_GB2312"/>
          <w:color w:val="auto"/>
          <w:sz w:val="32"/>
          <w:szCs w:val="32"/>
          <w:highlight w:val="none"/>
        </w:rPr>
        <w:t>分，评价等级为优。</w:t>
      </w:r>
    </w:p>
    <w:p w14:paraId="2D49E81F">
      <w:pPr>
        <w:pStyle w:val="52"/>
        <w:spacing w:line="560" w:lineRule="exact"/>
        <w:ind w:left="3" w:right="3" w:firstLine="554"/>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（一）绩效自评结果拟应用情况</w:t>
      </w:r>
    </w:p>
    <w:p w14:paraId="29B18CB8">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7585463B">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（二）指标佐证材料说明</w:t>
      </w:r>
    </w:p>
    <w:p w14:paraId="3F7E1D36">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项目状况：由</w:t>
      </w:r>
      <w:r>
        <w:rPr>
          <w:rFonts w:hint="eastAsia" w:ascii="仿宋_GB2312" w:hAnsi="仿宋_GB2312" w:eastAsia="仿宋_GB2312" w:cs="仿宋_GB2312"/>
          <w:color w:val="auto"/>
          <w:sz w:val="32"/>
          <w:szCs w:val="32"/>
          <w:highlight w:val="none"/>
          <w:lang w:eastAsia="zh-CN"/>
        </w:rPr>
        <w:t>于田县斯也克乡人民政府</w:t>
      </w:r>
      <w:r>
        <w:rPr>
          <w:rFonts w:hint="eastAsia" w:ascii="仿宋_GB2312" w:hAnsi="仿宋_GB2312" w:eastAsia="仿宋_GB2312" w:cs="仿宋_GB2312"/>
          <w:color w:val="auto"/>
          <w:sz w:val="32"/>
          <w:szCs w:val="32"/>
          <w:highlight w:val="none"/>
        </w:rPr>
        <w:t>负责项目的实施方案，并由</w:t>
      </w:r>
      <w:r>
        <w:rPr>
          <w:rFonts w:hint="eastAsia" w:ascii="仿宋_GB2312" w:hAnsi="仿宋_GB2312" w:eastAsia="仿宋_GB2312" w:cs="仿宋_GB2312"/>
          <w:color w:val="auto"/>
          <w:sz w:val="32"/>
          <w:szCs w:val="32"/>
          <w:highlight w:val="none"/>
          <w:lang w:eastAsia="zh-CN"/>
        </w:rPr>
        <w:t>于田县</w:t>
      </w:r>
      <w:r>
        <w:rPr>
          <w:rFonts w:hint="eastAsia" w:ascii="仿宋_GB2312" w:hAnsi="仿宋_GB2312" w:eastAsia="仿宋_GB2312" w:cs="仿宋_GB2312"/>
          <w:color w:val="auto"/>
          <w:sz w:val="32"/>
          <w:szCs w:val="32"/>
          <w:highlight w:val="none"/>
          <w:lang w:val="en-US" w:eastAsia="zh-CN"/>
        </w:rPr>
        <w:t>发展和改革委员会</w:t>
      </w:r>
      <w:r>
        <w:rPr>
          <w:rFonts w:hint="eastAsia" w:ascii="仿宋_GB2312" w:hAnsi="仿宋_GB2312" w:cs="仿宋_GB2312"/>
          <w:color w:val="auto"/>
          <w:sz w:val="32"/>
          <w:szCs w:val="32"/>
          <w:highlight w:val="none"/>
          <w:lang w:val="en-US" w:eastAsia="zh-CN"/>
        </w:rPr>
        <w:t>下</w:t>
      </w:r>
      <w:r>
        <w:rPr>
          <w:rFonts w:hint="eastAsia" w:ascii="仿宋_GB2312" w:hAnsi="仿宋_GB2312" w:eastAsia="仿宋_GB2312" w:cs="仿宋_GB2312"/>
          <w:color w:val="auto"/>
          <w:sz w:val="32"/>
          <w:szCs w:val="32"/>
          <w:highlight w:val="none"/>
        </w:rPr>
        <w:t>发了《关于对于田县斯也克乡2024年农村污水治理工程建设项目</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的批复》（于</w:t>
      </w:r>
      <w:r>
        <w:rPr>
          <w:rFonts w:hint="eastAsia" w:ascii="仿宋_GB2312" w:hAnsi="仿宋_GB2312" w:eastAsia="仿宋_GB2312" w:cs="仿宋_GB2312"/>
          <w:color w:val="auto"/>
          <w:sz w:val="32"/>
          <w:szCs w:val="32"/>
          <w:highlight w:val="none"/>
          <w:lang w:val="en-US" w:eastAsia="zh-CN"/>
        </w:rPr>
        <w:t>发改项目</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号）。</w:t>
      </w:r>
    </w:p>
    <w:p w14:paraId="031423CF">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资金状况：预算资金来源为</w:t>
      </w:r>
      <w:r>
        <w:rPr>
          <w:rFonts w:hint="eastAsia" w:ascii="仿宋_GB2312" w:hAnsi="仿宋_GB2312" w:cs="仿宋_GB2312"/>
          <w:color w:val="auto"/>
          <w:sz w:val="32"/>
          <w:szCs w:val="32"/>
          <w:highlight w:val="none"/>
          <w:lang w:val="en-US" w:eastAsia="zh-CN"/>
        </w:rPr>
        <w:t>乡村衔接</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rPr>
        <w:t>，文件依据：《关于对于田县斯也克乡2024年农村污水治理工程建设项目</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的批复》（于</w:t>
      </w:r>
      <w:r>
        <w:rPr>
          <w:rFonts w:hint="eastAsia" w:ascii="仿宋_GB2312" w:hAnsi="仿宋_GB2312" w:eastAsia="仿宋_GB2312" w:cs="仿宋_GB2312"/>
          <w:color w:val="auto"/>
          <w:sz w:val="32"/>
          <w:szCs w:val="32"/>
          <w:highlight w:val="none"/>
          <w:lang w:val="en-US" w:eastAsia="zh-CN"/>
        </w:rPr>
        <w:t>发改项目</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号）</w:t>
      </w:r>
    </w:p>
    <w:p w14:paraId="58AB32A7">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过程状况：该项目于202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月制订</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并得到批复，202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月发布招标公告进行招标，202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月完工。</w:t>
      </w:r>
    </w:p>
    <w:p w14:paraId="6996C183">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结果状况：</w:t>
      </w:r>
      <w:r>
        <w:rPr>
          <w:rFonts w:hint="eastAsia" w:ascii="仿宋_GB2312" w:hAnsi="仿宋_GB2312" w:eastAsia="仿宋_GB2312" w:cs="仿宋_GB2312"/>
          <w:color w:val="auto"/>
          <w:sz w:val="32"/>
          <w:szCs w:val="32"/>
          <w:highlight w:val="none"/>
          <w:lang w:val="en-US" w:eastAsia="zh-CN"/>
        </w:rPr>
        <w:t>2024年6</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28</w:t>
      </w:r>
      <w:r>
        <w:rPr>
          <w:rFonts w:hint="eastAsia" w:ascii="仿宋_GB2312" w:hAnsi="仿宋_GB2312" w:eastAsia="仿宋_GB2312" w:cs="仿宋_GB2312"/>
          <w:color w:val="auto"/>
          <w:sz w:val="32"/>
          <w:szCs w:val="32"/>
          <w:highlight w:val="none"/>
        </w:rPr>
        <w:t>日于田县发展和改革委员会，于田县乡村振兴局，财政局，</w:t>
      </w:r>
      <w:r>
        <w:rPr>
          <w:rFonts w:hint="eastAsia" w:ascii="仿宋_GB2312" w:hAnsi="仿宋_GB2312" w:eastAsia="仿宋_GB2312" w:cs="仿宋_GB2312"/>
          <w:color w:val="auto"/>
          <w:sz w:val="32"/>
          <w:szCs w:val="32"/>
          <w:highlight w:val="none"/>
          <w:lang w:eastAsia="zh-CN"/>
        </w:rPr>
        <w:t>农业农村局，于田县斯也克乡人民政府</w:t>
      </w:r>
      <w:r>
        <w:rPr>
          <w:rFonts w:hint="eastAsia" w:ascii="仿宋_GB2312" w:hAnsi="仿宋_GB2312" w:eastAsia="仿宋_GB2312" w:cs="仿宋_GB2312"/>
          <w:color w:val="auto"/>
          <w:sz w:val="32"/>
          <w:szCs w:val="32"/>
          <w:highlight w:val="none"/>
        </w:rPr>
        <w:t>和参建单位联合竣工验收结果状况：合格。</w:t>
      </w:r>
    </w:p>
    <w:p w14:paraId="45654E82">
      <w:pPr>
        <w:pStyle w:val="52"/>
        <w:spacing w:line="560" w:lineRule="exact"/>
        <w:ind w:left="3" w:right="3" w:firstLine="562"/>
        <w:rPr>
          <w:rStyle w:val="19"/>
          <w:rFonts w:hint="eastAsia" w:ascii="仿宋_GB2312" w:hAnsi="仿宋_GB2312" w:eastAsia="仿宋_GB2312" w:cs="仿宋_GB2312"/>
          <w:color w:val="auto"/>
          <w:sz w:val="32"/>
          <w:szCs w:val="32"/>
          <w:highlight w:val="none"/>
        </w:rPr>
      </w:pPr>
      <w:r>
        <w:rPr>
          <w:rStyle w:val="19"/>
          <w:rFonts w:hint="eastAsia" w:ascii="仿宋_GB2312" w:hAnsi="仿宋_GB2312" w:eastAsia="仿宋_GB2312" w:cs="仿宋_GB2312"/>
          <w:color w:val="auto"/>
          <w:sz w:val="32"/>
          <w:szCs w:val="32"/>
          <w:highlight w:val="none"/>
        </w:rPr>
        <w:t>（三）主要经验及做法</w:t>
      </w:r>
    </w:p>
    <w:p w14:paraId="6E39703B">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于田县斯也克乡2024年农村污水治理工程建设项目资金安排、使用过程中严格执行乡村振兴项目资金管理制度，确保乡村振兴项目正常运行为构建长效稳定奠定物质基础。</w:t>
      </w:r>
    </w:p>
    <w:p w14:paraId="576B151B">
      <w:pPr>
        <w:spacing w:line="560" w:lineRule="exact"/>
        <w:ind w:firstLine="643" w:firstLineChars="200"/>
        <w:rPr>
          <w:rStyle w:val="19"/>
          <w:rFonts w:hint="eastAsia" w:ascii="仿宋_GB2312" w:hAnsi="仿宋_GB2312" w:eastAsia="仿宋_GB2312" w:cs="仿宋_GB2312"/>
          <w:color w:val="auto"/>
          <w:sz w:val="32"/>
          <w:szCs w:val="32"/>
          <w:highlight w:val="none"/>
        </w:rPr>
      </w:pPr>
      <w:r>
        <w:rPr>
          <w:rStyle w:val="19"/>
          <w:rFonts w:hint="eastAsia" w:ascii="仿宋_GB2312" w:hAnsi="仿宋_GB2312" w:eastAsia="仿宋_GB2312" w:cs="仿宋_GB2312"/>
          <w:color w:val="auto"/>
          <w:sz w:val="32"/>
          <w:szCs w:val="32"/>
          <w:highlight w:val="none"/>
        </w:rPr>
        <w:t>（四）存在的问题</w:t>
      </w:r>
    </w:p>
    <w:p w14:paraId="75C0BE38">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于田县斯也克乡2024年农村污水治理工程建设项目资金安排、使用过程中存在一些问题，主要是资金申报，审批，发放过程中存在对资金拨付缓慢问题。</w:t>
      </w:r>
    </w:p>
    <w:p w14:paraId="56D91CE1">
      <w:pPr>
        <w:spacing w:line="560" w:lineRule="exact"/>
        <w:ind w:firstLine="643" w:firstLineChars="200"/>
        <w:rPr>
          <w:rStyle w:val="19"/>
          <w:rFonts w:hint="eastAsia" w:ascii="仿宋_GB2312" w:hAnsi="仿宋_GB2312" w:eastAsia="仿宋_GB2312" w:cs="仿宋_GB2312"/>
          <w:color w:val="auto"/>
          <w:sz w:val="32"/>
          <w:szCs w:val="32"/>
          <w:highlight w:val="none"/>
        </w:rPr>
      </w:pPr>
      <w:r>
        <w:rPr>
          <w:rStyle w:val="19"/>
          <w:rFonts w:hint="eastAsia" w:ascii="仿宋_GB2312" w:hAnsi="仿宋_GB2312" w:eastAsia="仿宋_GB2312" w:cs="仿宋_GB2312"/>
          <w:color w:val="auto"/>
          <w:sz w:val="32"/>
          <w:szCs w:val="32"/>
          <w:highlight w:val="none"/>
        </w:rPr>
        <w:t>（五）建议</w:t>
      </w:r>
    </w:p>
    <w:p w14:paraId="4C1BC407">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068A513F">
      <w:pPr>
        <w:spacing w:line="560" w:lineRule="exact"/>
        <w:ind w:firstLine="643" w:firstLineChars="200"/>
        <w:rPr>
          <w:rStyle w:val="19"/>
          <w:rFonts w:hint="eastAsia" w:ascii="仿宋_GB2312" w:hAnsi="仿宋_GB2312" w:eastAsia="仿宋_GB2312" w:cs="仿宋_GB2312"/>
          <w:color w:val="auto"/>
          <w:sz w:val="32"/>
          <w:szCs w:val="32"/>
          <w:highlight w:val="none"/>
        </w:rPr>
      </w:pPr>
      <w:r>
        <w:rPr>
          <w:rStyle w:val="19"/>
          <w:rFonts w:hint="eastAsia" w:ascii="仿宋_GB2312" w:hAnsi="仿宋_GB2312" w:eastAsia="仿宋_GB2312" w:cs="仿宋_GB2312"/>
          <w:color w:val="auto"/>
          <w:sz w:val="32"/>
          <w:szCs w:val="32"/>
          <w:highlight w:val="none"/>
        </w:rPr>
        <w:t>（六）项目绩效公告公示情况</w:t>
      </w:r>
    </w:p>
    <w:p w14:paraId="1DE03471">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0008DBAB">
        <w:pPr>
          <w:pStyle w:val="13"/>
          <w:jc w:val="center"/>
        </w:pPr>
        <w:r>
          <w:fldChar w:fldCharType="begin"/>
        </w:r>
        <w:r>
          <w:instrText xml:space="preserve">PAGE   \* MERGEFORMAT</w:instrText>
        </w:r>
        <w:r>
          <w:fldChar w:fldCharType="separate"/>
        </w:r>
        <w:r>
          <w:rPr>
            <w:lang w:val="zh-CN"/>
          </w:rPr>
          <w:t>1</w:t>
        </w:r>
        <w:r>
          <w:fldChar w:fldCharType="end"/>
        </w:r>
      </w:p>
    </w:sdtContent>
  </w:sdt>
  <w:p w14:paraId="4AF8E06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8FD0C">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93D0E9"/>
    <w:multiLevelType w:val="singleLevel"/>
    <w:tmpl w:val="1B93D0E9"/>
    <w:lvl w:ilvl="0" w:tentative="0">
      <w:start w:val="1"/>
      <w:numFmt w:val="decimal"/>
      <w:lvlText w:val="%1."/>
      <w:lvlJc w:val="left"/>
      <w:pPr>
        <w:tabs>
          <w:tab w:val="left" w:pos="312"/>
        </w:tabs>
      </w:pPr>
    </w:lvl>
  </w:abstractNum>
  <w:abstractNum w:abstractNumId="1">
    <w:nsid w:val="3D9D8A64"/>
    <w:multiLevelType w:val="singleLevel"/>
    <w:tmpl w:val="3D9D8A64"/>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4"/>
  </w:compat>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6622"/>
    <w:rsid w:val="00303872"/>
    <w:rsid w:val="00343C8B"/>
    <w:rsid w:val="0035619D"/>
    <w:rsid w:val="0036579B"/>
    <w:rsid w:val="0037545E"/>
    <w:rsid w:val="003B103E"/>
    <w:rsid w:val="003B2066"/>
    <w:rsid w:val="003B45C2"/>
    <w:rsid w:val="003D6089"/>
    <w:rsid w:val="003F7CD3"/>
    <w:rsid w:val="00407329"/>
    <w:rsid w:val="0042774A"/>
    <w:rsid w:val="00433105"/>
    <w:rsid w:val="0043529B"/>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C105D"/>
    <w:rsid w:val="009C2529"/>
    <w:rsid w:val="009D11ED"/>
    <w:rsid w:val="00A1755C"/>
    <w:rsid w:val="00A20A41"/>
    <w:rsid w:val="00A233B8"/>
    <w:rsid w:val="00A2767E"/>
    <w:rsid w:val="00A2793F"/>
    <w:rsid w:val="00A416AC"/>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6C44"/>
    <w:rsid w:val="00E72FF5"/>
    <w:rsid w:val="00E952C7"/>
    <w:rsid w:val="00EB734B"/>
    <w:rsid w:val="00EE2F0B"/>
    <w:rsid w:val="00F4497B"/>
    <w:rsid w:val="00F52D23"/>
    <w:rsid w:val="00F66291"/>
    <w:rsid w:val="00F66C47"/>
    <w:rsid w:val="00F74F64"/>
    <w:rsid w:val="00F75FFF"/>
    <w:rsid w:val="00F83581"/>
    <w:rsid w:val="00FB7553"/>
    <w:rsid w:val="00FD470D"/>
    <w:rsid w:val="00FD4E1C"/>
    <w:rsid w:val="00FD65BA"/>
    <w:rsid w:val="00FE1B50"/>
    <w:rsid w:val="00FF1109"/>
    <w:rsid w:val="043E6CE7"/>
    <w:rsid w:val="0F751001"/>
    <w:rsid w:val="12215A87"/>
    <w:rsid w:val="173077A4"/>
    <w:rsid w:val="1A292A32"/>
    <w:rsid w:val="239B0D62"/>
    <w:rsid w:val="28D670E1"/>
    <w:rsid w:val="3159151A"/>
    <w:rsid w:val="46CC1985"/>
    <w:rsid w:val="4A6672B3"/>
    <w:rsid w:val="4B6A4B2F"/>
    <w:rsid w:val="508E05AB"/>
    <w:rsid w:val="57552331"/>
    <w:rsid w:val="59CB063B"/>
    <w:rsid w:val="5C7743CE"/>
    <w:rsid w:val="5FD72021"/>
    <w:rsid w:val="66000E2A"/>
    <w:rsid w:val="719C6401"/>
    <w:rsid w:val="737A4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2">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3"/>
    <w:qFormat/>
    <w:locked/>
    <w:uiPriority w:val="9"/>
    <w:rPr>
      <w:b/>
      <w:bCs/>
      <w:kern w:val="44"/>
      <w:sz w:val="44"/>
      <w:szCs w:val="44"/>
    </w:rPr>
  </w:style>
  <w:style w:type="character" w:customStyle="1" w:styleId="22">
    <w:name w:val="标题 2 Char"/>
    <w:basedOn w:val="18"/>
    <w:link w:val="4"/>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2"/>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3"/>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4"/>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2"/>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2" w:firstLineChars="200"/>
      <w:jc w:val="left"/>
    </w:pPr>
    <w:rPr>
      <w:rFonts w:ascii="仿宋_GB2312" w:hAnsi="宋体" w:eastAsia="仿宋_GB2312" w:cstheme="minorBidi"/>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9F783-16C6-4687-A9CD-26DA95EC4223}">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6506</Words>
  <Characters>7096</Characters>
  <Lines>52</Lines>
  <Paragraphs>14</Paragraphs>
  <TotalTime>4</TotalTime>
  <ScaleCrop>false</ScaleCrop>
  <LinksUpToDate>false</LinksUpToDate>
  <CharactersWithSpaces>7230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cp:lastPrinted>2023-01-08T16:37:00Z</cp:lastPrinted>
  <dcterms:modified xsi:type="dcterms:W3CDTF">2025-12-15T09:48:44Z</dcterms:modified>
  <dc:title>C:\Users\Xueyang\Desktop\170号自评报告\57.艾力西湖镇巴扎（10）村花卉生产基地配套建设项目绩效自评报告.xlsx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eyJoZGlkIjoiY2RlOGExMTJjOWFmYjNiZTJjMWUwNDM2NWFmZTM5NmEiLCJ1c2VySWQiOiIxMTAwNDE5NzU4In0=</vt:lpwstr>
  </property>
  <property fmtid="{D5CDD505-2E9C-101B-9397-08002B2CF9AE}" pid="4" name="ICV">
    <vt:lpwstr>CEBC4C4DB87F4EA2AF98F3C4DDD416D8_12</vt:lpwstr>
  </property>
</Properties>
</file>