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5046AA99">
      <w:pPr>
        <w:spacing w:before="120" w:after="120" w:line="480" w:lineRule="auto"/>
        <w:ind w:firstLine="643" w:firstLineChars="200"/>
        <w:jc w:val="center"/>
        <w:outlineLvl w:val="0"/>
        <w:rPr>
          <w:rFonts w:hint="eastAsia" w:ascii="仿宋_GB2312" w:hAnsi="仿宋_GB2312" w:eastAsia="仿宋_GB2312" w:cs="仿宋_GB2312"/>
          <w:b/>
          <w:color w:val="auto"/>
          <w:sz w:val="32"/>
          <w:szCs w:val="32"/>
          <w:highlight w:val="none"/>
          <w:lang w:val="en-US" w:eastAsia="zh-CN"/>
        </w:rPr>
      </w:pPr>
      <w:r>
        <w:rPr>
          <w:rFonts w:hint="eastAsia" w:ascii="仿宋_GB2312" w:hAnsi="仿宋_GB2312" w:eastAsia="仿宋_GB2312" w:cs="仿宋_GB2312"/>
          <w:b/>
          <w:color w:val="auto"/>
          <w:sz w:val="32"/>
          <w:szCs w:val="32"/>
          <w:highlight w:val="none"/>
          <w:lang w:val="en-US" w:eastAsia="zh-CN"/>
        </w:rPr>
        <w:t xml:space="preserve"> </w:t>
      </w:r>
    </w:p>
    <w:p w14:paraId="78122D18">
      <w:pPr>
        <w:jc w:val="center"/>
        <w:rPr>
          <w:rFonts w:ascii="方正大标宋简体" w:hAnsi="华文中宋" w:eastAsia="方正大标宋简体" w:cs="宋体"/>
          <w:kern w:val="0"/>
          <w:sz w:val="52"/>
          <w:szCs w:val="52"/>
        </w:rPr>
      </w:pPr>
      <w:r>
        <w:rPr>
          <w:rFonts w:hint="eastAsia" w:ascii="方正大标宋简体" w:hAnsi="华文中宋" w:eastAsia="方正大标宋简体" w:cs="宋体"/>
          <w:kern w:val="0"/>
          <w:sz w:val="52"/>
          <w:szCs w:val="52"/>
        </w:rPr>
        <w:t>和田地区于田县乡村振兴衔接资金项目支出绩效自评报告</w:t>
      </w:r>
    </w:p>
    <w:p w14:paraId="2AC6196D">
      <w:pPr>
        <w:spacing w:line="700" w:lineRule="exact"/>
        <w:ind w:firstLine="803" w:firstLineChars="200"/>
        <w:jc w:val="center"/>
        <w:rPr>
          <w:rFonts w:hint="eastAsia" w:ascii="仿宋_GB2312" w:hAnsi="仿宋_GB2312" w:eastAsia="仿宋_GB2312" w:cs="仿宋_GB2312"/>
          <w:b/>
          <w:bCs w:val="0"/>
          <w:color w:val="auto"/>
          <w:kern w:val="0"/>
          <w:sz w:val="40"/>
          <w:szCs w:val="40"/>
          <w:highlight w:val="none"/>
        </w:rPr>
      </w:pPr>
    </w:p>
    <w:p w14:paraId="0F361684">
      <w:pPr>
        <w:spacing w:line="540" w:lineRule="exact"/>
        <w:ind w:firstLine="803" w:firstLineChars="200"/>
        <w:jc w:val="center"/>
        <w:rPr>
          <w:rFonts w:hint="eastAsia" w:ascii="仿宋_GB2312" w:hAnsi="仿宋_GB2312" w:eastAsia="仿宋_GB2312" w:cs="仿宋_GB2312"/>
          <w:b/>
          <w:bCs w:val="0"/>
          <w:color w:val="auto"/>
          <w:kern w:val="0"/>
          <w:sz w:val="40"/>
          <w:szCs w:val="40"/>
          <w:highlight w:val="none"/>
        </w:rPr>
      </w:pPr>
      <w:r>
        <w:rPr>
          <w:rFonts w:hint="eastAsia" w:ascii="仿宋_GB2312" w:hAnsi="仿宋_GB2312" w:eastAsia="仿宋_GB2312" w:cs="仿宋_GB2312"/>
          <w:b/>
          <w:bCs w:val="0"/>
          <w:color w:val="auto"/>
          <w:kern w:val="0"/>
          <w:sz w:val="40"/>
          <w:szCs w:val="40"/>
          <w:highlight w:val="none"/>
        </w:rPr>
        <w:t>（202</w:t>
      </w:r>
      <w:r>
        <w:rPr>
          <w:rFonts w:hint="eastAsia" w:ascii="仿宋_GB2312" w:hAnsi="仿宋_GB2312" w:eastAsia="仿宋_GB2312" w:cs="仿宋_GB2312"/>
          <w:b/>
          <w:bCs w:val="0"/>
          <w:color w:val="auto"/>
          <w:kern w:val="0"/>
          <w:sz w:val="40"/>
          <w:szCs w:val="40"/>
          <w:highlight w:val="none"/>
          <w:lang w:val="en-US" w:eastAsia="zh-CN"/>
        </w:rPr>
        <w:t>4</w:t>
      </w:r>
      <w:r>
        <w:rPr>
          <w:rFonts w:hint="eastAsia" w:ascii="仿宋_GB2312" w:hAnsi="仿宋_GB2312" w:eastAsia="仿宋_GB2312" w:cs="仿宋_GB2312"/>
          <w:b/>
          <w:bCs w:val="0"/>
          <w:color w:val="auto"/>
          <w:kern w:val="0"/>
          <w:sz w:val="40"/>
          <w:szCs w:val="40"/>
          <w:highlight w:val="none"/>
        </w:rPr>
        <w:t>年度）</w:t>
      </w:r>
    </w:p>
    <w:p w14:paraId="5A8BA566">
      <w:pPr>
        <w:spacing w:line="540" w:lineRule="exact"/>
        <w:ind w:firstLine="640" w:firstLineChars="200"/>
        <w:jc w:val="center"/>
        <w:rPr>
          <w:rFonts w:hint="eastAsia" w:ascii="仿宋_GB2312" w:hAnsi="仿宋_GB2312" w:eastAsia="仿宋_GB2312" w:cs="仿宋_GB2312"/>
          <w:color w:val="auto"/>
          <w:kern w:val="0"/>
          <w:sz w:val="32"/>
          <w:szCs w:val="32"/>
          <w:highlight w:val="none"/>
        </w:rPr>
      </w:pPr>
    </w:p>
    <w:p w14:paraId="51BB21F3">
      <w:pPr>
        <w:spacing w:line="540" w:lineRule="exact"/>
        <w:ind w:firstLine="640" w:firstLineChars="200"/>
        <w:jc w:val="center"/>
        <w:rPr>
          <w:rFonts w:hint="eastAsia" w:ascii="仿宋_GB2312" w:hAnsi="仿宋_GB2312" w:eastAsia="仿宋_GB2312" w:cs="仿宋_GB2312"/>
          <w:color w:val="auto"/>
          <w:kern w:val="0"/>
          <w:sz w:val="32"/>
          <w:szCs w:val="32"/>
          <w:highlight w:val="none"/>
        </w:rPr>
      </w:pPr>
    </w:p>
    <w:p w14:paraId="36EFDE24">
      <w:pPr>
        <w:spacing w:line="540" w:lineRule="exact"/>
        <w:ind w:firstLine="640" w:firstLineChars="200"/>
        <w:jc w:val="center"/>
        <w:rPr>
          <w:rFonts w:hint="eastAsia" w:ascii="仿宋_GB2312" w:hAnsi="仿宋_GB2312" w:eastAsia="仿宋_GB2312" w:cs="仿宋_GB2312"/>
          <w:color w:val="auto"/>
          <w:kern w:val="0"/>
          <w:sz w:val="32"/>
          <w:szCs w:val="32"/>
          <w:highlight w:val="none"/>
        </w:rPr>
      </w:pPr>
    </w:p>
    <w:p w14:paraId="5E1F963F">
      <w:pPr>
        <w:spacing w:line="540" w:lineRule="exact"/>
        <w:ind w:firstLine="640" w:firstLineChars="200"/>
        <w:jc w:val="center"/>
        <w:rPr>
          <w:rFonts w:hint="eastAsia" w:ascii="仿宋_GB2312" w:hAnsi="仿宋_GB2312" w:eastAsia="仿宋_GB2312" w:cs="仿宋_GB2312"/>
          <w:color w:val="auto"/>
          <w:kern w:val="0"/>
          <w:sz w:val="32"/>
          <w:szCs w:val="32"/>
          <w:highlight w:val="none"/>
        </w:rPr>
      </w:pPr>
    </w:p>
    <w:p w14:paraId="47C6D8C3">
      <w:pPr>
        <w:spacing w:line="540" w:lineRule="exact"/>
        <w:ind w:firstLine="640" w:firstLineChars="200"/>
        <w:rPr>
          <w:rFonts w:hint="eastAsia" w:ascii="仿宋_GB2312" w:hAnsi="仿宋_GB2312" w:eastAsia="仿宋_GB2312" w:cs="仿宋_GB2312"/>
          <w:color w:val="auto"/>
          <w:kern w:val="0"/>
          <w:sz w:val="32"/>
          <w:szCs w:val="32"/>
          <w:highlight w:val="none"/>
        </w:rPr>
      </w:pPr>
    </w:p>
    <w:p w14:paraId="55119B1D">
      <w:pPr>
        <w:spacing w:line="540" w:lineRule="exact"/>
        <w:ind w:firstLine="640" w:firstLineChars="200"/>
        <w:rPr>
          <w:rFonts w:hint="eastAsia" w:ascii="仿宋_GB2312" w:hAnsi="仿宋_GB2312" w:eastAsia="仿宋_GB2312" w:cs="仿宋_GB2312"/>
          <w:color w:val="auto"/>
          <w:kern w:val="0"/>
          <w:sz w:val="32"/>
          <w:szCs w:val="32"/>
          <w:highlight w:val="none"/>
        </w:rPr>
      </w:pPr>
    </w:p>
    <w:p w14:paraId="6C46EAE2">
      <w:pPr>
        <w:spacing w:line="360" w:lineRule="auto"/>
        <w:ind w:left="640" w:leftChars="200" w:firstLine="640" w:firstLineChars="200"/>
        <w:rPr>
          <w:rFonts w:hint="eastAsia" w:ascii="仿宋_GB2312" w:hAnsi="仿宋_GB2312" w:eastAsia="仿宋_GB2312" w:cs="仿宋_GB2312"/>
          <w:color w:val="auto"/>
          <w:sz w:val="32"/>
          <w:szCs w:val="32"/>
          <w:highlight w:val="none"/>
        </w:rPr>
      </w:pPr>
    </w:p>
    <w:p w14:paraId="353CECFC">
      <w:pPr>
        <w:spacing w:line="360" w:lineRule="auto"/>
        <w:ind w:left="640" w:leftChars="200" w:firstLine="640" w:firstLineChars="200"/>
        <w:rPr>
          <w:rFonts w:hint="eastAsia" w:ascii="仿宋_GB2312" w:hAnsi="仿宋_GB2312" w:eastAsia="仿宋_GB2312" w:cs="仿宋_GB2312"/>
          <w:color w:val="auto"/>
          <w:sz w:val="32"/>
          <w:szCs w:val="32"/>
          <w:highlight w:val="none"/>
        </w:rPr>
      </w:pPr>
    </w:p>
    <w:p w14:paraId="6F88A311">
      <w:pPr>
        <w:spacing w:line="560" w:lineRule="exact"/>
        <w:ind w:left="640" w:leftChars="200" w:firstLine="640" w:firstLineChars="200"/>
        <w:rPr>
          <w:rFonts w:hint="eastAsia" w:ascii="仿宋_GB2312" w:hAnsi="仿宋_GB2312" w:eastAsia="仿宋_GB2312" w:cs="仿宋_GB2312"/>
          <w:color w:val="auto"/>
          <w:sz w:val="32"/>
          <w:szCs w:val="32"/>
          <w:highlight w:val="none"/>
        </w:rPr>
      </w:pPr>
    </w:p>
    <w:p w14:paraId="4360D3A2">
      <w:pPr>
        <w:spacing w:line="560" w:lineRule="exact"/>
        <w:ind w:left="3200" w:leftChars="200" w:hanging="2560" w:hangingChars="8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项  目  名  称:</w:t>
      </w:r>
      <w:r>
        <w:rPr>
          <w:rFonts w:hint="eastAsia" w:ascii="仿宋_GB2312" w:hAnsi="仿宋_GB2312" w:eastAsia="仿宋_GB2312" w:cs="仿宋_GB2312"/>
          <w:bCs/>
          <w:color w:val="auto"/>
          <w:kern w:val="0"/>
          <w:sz w:val="32"/>
          <w:szCs w:val="32"/>
          <w:highlight w:val="none"/>
        </w:rPr>
        <w:t>于田县斯也克乡葡萄基地沉砂池及附属设施建设项目</w:t>
      </w:r>
    </w:p>
    <w:p w14:paraId="60F9B84A">
      <w:pPr>
        <w:spacing w:line="560" w:lineRule="exact"/>
        <w:ind w:firstLine="640" w:firstLineChars="200"/>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rPr>
        <w:t>实施单位(公章):</w:t>
      </w:r>
      <w:r>
        <w:rPr>
          <w:rFonts w:hint="eastAsia" w:ascii="仿宋_GB2312" w:hAnsi="仿宋_GB2312" w:eastAsia="仿宋_GB2312" w:cs="仿宋_GB2312"/>
          <w:color w:val="auto"/>
          <w:sz w:val="32"/>
          <w:szCs w:val="32"/>
          <w:highlight w:val="none"/>
          <w:lang w:eastAsia="zh-CN"/>
        </w:rPr>
        <w:t>于田县斯也克乡人民政府</w:t>
      </w:r>
    </w:p>
    <w:p w14:paraId="6D885B85">
      <w:pPr>
        <w:spacing w:line="560" w:lineRule="exact"/>
        <w:ind w:firstLine="640" w:firstLineChars="200"/>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rPr>
        <w:t>主管部门(公章):于田县</w:t>
      </w:r>
      <w:r>
        <w:rPr>
          <w:rFonts w:hint="eastAsia" w:ascii="仿宋_GB2312" w:hAnsi="仿宋_GB2312" w:eastAsia="仿宋_GB2312" w:cs="仿宋_GB2312"/>
          <w:color w:val="auto"/>
          <w:sz w:val="32"/>
          <w:szCs w:val="32"/>
          <w:highlight w:val="none"/>
          <w:lang w:val="en-US" w:eastAsia="zh-CN"/>
        </w:rPr>
        <w:t>发展和改革委员会</w:t>
      </w:r>
    </w:p>
    <w:p w14:paraId="295DDCC8">
      <w:pPr>
        <w:spacing w:line="560" w:lineRule="exact"/>
        <w:ind w:firstLine="640" w:firstLineChars="200"/>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rPr>
        <w:t>项目负责人(签章):</w:t>
      </w:r>
      <w:r>
        <w:rPr>
          <w:rFonts w:hint="eastAsia" w:ascii="仿宋_GB2312" w:hAnsi="仿宋_GB2312" w:eastAsia="仿宋_GB2312" w:cs="仿宋_GB2312"/>
          <w:color w:val="auto"/>
          <w:sz w:val="32"/>
          <w:szCs w:val="32"/>
          <w:highlight w:val="none"/>
          <w:lang w:eastAsia="zh-CN"/>
        </w:rPr>
        <w:t>王立杰</w:t>
      </w:r>
    </w:p>
    <w:p w14:paraId="224B23E0">
      <w:pPr>
        <w:spacing w:line="56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填  报  时  间:202</w:t>
      </w:r>
      <w:r>
        <w:rPr>
          <w:rFonts w:hint="eastAsia" w:ascii="仿宋_GB2312" w:hAnsi="仿宋_GB2312" w:eastAsia="仿宋_GB2312" w:cs="仿宋_GB2312"/>
          <w:color w:val="auto"/>
          <w:sz w:val="32"/>
          <w:szCs w:val="32"/>
          <w:highlight w:val="none"/>
          <w:lang w:val="en-US" w:eastAsia="zh-CN"/>
        </w:rPr>
        <w:t>5</w:t>
      </w:r>
      <w:r>
        <w:rPr>
          <w:rFonts w:hint="eastAsia" w:ascii="仿宋_GB2312" w:hAnsi="仿宋_GB2312" w:eastAsia="仿宋_GB2312" w:cs="仿宋_GB2312"/>
          <w:color w:val="auto"/>
          <w:sz w:val="32"/>
          <w:szCs w:val="32"/>
          <w:highlight w:val="none"/>
        </w:rPr>
        <w:t>年</w:t>
      </w: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rPr>
        <w:t>月</w:t>
      </w:r>
      <w:r>
        <w:rPr>
          <w:rFonts w:hint="eastAsia" w:ascii="仿宋_GB2312" w:hAnsi="仿宋_GB2312" w:eastAsia="仿宋_GB2312" w:cs="仿宋_GB2312"/>
          <w:color w:val="auto"/>
          <w:sz w:val="32"/>
          <w:szCs w:val="32"/>
          <w:highlight w:val="none"/>
          <w:lang w:val="en-US" w:eastAsia="zh-CN"/>
        </w:rPr>
        <w:t>20</w:t>
      </w:r>
      <w:r>
        <w:rPr>
          <w:rFonts w:hint="eastAsia" w:ascii="仿宋_GB2312" w:hAnsi="仿宋_GB2312" w:eastAsia="仿宋_GB2312" w:cs="仿宋_GB2312"/>
          <w:color w:val="auto"/>
          <w:sz w:val="32"/>
          <w:szCs w:val="32"/>
          <w:highlight w:val="none"/>
        </w:rPr>
        <w:t>日</w:t>
      </w:r>
    </w:p>
    <w:p w14:paraId="3E55B469">
      <w:pPr>
        <w:spacing w:line="560" w:lineRule="exact"/>
        <w:rPr>
          <w:rFonts w:hint="eastAsia" w:ascii="仿宋_GB2312" w:hAnsi="仿宋_GB2312" w:eastAsia="仿宋_GB2312" w:cs="仿宋_GB2312"/>
          <w:color w:val="auto"/>
          <w:kern w:val="0"/>
          <w:sz w:val="32"/>
          <w:szCs w:val="32"/>
          <w:highlight w:val="none"/>
          <w:lang w:bidi="en-US"/>
        </w:rPr>
      </w:pPr>
    </w:p>
    <w:p w14:paraId="202E8E27">
      <w:pPr>
        <w:spacing w:line="360" w:lineRule="auto"/>
        <w:ind w:firstLine="627" w:firstLineChars="200"/>
        <w:rPr>
          <w:rStyle w:val="19"/>
          <w:rFonts w:hint="eastAsia" w:ascii="仿宋_GB2312" w:hAnsi="仿宋_GB2312" w:eastAsia="仿宋_GB2312" w:cs="仿宋_GB2312"/>
          <w:color w:val="auto"/>
          <w:spacing w:val="-4"/>
          <w:sz w:val="32"/>
          <w:szCs w:val="32"/>
          <w:highlight w:val="none"/>
        </w:rPr>
      </w:pPr>
    </w:p>
    <w:p w14:paraId="7F270549">
      <w:pPr>
        <w:spacing w:line="360" w:lineRule="auto"/>
        <w:ind w:firstLine="627" w:firstLineChars="200"/>
        <w:rPr>
          <w:rStyle w:val="19"/>
          <w:rFonts w:hint="eastAsia" w:ascii="仿宋_GB2312" w:hAnsi="仿宋_GB2312" w:eastAsia="仿宋_GB2312" w:cs="仿宋_GB2312"/>
          <w:color w:val="auto"/>
          <w:spacing w:val="-4"/>
          <w:sz w:val="32"/>
          <w:szCs w:val="32"/>
          <w:highlight w:val="none"/>
        </w:rPr>
      </w:pPr>
      <w:r>
        <w:rPr>
          <w:rStyle w:val="19"/>
          <w:rFonts w:hint="eastAsia" w:ascii="仿宋_GB2312" w:hAnsi="仿宋_GB2312" w:eastAsia="仿宋_GB2312" w:cs="仿宋_GB2312"/>
          <w:color w:val="auto"/>
          <w:spacing w:val="-4"/>
          <w:sz w:val="32"/>
          <w:szCs w:val="32"/>
          <w:highlight w:val="none"/>
        </w:rPr>
        <w:t>一、绩效目标分解下达情况</w:t>
      </w:r>
    </w:p>
    <w:p w14:paraId="51849BB9">
      <w:pPr>
        <w:spacing w:line="360" w:lineRule="auto"/>
        <w:ind w:firstLine="627"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color w:val="auto"/>
          <w:spacing w:val="-4"/>
          <w:sz w:val="32"/>
          <w:szCs w:val="32"/>
          <w:highlight w:val="none"/>
        </w:rPr>
        <w:t>（一）财政专项乡村振兴衔接资金下达预算及项目情况</w:t>
      </w:r>
    </w:p>
    <w:p w14:paraId="3D392689">
      <w:pPr>
        <w:pStyle w:val="52"/>
        <w:ind w:left="3" w:right="3" w:firstLine="562"/>
        <w:rPr>
          <w:rFonts w:hint="eastAsia" w:ascii="仿宋_GB2312" w:hAnsi="仿宋_GB2312" w:eastAsia="仿宋_GB2312" w:cs="仿宋_GB2312"/>
          <w:b/>
          <w:color w:val="auto"/>
          <w:sz w:val="32"/>
          <w:szCs w:val="32"/>
          <w:highlight w:val="none"/>
        </w:rPr>
      </w:pPr>
      <w:r>
        <w:rPr>
          <w:rFonts w:hint="eastAsia" w:ascii="仿宋_GB2312" w:hAnsi="仿宋_GB2312" w:eastAsia="仿宋_GB2312" w:cs="仿宋_GB2312"/>
          <w:b/>
          <w:color w:val="auto"/>
          <w:sz w:val="32"/>
          <w:szCs w:val="32"/>
          <w:highlight w:val="none"/>
        </w:rPr>
        <w:t>1.下达预算情况</w:t>
      </w:r>
    </w:p>
    <w:p w14:paraId="48799709">
      <w:pPr>
        <w:pStyle w:val="52"/>
        <w:ind w:left="3" w:right="3" w:firstLine="56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本项目根据</w:t>
      </w:r>
      <w:r>
        <w:rPr>
          <w:rFonts w:hint="eastAsia" w:ascii="仿宋_GB2312" w:hAnsi="仿宋_GB2312" w:cs="仿宋_GB2312"/>
          <w:color w:val="auto"/>
          <w:sz w:val="32"/>
          <w:szCs w:val="32"/>
          <w:highlight w:val="none"/>
          <w:lang w:val="en-US" w:eastAsia="zh-CN"/>
        </w:rPr>
        <w:t>于田县发展和改革委员会下</w:t>
      </w:r>
      <w:r>
        <w:rPr>
          <w:rFonts w:hint="eastAsia" w:ascii="仿宋_GB2312" w:hAnsi="仿宋_GB2312" w:eastAsia="仿宋_GB2312" w:cs="仿宋_GB2312"/>
          <w:color w:val="auto"/>
          <w:sz w:val="32"/>
          <w:szCs w:val="32"/>
          <w:highlight w:val="none"/>
        </w:rPr>
        <w:t>发的《关于对</w:t>
      </w:r>
      <w:r>
        <w:rPr>
          <w:rFonts w:hint="eastAsia" w:ascii="仿宋_GB2312" w:hAnsi="仿宋_GB2312" w:eastAsia="仿宋_GB2312" w:cs="仿宋_GB2312"/>
          <w:bCs/>
          <w:color w:val="auto"/>
          <w:kern w:val="0"/>
          <w:sz w:val="32"/>
          <w:szCs w:val="32"/>
          <w:highlight w:val="none"/>
        </w:rPr>
        <w:t>于田县斯也克乡葡萄基地沉砂池及附属设施建设项目</w:t>
      </w:r>
      <w:r>
        <w:rPr>
          <w:rFonts w:hint="eastAsia" w:ascii="仿宋_GB2312" w:hAnsi="仿宋_GB2312" w:eastAsia="仿宋_GB2312" w:cs="仿宋_GB2312"/>
          <w:color w:val="auto"/>
          <w:sz w:val="32"/>
          <w:szCs w:val="32"/>
          <w:highlight w:val="none"/>
          <w:lang w:eastAsia="zh-CN"/>
        </w:rPr>
        <w:t>实施方案</w:t>
      </w:r>
      <w:r>
        <w:rPr>
          <w:rFonts w:hint="eastAsia" w:ascii="仿宋_GB2312" w:hAnsi="仿宋_GB2312" w:eastAsia="仿宋_GB2312" w:cs="仿宋_GB2312"/>
          <w:color w:val="auto"/>
          <w:sz w:val="32"/>
          <w:szCs w:val="32"/>
          <w:highlight w:val="none"/>
        </w:rPr>
        <w:t>的批复》（</w:t>
      </w:r>
      <w:r>
        <w:rPr>
          <w:rFonts w:hint="eastAsia" w:ascii="仿宋_GB2312" w:hAnsi="仿宋_GB2312" w:eastAsia="仿宋_GB2312" w:cs="仿宋_GB2312"/>
          <w:color w:val="auto"/>
          <w:sz w:val="32"/>
          <w:szCs w:val="32"/>
          <w:highlight w:val="none"/>
          <w:lang w:val="en-US" w:eastAsia="zh-CN"/>
        </w:rPr>
        <w:t>于发改项目</w:t>
      </w:r>
      <w:r>
        <w:rPr>
          <w:rFonts w:hint="eastAsia" w:ascii="仿宋_GB2312" w:hAnsi="仿宋_GB2312" w:eastAsia="仿宋_GB2312" w:cs="仿宋_GB2312"/>
          <w:color w:val="auto"/>
          <w:sz w:val="32"/>
          <w:szCs w:val="32"/>
          <w:highlight w:val="none"/>
        </w:rPr>
        <w:t>[202</w:t>
      </w:r>
      <w:r>
        <w:rPr>
          <w:rFonts w:hint="eastAsia" w:ascii="仿宋_GB2312" w:hAnsi="仿宋_GB2312" w:eastAsia="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val="en-US" w:eastAsia="zh-CN"/>
        </w:rPr>
        <w:t>3</w:t>
      </w:r>
      <w:r>
        <w:rPr>
          <w:rFonts w:hint="eastAsia" w:ascii="仿宋_GB2312" w:hAnsi="仿宋_GB2312" w:cs="仿宋_GB2312"/>
          <w:color w:val="auto"/>
          <w:sz w:val="32"/>
          <w:szCs w:val="32"/>
          <w:highlight w:val="none"/>
          <w:lang w:val="en-US" w:eastAsia="zh-CN"/>
        </w:rPr>
        <w:t>9</w:t>
      </w:r>
      <w:r>
        <w:rPr>
          <w:rFonts w:hint="eastAsia" w:ascii="仿宋_GB2312" w:hAnsi="仿宋_GB2312" w:eastAsia="仿宋_GB2312" w:cs="仿宋_GB2312"/>
          <w:color w:val="auto"/>
          <w:sz w:val="32"/>
          <w:szCs w:val="32"/>
          <w:highlight w:val="none"/>
        </w:rPr>
        <w:t>号）批复实施，</w:t>
      </w:r>
      <w:r>
        <w:rPr>
          <w:rFonts w:hint="eastAsia" w:ascii="仿宋_GB2312" w:hAnsi="仿宋_GB2312" w:eastAsia="仿宋_GB2312" w:cs="仿宋_GB2312"/>
          <w:bCs/>
          <w:color w:val="auto"/>
          <w:kern w:val="0"/>
          <w:sz w:val="32"/>
          <w:szCs w:val="32"/>
          <w:highlight w:val="none"/>
        </w:rPr>
        <w:t>于田县斯也克乡葡萄基地沉砂池及附属设施建设项目</w:t>
      </w:r>
      <w:r>
        <w:rPr>
          <w:rFonts w:hint="eastAsia" w:ascii="仿宋_GB2312" w:hAnsi="仿宋_GB2312" w:eastAsia="仿宋_GB2312" w:cs="仿宋_GB2312"/>
          <w:color w:val="auto"/>
          <w:sz w:val="32"/>
          <w:szCs w:val="32"/>
          <w:highlight w:val="none"/>
        </w:rPr>
        <w:t>预算安排总额为</w:t>
      </w:r>
      <w:bookmarkStart w:id="0" w:name="OLE_LINK1"/>
      <w:r>
        <w:rPr>
          <w:rFonts w:hint="eastAsia" w:ascii="仿宋_GB2312" w:hAnsi="仿宋_GB2312" w:cs="仿宋_GB2312"/>
          <w:color w:val="auto"/>
          <w:sz w:val="32"/>
          <w:szCs w:val="32"/>
          <w:highlight w:val="none"/>
          <w:lang w:val="en-US" w:eastAsia="zh-CN"/>
        </w:rPr>
        <w:t>150</w:t>
      </w:r>
      <w:bookmarkEnd w:id="0"/>
      <w:r>
        <w:rPr>
          <w:rFonts w:hint="eastAsia" w:ascii="仿宋_GB2312" w:hAnsi="仿宋_GB2312" w:eastAsia="仿宋_GB2312" w:cs="仿宋_GB2312"/>
          <w:color w:val="auto"/>
          <w:sz w:val="32"/>
          <w:szCs w:val="32"/>
          <w:highlight w:val="none"/>
        </w:rPr>
        <w:t>万元，其中：</w:t>
      </w:r>
      <w:r>
        <w:rPr>
          <w:rFonts w:hint="eastAsia" w:ascii="仿宋_GB2312" w:hAnsi="仿宋_GB2312" w:eastAsia="仿宋_GB2312" w:cs="仿宋_GB2312"/>
          <w:color w:val="auto"/>
          <w:sz w:val="32"/>
          <w:szCs w:val="32"/>
          <w:highlight w:val="none"/>
          <w:lang w:val="en-US" w:eastAsia="zh-CN"/>
        </w:rPr>
        <w:t>乡村振兴衔接补助</w:t>
      </w:r>
      <w:r>
        <w:rPr>
          <w:rFonts w:hint="eastAsia" w:ascii="仿宋_GB2312" w:hAnsi="仿宋_GB2312" w:eastAsia="仿宋_GB2312" w:cs="仿宋_GB2312"/>
          <w:color w:val="auto"/>
          <w:sz w:val="32"/>
          <w:szCs w:val="32"/>
          <w:highlight w:val="none"/>
        </w:rPr>
        <w:t>资金</w:t>
      </w:r>
      <w:r>
        <w:rPr>
          <w:rFonts w:hint="eastAsia" w:ascii="仿宋_GB2312" w:hAnsi="仿宋_GB2312" w:cs="仿宋_GB2312"/>
          <w:color w:val="auto"/>
          <w:sz w:val="32"/>
          <w:szCs w:val="32"/>
          <w:highlight w:val="none"/>
          <w:lang w:val="en-US" w:eastAsia="zh-CN"/>
        </w:rPr>
        <w:t>150</w:t>
      </w:r>
      <w:r>
        <w:rPr>
          <w:rFonts w:hint="eastAsia" w:ascii="仿宋_GB2312" w:hAnsi="仿宋_GB2312" w:eastAsia="仿宋_GB2312" w:cs="仿宋_GB2312"/>
          <w:color w:val="auto"/>
          <w:sz w:val="32"/>
          <w:szCs w:val="32"/>
          <w:highlight w:val="none"/>
        </w:rPr>
        <w:t>万元。预算资金到位率为100.00%。</w:t>
      </w:r>
    </w:p>
    <w:p w14:paraId="7B08F8A0">
      <w:pPr>
        <w:pStyle w:val="52"/>
        <w:ind w:left="3" w:right="3" w:firstLine="562"/>
        <w:rPr>
          <w:rFonts w:hint="eastAsia" w:ascii="仿宋_GB2312" w:hAnsi="仿宋_GB2312" w:eastAsia="仿宋_GB2312" w:cs="仿宋_GB2312"/>
          <w:b/>
          <w:color w:val="auto"/>
          <w:sz w:val="32"/>
          <w:szCs w:val="32"/>
          <w:highlight w:val="none"/>
        </w:rPr>
      </w:pPr>
      <w:r>
        <w:rPr>
          <w:rFonts w:hint="eastAsia" w:ascii="仿宋_GB2312" w:hAnsi="仿宋_GB2312" w:eastAsia="仿宋_GB2312" w:cs="仿宋_GB2312"/>
          <w:b/>
          <w:color w:val="auto"/>
          <w:sz w:val="32"/>
          <w:szCs w:val="32"/>
          <w:highlight w:val="none"/>
        </w:rPr>
        <w:t>2.项目实施背景</w:t>
      </w:r>
    </w:p>
    <w:p w14:paraId="389525F4">
      <w:pPr>
        <w:spacing w:line="560" w:lineRule="exact"/>
        <w:ind w:firstLine="640" w:firstLineChars="200"/>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以习近平总书记关于巩固拓展脱贫攻坚成果同多村振兴有效衔接的重要指示批示精神为指导，认真贯彻落实党中央、因务院决策部署和自治区党委、自治区人民政府工作安排，保持过渡期财政支持政策总体稳定，积极适应巩固拓展脱贫攻坚成果同多村振兴有效衔接工作形势的发展变化，更多依靠发展来巩固拓展脱贫攻坚成果，进一步优化资金使用结构，突出资金支持重点，创新资金使用方式，强化资金项目管理,切实提升资金使用效益，为巩固好脱贫攻坚成果，衔接全面推进多村振兴提供有力支撑。经于田县相关部门研究决定将以下项目作为巩固好脱贫攻坚成果，衔接全面推进多村振兴的试点项目。</w:t>
      </w:r>
    </w:p>
    <w:p w14:paraId="2B501D1C">
      <w:pPr>
        <w:spacing w:line="560" w:lineRule="exact"/>
        <w:ind w:firstLine="643" w:firstLineChars="200"/>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3、项目实施依据及范围</w:t>
      </w:r>
    </w:p>
    <w:p w14:paraId="7765AA26">
      <w:pPr>
        <w:spacing w:line="560" w:lineRule="exact"/>
        <w:ind w:firstLine="640" w:firstLineChars="200"/>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Cs/>
          <w:color w:val="auto"/>
          <w:kern w:val="0"/>
          <w:sz w:val="32"/>
          <w:szCs w:val="32"/>
          <w:highlight w:val="none"/>
        </w:rPr>
        <w:t>于田县斯也克乡葡萄基地沉砂池及附属设施建设项目</w:t>
      </w:r>
      <w:r>
        <w:rPr>
          <w:rFonts w:hint="eastAsia" w:ascii="仿宋_GB2312" w:hAnsi="仿宋_GB2312" w:eastAsia="仿宋_GB2312" w:cs="仿宋_GB2312"/>
          <w:color w:val="auto"/>
          <w:sz w:val="32"/>
          <w:szCs w:val="32"/>
          <w:highlight w:val="none"/>
        </w:rPr>
        <w:t>，根据</w:t>
      </w:r>
      <w:r>
        <w:rPr>
          <w:rFonts w:hint="eastAsia" w:ascii="仿宋_GB2312" w:hAnsi="仿宋_GB2312" w:eastAsia="仿宋_GB2312" w:cs="仿宋_GB2312"/>
          <w:color w:val="auto"/>
          <w:sz w:val="32"/>
          <w:szCs w:val="32"/>
          <w:highlight w:val="none"/>
          <w:lang w:eastAsia="zh-CN"/>
        </w:rPr>
        <w:t>于田县发展和改革委员会</w:t>
      </w:r>
      <w:r>
        <w:rPr>
          <w:rFonts w:hint="eastAsia" w:ascii="仿宋_GB2312" w:hAnsi="仿宋_GB2312" w:eastAsia="仿宋_GB2312" w:cs="仿宋_GB2312"/>
          <w:color w:val="auto"/>
          <w:sz w:val="32"/>
          <w:szCs w:val="32"/>
          <w:highlight w:val="none"/>
          <w:lang w:val="en-US" w:eastAsia="zh-CN"/>
        </w:rPr>
        <w:t>下</w:t>
      </w:r>
      <w:r>
        <w:rPr>
          <w:rFonts w:hint="eastAsia" w:ascii="仿宋_GB2312" w:hAnsi="仿宋_GB2312" w:eastAsia="仿宋_GB2312" w:cs="仿宋_GB2312"/>
          <w:color w:val="auto"/>
          <w:sz w:val="32"/>
          <w:szCs w:val="32"/>
          <w:highlight w:val="none"/>
        </w:rPr>
        <w:t>发的《关于对</w:t>
      </w:r>
      <w:r>
        <w:rPr>
          <w:rFonts w:hint="eastAsia" w:ascii="仿宋_GB2312" w:hAnsi="仿宋_GB2312" w:eastAsia="仿宋_GB2312" w:cs="仿宋_GB2312"/>
          <w:bCs/>
          <w:color w:val="auto"/>
          <w:kern w:val="0"/>
          <w:sz w:val="32"/>
          <w:szCs w:val="32"/>
          <w:highlight w:val="none"/>
        </w:rPr>
        <w:t>于田县斯也克乡葡萄基地沉砂池及附属设施建设项目</w:t>
      </w:r>
      <w:r>
        <w:rPr>
          <w:rFonts w:hint="eastAsia" w:ascii="仿宋_GB2312" w:hAnsi="仿宋_GB2312" w:eastAsia="仿宋_GB2312" w:cs="仿宋_GB2312"/>
          <w:color w:val="auto"/>
          <w:sz w:val="32"/>
          <w:szCs w:val="32"/>
          <w:highlight w:val="none"/>
          <w:lang w:eastAsia="zh-CN"/>
        </w:rPr>
        <w:t>实施方案</w:t>
      </w:r>
      <w:r>
        <w:rPr>
          <w:rFonts w:hint="eastAsia" w:ascii="仿宋_GB2312" w:hAnsi="仿宋_GB2312" w:eastAsia="仿宋_GB2312" w:cs="仿宋_GB2312"/>
          <w:color w:val="auto"/>
          <w:sz w:val="32"/>
          <w:szCs w:val="32"/>
          <w:highlight w:val="none"/>
        </w:rPr>
        <w:t>的批复》（于</w:t>
      </w:r>
      <w:r>
        <w:rPr>
          <w:rFonts w:hint="eastAsia" w:ascii="仿宋_GB2312" w:hAnsi="仿宋_GB2312" w:eastAsia="仿宋_GB2312" w:cs="仿宋_GB2312"/>
          <w:color w:val="auto"/>
          <w:sz w:val="32"/>
          <w:szCs w:val="32"/>
          <w:highlight w:val="none"/>
          <w:lang w:val="en-US" w:eastAsia="zh-CN"/>
        </w:rPr>
        <w:t>发改项目</w:t>
      </w:r>
      <w:r>
        <w:rPr>
          <w:rFonts w:hint="eastAsia" w:ascii="仿宋_GB2312" w:hAnsi="仿宋_GB2312" w:eastAsia="仿宋_GB2312" w:cs="仿宋_GB2312"/>
          <w:color w:val="auto"/>
          <w:sz w:val="32"/>
          <w:szCs w:val="32"/>
          <w:highlight w:val="none"/>
        </w:rPr>
        <w:t>[202</w:t>
      </w:r>
      <w:r>
        <w:rPr>
          <w:rFonts w:hint="eastAsia" w:ascii="仿宋_GB2312" w:hAnsi="仿宋_GB2312" w:eastAsia="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val="en-US" w:eastAsia="zh-CN"/>
        </w:rPr>
        <w:t>39</w:t>
      </w:r>
      <w:r>
        <w:rPr>
          <w:rFonts w:hint="eastAsia" w:ascii="仿宋_GB2312" w:hAnsi="仿宋_GB2312" w:eastAsia="仿宋_GB2312" w:cs="仿宋_GB2312"/>
          <w:color w:val="auto"/>
          <w:sz w:val="32"/>
          <w:szCs w:val="32"/>
          <w:highlight w:val="none"/>
        </w:rPr>
        <w:t>号）批复实施，建设内容：新建引水渠道377m，配套渠系建筑物2座:其中节制右分水闸1座、6m宽农桥1座:沉砂池1座,首部配套设施(45KW260m'/h 44m 扬程水泵)及 24 ㎡'泵房|座，闸阀井|座，250 阀门1套，250输水管线 39lm:0.4kv线路 300m，变压器(100kv)1套，房屋拆旧500 m</w:t>
      </w: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rPr>
        <w:t>。</w:t>
      </w:r>
    </w:p>
    <w:p w14:paraId="677E5149">
      <w:pPr>
        <w:spacing w:line="560" w:lineRule="exact"/>
        <w:ind w:firstLine="643" w:firstLineChars="200"/>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4、项目基本性质及类别</w:t>
      </w:r>
    </w:p>
    <w:p w14:paraId="379A2332">
      <w:pPr>
        <w:spacing w:line="560" w:lineRule="exact"/>
        <w:ind w:firstLine="640" w:firstLineChars="200"/>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Cs/>
          <w:color w:val="auto"/>
          <w:kern w:val="0"/>
          <w:sz w:val="32"/>
          <w:szCs w:val="32"/>
          <w:highlight w:val="none"/>
        </w:rPr>
        <w:t>于田县斯也克乡葡萄基地沉砂池及附属设施建设项目</w:t>
      </w:r>
      <w:r>
        <w:rPr>
          <w:rFonts w:hint="eastAsia" w:ascii="仿宋_GB2312" w:hAnsi="仿宋_GB2312" w:eastAsia="仿宋_GB2312" w:cs="仿宋_GB2312"/>
          <w:color w:val="auto"/>
          <w:sz w:val="32"/>
          <w:szCs w:val="32"/>
          <w:highlight w:val="none"/>
        </w:rPr>
        <w:t>属于</w:t>
      </w:r>
      <w:r>
        <w:rPr>
          <w:rFonts w:hint="eastAsia" w:ascii="仿宋_GB2312" w:hAnsi="仿宋_GB2312" w:eastAsia="仿宋_GB2312" w:cs="仿宋_GB2312"/>
          <w:color w:val="auto"/>
          <w:sz w:val="32"/>
          <w:szCs w:val="32"/>
          <w:highlight w:val="none"/>
          <w:lang w:eastAsia="zh-CN"/>
        </w:rPr>
        <w:t>农村</w:t>
      </w:r>
      <w:r>
        <w:rPr>
          <w:rFonts w:hint="eastAsia" w:ascii="仿宋_GB2312" w:hAnsi="仿宋_GB2312" w:eastAsia="仿宋_GB2312" w:cs="仿宋_GB2312"/>
          <w:color w:val="auto"/>
          <w:sz w:val="32"/>
          <w:szCs w:val="32"/>
          <w:highlight w:val="none"/>
          <w:lang w:val="en-US" w:eastAsia="zh-CN"/>
        </w:rPr>
        <w:t>产业发展</w:t>
      </w:r>
      <w:r>
        <w:rPr>
          <w:rFonts w:hint="eastAsia" w:ascii="仿宋_GB2312" w:hAnsi="仿宋_GB2312" w:eastAsia="仿宋_GB2312" w:cs="仿宋_GB2312"/>
          <w:color w:val="auto"/>
          <w:sz w:val="32"/>
          <w:szCs w:val="32"/>
          <w:highlight w:val="none"/>
        </w:rPr>
        <w:t>项目。</w:t>
      </w:r>
      <w:r>
        <w:rPr>
          <w:rFonts w:hint="eastAsia" w:ascii="仿宋_GB2312" w:hAnsi="仿宋_GB2312" w:eastAsia="仿宋_GB2312" w:cs="仿宋_GB2312"/>
          <w:color w:val="auto"/>
          <w:sz w:val="32"/>
          <w:szCs w:val="32"/>
          <w:highlight w:val="none"/>
          <w:lang w:val="en-US" w:eastAsia="zh-CN"/>
        </w:rPr>
        <w:t>属于乡村衔接资金项目。</w:t>
      </w:r>
    </w:p>
    <w:p w14:paraId="08C76BF8">
      <w:pPr>
        <w:spacing w:line="560" w:lineRule="exact"/>
        <w:ind w:firstLine="627" w:firstLineChars="200"/>
        <w:rPr>
          <w:rStyle w:val="19"/>
          <w:rFonts w:hint="eastAsia" w:ascii="仿宋_GB2312" w:hAnsi="仿宋_GB2312" w:eastAsia="仿宋_GB2312" w:cs="仿宋_GB2312"/>
          <w:color w:val="auto"/>
          <w:spacing w:val="-4"/>
          <w:sz w:val="32"/>
          <w:szCs w:val="32"/>
          <w:highlight w:val="none"/>
        </w:rPr>
      </w:pPr>
      <w:r>
        <w:rPr>
          <w:rStyle w:val="19"/>
          <w:rFonts w:hint="eastAsia" w:ascii="仿宋_GB2312" w:hAnsi="仿宋_GB2312" w:eastAsia="仿宋_GB2312" w:cs="仿宋_GB2312"/>
          <w:color w:val="auto"/>
          <w:spacing w:val="-4"/>
          <w:sz w:val="32"/>
          <w:szCs w:val="32"/>
          <w:highlight w:val="none"/>
        </w:rPr>
        <w:t>（二）财政专项乡村振兴衔接资金项目绩效目标设定情况</w:t>
      </w:r>
    </w:p>
    <w:p w14:paraId="7F1C0B03">
      <w:pPr>
        <w:spacing w:line="560" w:lineRule="exact"/>
        <w:ind w:firstLine="643" w:firstLineChars="200"/>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1.项目绩效总体目标</w:t>
      </w:r>
    </w:p>
    <w:p w14:paraId="26F06741">
      <w:pPr>
        <w:pStyle w:val="52"/>
        <w:spacing w:line="560" w:lineRule="exact"/>
        <w:ind w:left="3" w:right="3" w:firstLine="56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Cs/>
          <w:color w:val="auto"/>
          <w:kern w:val="0"/>
          <w:sz w:val="32"/>
          <w:szCs w:val="32"/>
          <w:highlight w:val="none"/>
        </w:rPr>
        <w:t>于田县斯也克乡葡萄基地沉砂池及附属设施建设项目</w:t>
      </w:r>
      <w:r>
        <w:rPr>
          <w:rFonts w:hint="eastAsia" w:ascii="仿宋_GB2312" w:hAnsi="仿宋_GB2312" w:eastAsia="仿宋_GB2312" w:cs="仿宋_GB2312"/>
          <w:color w:val="auto"/>
          <w:sz w:val="32"/>
          <w:szCs w:val="32"/>
          <w:highlight w:val="none"/>
        </w:rPr>
        <w:t>总投资</w:t>
      </w:r>
      <w:r>
        <w:rPr>
          <w:rFonts w:hint="eastAsia" w:ascii="仿宋_GB2312" w:hAnsi="仿宋_GB2312" w:cs="仿宋_GB2312"/>
          <w:color w:val="auto"/>
          <w:sz w:val="32"/>
          <w:szCs w:val="32"/>
          <w:highlight w:val="none"/>
          <w:lang w:val="en-US" w:eastAsia="zh-CN"/>
        </w:rPr>
        <w:t>150</w:t>
      </w:r>
      <w:r>
        <w:rPr>
          <w:rFonts w:hint="eastAsia" w:ascii="仿宋_GB2312" w:hAnsi="仿宋_GB2312" w:eastAsia="仿宋_GB2312" w:cs="仿宋_GB2312"/>
          <w:color w:val="auto"/>
          <w:sz w:val="32"/>
          <w:szCs w:val="32"/>
          <w:highlight w:val="none"/>
          <w:lang w:val="en-US" w:eastAsia="zh-CN"/>
        </w:rPr>
        <w:t>万元</w:t>
      </w:r>
      <w:r>
        <w:rPr>
          <w:rFonts w:hint="eastAsia" w:ascii="仿宋_GB2312" w:hAnsi="仿宋_GB2312" w:eastAsia="仿宋_GB2312" w:cs="仿宋_GB2312"/>
          <w:color w:val="auto"/>
          <w:sz w:val="32"/>
          <w:szCs w:val="32"/>
          <w:highlight w:val="none"/>
        </w:rPr>
        <w:t>，全部申请</w:t>
      </w:r>
      <w:r>
        <w:rPr>
          <w:rFonts w:hint="eastAsia" w:ascii="仿宋_GB2312" w:hAnsi="仿宋_GB2312" w:eastAsia="仿宋_GB2312" w:cs="仿宋_GB2312"/>
          <w:color w:val="auto"/>
          <w:sz w:val="32"/>
          <w:szCs w:val="32"/>
          <w:highlight w:val="none"/>
          <w:lang w:val="en-US" w:eastAsia="zh-CN"/>
        </w:rPr>
        <w:t>乡村振兴衔接资金</w:t>
      </w:r>
      <w:r>
        <w:rPr>
          <w:rFonts w:hint="eastAsia" w:ascii="仿宋_GB2312" w:hAnsi="仿宋_GB2312" w:eastAsia="仿宋_GB2312" w:cs="仿宋_GB2312"/>
          <w:color w:val="auto"/>
          <w:sz w:val="32"/>
          <w:szCs w:val="32"/>
          <w:highlight w:val="none"/>
        </w:rPr>
        <w:t>。主要内容为：新建引水渠道377m，配套渠系建筑物2座:其中节制右分水闸1座、6m宽农桥1座:沉砂池1座,首部配套设施(45KW260m'/h 44m 扬程水泵)及 24 ㎡'泵房|座，闸阀井|座，250 阀门1套，250输水管线 39lm:0.4kv线路 300m，变压器(100kv)1套，房屋拆旧500 m</w:t>
      </w: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rPr>
        <w:t>。</w:t>
      </w:r>
    </w:p>
    <w:p w14:paraId="2C9D918C">
      <w:pPr>
        <w:pStyle w:val="52"/>
        <w:spacing w:line="560" w:lineRule="exact"/>
        <w:ind w:left="3" w:right="3" w:firstLine="56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通过</w:t>
      </w:r>
      <w:r>
        <w:rPr>
          <w:rFonts w:hint="eastAsia" w:ascii="仿宋_GB2312" w:hAnsi="仿宋_GB2312" w:eastAsia="仿宋_GB2312" w:cs="仿宋_GB2312"/>
          <w:bCs/>
          <w:color w:val="auto"/>
          <w:kern w:val="0"/>
          <w:sz w:val="32"/>
          <w:szCs w:val="32"/>
          <w:highlight w:val="none"/>
        </w:rPr>
        <w:t>于田县斯也克乡葡萄基地沉砂池及附属设施建设项目</w:t>
      </w:r>
      <w:r>
        <w:rPr>
          <w:rFonts w:hint="eastAsia" w:ascii="仿宋_GB2312" w:hAnsi="仿宋_GB2312" w:eastAsia="仿宋_GB2312" w:cs="仿宋_GB2312"/>
          <w:color w:val="auto"/>
          <w:sz w:val="32"/>
          <w:szCs w:val="32"/>
          <w:highlight w:val="none"/>
        </w:rPr>
        <w:t>实施，农村</w:t>
      </w:r>
      <w:r>
        <w:rPr>
          <w:rFonts w:hint="eastAsia" w:ascii="仿宋_GB2312" w:hAnsi="仿宋_GB2312" w:cs="仿宋_GB2312"/>
          <w:color w:val="auto"/>
          <w:sz w:val="32"/>
          <w:szCs w:val="32"/>
          <w:highlight w:val="none"/>
          <w:lang w:val="en-US" w:eastAsia="zh-CN"/>
        </w:rPr>
        <w:t>产业发展</w:t>
      </w:r>
      <w:r>
        <w:rPr>
          <w:rFonts w:hint="eastAsia" w:ascii="仿宋_GB2312" w:hAnsi="仿宋_GB2312" w:eastAsia="仿宋_GB2312" w:cs="仿宋_GB2312"/>
          <w:color w:val="auto"/>
          <w:sz w:val="32"/>
          <w:szCs w:val="32"/>
          <w:highlight w:val="none"/>
        </w:rPr>
        <w:t>得到较大改善后。</w:t>
      </w:r>
    </w:p>
    <w:p w14:paraId="1CD8C8CB">
      <w:pPr>
        <w:pStyle w:val="52"/>
        <w:spacing w:line="560" w:lineRule="exact"/>
        <w:ind w:left="3" w:right="3" w:firstLine="562"/>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2.具体绩效指标</w:t>
      </w:r>
    </w:p>
    <w:p w14:paraId="024143A0">
      <w:pPr>
        <w:pStyle w:val="52"/>
        <w:spacing w:line="560" w:lineRule="exact"/>
        <w:ind w:left="3" w:right="3" w:firstLine="56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根据《自治区财政专项扶贫资金绩效管理操作指南》（新财预〔2019〕170号）的规定，结合项目具体情况，本项目共设置一级指标3个，二级指标</w:t>
      </w:r>
      <w:r>
        <w:rPr>
          <w:rFonts w:hint="eastAsia" w:ascii="仿宋_GB2312" w:hAnsi="仿宋_GB2312" w:eastAsia="仿宋_GB2312" w:cs="仿宋_GB2312"/>
          <w:color w:val="auto"/>
          <w:sz w:val="32"/>
          <w:szCs w:val="32"/>
          <w:highlight w:val="none"/>
          <w:lang w:val="en-US" w:eastAsia="zh-CN"/>
        </w:rPr>
        <w:t>7</w:t>
      </w:r>
      <w:r>
        <w:rPr>
          <w:rFonts w:hint="eastAsia" w:ascii="仿宋_GB2312" w:hAnsi="仿宋_GB2312" w:eastAsia="仿宋_GB2312" w:cs="仿宋_GB2312"/>
          <w:color w:val="auto"/>
          <w:sz w:val="32"/>
          <w:szCs w:val="32"/>
          <w:highlight w:val="none"/>
        </w:rPr>
        <w:t>个，三级指标1</w:t>
      </w:r>
      <w:r>
        <w:rPr>
          <w:rFonts w:hint="eastAsia" w:ascii="仿宋_GB2312" w:hAnsi="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rPr>
        <w:t>个。</w:t>
      </w:r>
    </w:p>
    <w:p w14:paraId="1331EC8F">
      <w:pPr>
        <w:pStyle w:val="29"/>
        <w:spacing w:before="120"/>
        <w:ind w:left="0" w:leftChars="0" w:right="3" w:firstLine="643"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二、绩效自评工作开展情况</w:t>
      </w:r>
    </w:p>
    <w:p w14:paraId="1BAB9DAC">
      <w:pPr>
        <w:spacing w:line="560" w:lineRule="exact"/>
        <w:ind w:firstLine="627" w:firstLineChars="200"/>
        <w:rPr>
          <w:rStyle w:val="19"/>
          <w:rFonts w:hint="eastAsia" w:ascii="仿宋_GB2312" w:hAnsi="仿宋_GB2312" w:eastAsia="仿宋_GB2312" w:cs="仿宋_GB2312"/>
          <w:color w:val="auto"/>
          <w:spacing w:val="-4"/>
          <w:sz w:val="32"/>
          <w:szCs w:val="32"/>
          <w:highlight w:val="none"/>
        </w:rPr>
      </w:pPr>
      <w:r>
        <w:rPr>
          <w:rStyle w:val="19"/>
          <w:rFonts w:hint="eastAsia" w:ascii="仿宋_GB2312" w:hAnsi="仿宋_GB2312" w:eastAsia="仿宋_GB2312" w:cs="仿宋_GB2312"/>
          <w:color w:val="auto"/>
          <w:spacing w:val="-4"/>
          <w:sz w:val="32"/>
          <w:szCs w:val="32"/>
          <w:highlight w:val="none"/>
        </w:rPr>
        <w:t>（一）绩效自评工作开展范围</w:t>
      </w:r>
    </w:p>
    <w:p w14:paraId="4A48EB07">
      <w:pPr>
        <w:pStyle w:val="52"/>
        <w:spacing w:line="560" w:lineRule="exact"/>
        <w:ind w:left="3" w:right="3" w:firstLine="56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本次自评范围涵盖项目总体绩效目标、各项绩效指标完成情况以及预算执行情况。</w:t>
      </w:r>
    </w:p>
    <w:p w14:paraId="61C517DA">
      <w:pPr>
        <w:spacing w:line="560" w:lineRule="exact"/>
        <w:ind w:firstLine="627" w:firstLineChars="200"/>
        <w:rPr>
          <w:rStyle w:val="19"/>
          <w:rFonts w:hint="eastAsia" w:ascii="仿宋_GB2312" w:hAnsi="仿宋_GB2312" w:eastAsia="仿宋_GB2312" w:cs="仿宋_GB2312"/>
          <w:color w:val="auto"/>
          <w:spacing w:val="-4"/>
          <w:sz w:val="32"/>
          <w:szCs w:val="32"/>
          <w:highlight w:val="none"/>
        </w:rPr>
      </w:pPr>
      <w:r>
        <w:rPr>
          <w:rStyle w:val="19"/>
          <w:rFonts w:hint="eastAsia" w:ascii="仿宋_GB2312" w:hAnsi="仿宋_GB2312" w:eastAsia="仿宋_GB2312" w:cs="仿宋_GB2312"/>
          <w:color w:val="auto"/>
          <w:spacing w:val="-4"/>
          <w:sz w:val="32"/>
          <w:szCs w:val="32"/>
          <w:highlight w:val="none"/>
        </w:rPr>
        <w:t>（二）绩效自评工作对象</w:t>
      </w:r>
    </w:p>
    <w:p w14:paraId="5B58F38E">
      <w:pPr>
        <w:pStyle w:val="52"/>
        <w:spacing w:line="560" w:lineRule="exact"/>
        <w:ind w:left="3" w:right="3" w:firstLine="56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本次绩效自评遵循《中央财政衔接推进乡村振兴补助资金管理办法》的通知（财农〔2021〕19号）、《新疆维吾尔自治区财政财政衔接推进乡村振兴补助资金管理办法》（新财规〔2021〕11号）、《自治区财政专项扶贫资金绩效管理操作指南》（新财预〔2019〕170号）等相关政策文件与规定，对</w:t>
      </w:r>
      <w:r>
        <w:rPr>
          <w:rFonts w:hint="eastAsia" w:ascii="仿宋_GB2312" w:hAnsi="仿宋_GB2312" w:eastAsia="仿宋_GB2312" w:cs="仿宋_GB2312"/>
          <w:bCs/>
          <w:color w:val="auto"/>
          <w:kern w:val="0"/>
          <w:sz w:val="32"/>
          <w:szCs w:val="32"/>
          <w:highlight w:val="none"/>
        </w:rPr>
        <w:t>于田县斯也克乡葡萄基地沉砂池及附属设施建设项目</w:t>
      </w:r>
      <w:r>
        <w:rPr>
          <w:rFonts w:hint="eastAsia" w:ascii="仿宋_GB2312" w:hAnsi="仿宋_GB2312" w:eastAsia="仿宋_GB2312" w:cs="仿宋_GB2312"/>
          <w:color w:val="auto"/>
          <w:sz w:val="32"/>
          <w:szCs w:val="32"/>
          <w:highlight w:val="none"/>
        </w:rPr>
        <w:t>资金的使用管理、项目产出、综合效益等进行评价。</w:t>
      </w:r>
    </w:p>
    <w:p w14:paraId="03FB8E09">
      <w:pPr>
        <w:spacing w:line="560" w:lineRule="exact"/>
        <w:ind w:firstLine="627" w:firstLineChars="200"/>
        <w:rPr>
          <w:rStyle w:val="19"/>
          <w:rFonts w:hint="eastAsia" w:ascii="仿宋_GB2312" w:hAnsi="仿宋_GB2312" w:eastAsia="仿宋_GB2312" w:cs="仿宋_GB2312"/>
          <w:color w:val="auto"/>
          <w:spacing w:val="-4"/>
          <w:sz w:val="32"/>
          <w:szCs w:val="32"/>
          <w:highlight w:val="none"/>
        </w:rPr>
      </w:pPr>
      <w:r>
        <w:rPr>
          <w:rStyle w:val="19"/>
          <w:rFonts w:hint="eastAsia" w:ascii="仿宋_GB2312" w:hAnsi="仿宋_GB2312" w:eastAsia="仿宋_GB2312" w:cs="仿宋_GB2312"/>
          <w:color w:val="auto"/>
          <w:spacing w:val="-4"/>
          <w:sz w:val="32"/>
          <w:szCs w:val="32"/>
          <w:highlight w:val="none"/>
        </w:rPr>
        <w:t>（三）绩效自评工作方式</w:t>
      </w:r>
    </w:p>
    <w:p w14:paraId="45281F9B">
      <w:pPr>
        <w:pStyle w:val="33"/>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1.前期准备</w:t>
      </w:r>
    </w:p>
    <w:p w14:paraId="68FFD605">
      <w:pPr>
        <w:pStyle w:val="52"/>
        <w:spacing w:line="560" w:lineRule="exact"/>
        <w:ind w:left="3" w:right="0" w:rightChars="0" w:firstLine="56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认真学习相关要求与规定，成立绩效自评工作组，作为绩效自评工作具体实施机构。成员构成如下：</w:t>
      </w:r>
    </w:p>
    <w:p w14:paraId="3E363A73">
      <w:pPr>
        <w:pStyle w:val="52"/>
        <w:spacing w:line="560" w:lineRule="exact"/>
        <w:ind w:right="3"/>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rPr>
        <w:t>组  长：</w:t>
      </w:r>
      <w:r>
        <w:rPr>
          <w:rFonts w:hint="eastAsia" w:ascii="仿宋_GB2312" w:hAnsi="仿宋_GB2312" w:eastAsia="仿宋_GB2312" w:cs="仿宋_GB2312"/>
          <w:color w:val="auto"/>
          <w:sz w:val="32"/>
          <w:szCs w:val="32"/>
          <w:highlight w:val="none"/>
          <w:lang w:val="en-US" w:eastAsia="zh-CN"/>
        </w:rPr>
        <w:t>郭小龙</w:t>
      </w:r>
      <w:r>
        <w:rPr>
          <w:rFonts w:hint="eastAsia" w:ascii="仿宋_GB2312" w:hAnsi="仿宋_GB2312" w:eastAsia="仿宋_GB2312" w:cs="仿宋_GB2312"/>
          <w:color w:val="auto"/>
          <w:sz w:val="32"/>
          <w:szCs w:val="32"/>
          <w:highlight w:val="none"/>
        </w:rPr>
        <w:t xml:space="preserve">            </w:t>
      </w:r>
      <w:r>
        <w:rPr>
          <w:rFonts w:hint="eastAsia" w:ascii="仿宋_GB2312" w:hAnsi="仿宋_GB2312" w:cs="仿宋_GB2312"/>
          <w:color w:val="auto"/>
          <w:sz w:val="32"/>
          <w:szCs w:val="32"/>
          <w:highlight w:val="none"/>
          <w:lang w:val="en-US" w:eastAsia="zh-CN"/>
        </w:rPr>
        <w:t xml:space="preserve"> </w:t>
      </w:r>
      <w:r>
        <w:rPr>
          <w:rFonts w:hint="eastAsia" w:ascii="仿宋_GB2312" w:hAnsi="仿宋_GB2312" w:eastAsia="仿宋_GB2312" w:cs="仿宋_GB2312"/>
          <w:color w:val="auto"/>
          <w:sz w:val="32"/>
          <w:szCs w:val="32"/>
          <w:highlight w:val="none"/>
        </w:rPr>
        <w:t xml:space="preserve">   </w:t>
      </w:r>
      <w:r>
        <w:rPr>
          <w:rFonts w:hint="eastAsia" w:ascii="仿宋_GB2312" w:hAnsi="仿宋_GB2312" w:eastAsia="仿宋_GB2312" w:cs="仿宋_GB2312"/>
          <w:color w:val="auto"/>
          <w:sz w:val="32"/>
          <w:szCs w:val="32"/>
          <w:highlight w:val="none"/>
          <w:lang w:eastAsia="zh-CN"/>
        </w:rPr>
        <w:t>乡党委书记</w:t>
      </w:r>
    </w:p>
    <w:p w14:paraId="5E818BEA">
      <w:pPr>
        <w:pStyle w:val="52"/>
        <w:spacing w:line="560" w:lineRule="exact"/>
        <w:ind w:left="3" w:right="3" w:firstLine="1920" w:firstLineChars="6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eastAsia="zh-CN"/>
        </w:rPr>
        <w:t>阿不都艾尼</w:t>
      </w:r>
      <w:r>
        <w:rPr>
          <w:rFonts w:hint="eastAsia" w:ascii="仿宋_GB2312" w:hAnsi="仿宋_GB2312" w:eastAsia="仿宋_GB2312" w:cs="仿宋_GB2312"/>
          <w:color w:val="auto"/>
          <w:sz w:val="32"/>
          <w:szCs w:val="32"/>
          <w:highlight w:val="none"/>
          <w:lang w:val="en-US" w:eastAsia="zh-CN"/>
        </w:rPr>
        <w:t>·买买提明</w:t>
      </w:r>
      <w:r>
        <w:rPr>
          <w:rFonts w:hint="eastAsia" w:ascii="仿宋_GB2312" w:hAnsi="仿宋_GB2312" w:eastAsia="仿宋_GB2312" w:cs="仿宋_GB2312"/>
          <w:color w:val="auto"/>
          <w:sz w:val="32"/>
          <w:szCs w:val="32"/>
          <w:highlight w:val="none"/>
        </w:rPr>
        <w:t xml:space="preserve">  </w:t>
      </w:r>
      <w:r>
        <w:rPr>
          <w:rFonts w:hint="eastAsia" w:ascii="仿宋_GB2312" w:hAnsi="仿宋_GB2312" w:eastAsia="仿宋_GB2312" w:cs="仿宋_GB2312"/>
          <w:color w:val="auto"/>
          <w:sz w:val="32"/>
          <w:szCs w:val="32"/>
          <w:highlight w:val="none"/>
          <w:lang w:eastAsia="zh-CN"/>
        </w:rPr>
        <w:t>乡党委副书记、乡长</w:t>
      </w:r>
    </w:p>
    <w:p w14:paraId="01992DFB">
      <w:pPr>
        <w:pStyle w:val="52"/>
        <w:spacing w:line="560" w:lineRule="exact"/>
        <w:ind w:left="3" w:right="3" w:firstLine="56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rPr>
        <w:t>副组长：</w:t>
      </w:r>
      <w:r>
        <w:rPr>
          <w:rFonts w:hint="eastAsia" w:ascii="仿宋_GB2312" w:hAnsi="仿宋_GB2312" w:eastAsia="仿宋_GB2312" w:cs="仿宋_GB2312"/>
          <w:color w:val="auto"/>
          <w:sz w:val="32"/>
          <w:szCs w:val="32"/>
          <w:highlight w:val="none"/>
          <w:lang w:eastAsia="zh-CN"/>
        </w:rPr>
        <w:t>王立杰</w:t>
      </w:r>
      <w:r>
        <w:rPr>
          <w:rFonts w:hint="eastAsia" w:ascii="仿宋_GB2312" w:hAnsi="仿宋_GB2312" w:eastAsia="仿宋_GB2312" w:cs="仿宋_GB2312"/>
          <w:color w:val="auto"/>
          <w:sz w:val="32"/>
          <w:szCs w:val="32"/>
          <w:highlight w:val="none"/>
          <w:lang w:val="en-US" w:eastAsia="zh-CN"/>
        </w:rPr>
        <w:t xml:space="preserve">                 副乡长</w:t>
      </w:r>
    </w:p>
    <w:p w14:paraId="3A261F4F">
      <w:pPr>
        <w:pStyle w:val="52"/>
        <w:spacing w:line="560" w:lineRule="exact"/>
        <w:ind w:left="0" w:leftChars="0" w:right="3" w:firstLine="640" w:firstLineChars="200"/>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rPr>
        <w:t>成  员：</w:t>
      </w:r>
      <w:r>
        <w:rPr>
          <w:rFonts w:hint="eastAsia" w:ascii="仿宋_GB2312" w:hAnsi="仿宋_GB2312" w:eastAsia="仿宋_GB2312" w:cs="仿宋_GB2312"/>
          <w:color w:val="auto"/>
          <w:sz w:val="32"/>
          <w:szCs w:val="32"/>
          <w:highlight w:val="none"/>
          <w:lang w:eastAsia="zh-CN"/>
        </w:rPr>
        <w:t>肖德泉</w:t>
      </w:r>
      <w:r>
        <w:rPr>
          <w:rFonts w:hint="eastAsia" w:ascii="仿宋_GB2312" w:hAnsi="仿宋_GB2312" w:eastAsia="仿宋_GB2312" w:cs="仿宋_GB2312"/>
          <w:color w:val="auto"/>
          <w:sz w:val="32"/>
          <w:szCs w:val="32"/>
          <w:highlight w:val="none"/>
        </w:rPr>
        <w:t xml:space="preserve">               </w:t>
      </w:r>
      <w:r>
        <w:rPr>
          <w:rFonts w:hint="eastAsia" w:ascii="仿宋_GB2312" w:hAnsi="仿宋_GB2312" w:cs="仿宋_GB2312"/>
          <w:color w:val="auto"/>
          <w:sz w:val="32"/>
          <w:szCs w:val="32"/>
          <w:highlight w:val="none"/>
          <w:lang w:val="en-US" w:eastAsia="zh-CN"/>
        </w:rPr>
        <w:t xml:space="preserve">  </w:t>
      </w:r>
      <w:r>
        <w:rPr>
          <w:rFonts w:hint="eastAsia" w:ascii="仿宋_GB2312" w:hAnsi="仿宋_GB2312" w:eastAsia="仿宋_GB2312" w:cs="仿宋_GB2312"/>
          <w:color w:val="auto"/>
          <w:sz w:val="32"/>
          <w:szCs w:val="32"/>
          <w:highlight w:val="none"/>
          <w:lang w:eastAsia="zh-CN"/>
        </w:rPr>
        <w:t>乡村振兴办干部</w:t>
      </w:r>
    </w:p>
    <w:p w14:paraId="77C9C28A">
      <w:pPr>
        <w:pStyle w:val="52"/>
        <w:spacing w:line="560" w:lineRule="exact"/>
        <w:ind w:right="3" w:firstLine="1920" w:firstLineChars="600"/>
        <w:jc w:val="left"/>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eastAsia="zh-CN"/>
        </w:rPr>
        <w:t>但</w:t>
      </w:r>
      <w:r>
        <w:rPr>
          <w:rFonts w:hint="eastAsia" w:ascii="仿宋_GB2312" w:hAnsi="仿宋_GB2312" w:cs="仿宋_GB2312"/>
          <w:color w:val="auto"/>
          <w:sz w:val="32"/>
          <w:szCs w:val="32"/>
          <w:highlight w:val="none"/>
          <w:lang w:val="en-US" w:eastAsia="zh-CN"/>
        </w:rPr>
        <w:t xml:space="preserve">  </w:t>
      </w:r>
      <w:r>
        <w:rPr>
          <w:rFonts w:hint="eastAsia" w:ascii="仿宋_GB2312" w:hAnsi="仿宋_GB2312" w:eastAsia="仿宋_GB2312" w:cs="仿宋_GB2312"/>
          <w:color w:val="auto"/>
          <w:sz w:val="32"/>
          <w:szCs w:val="32"/>
          <w:highlight w:val="none"/>
          <w:lang w:eastAsia="zh-CN"/>
        </w:rPr>
        <w:t>银</w:t>
      </w:r>
      <w:r>
        <w:rPr>
          <w:rFonts w:hint="eastAsia" w:ascii="仿宋_GB2312" w:hAnsi="仿宋_GB2312" w:eastAsia="仿宋_GB2312" w:cs="仿宋_GB2312"/>
          <w:color w:val="auto"/>
          <w:sz w:val="32"/>
          <w:szCs w:val="32"/>
          <w:highlight w:val="none"/>
        </w:rPr>
        <w:t xml:space="preserve">                 </w:t>
      </w:r>
      <w:r>
        <w:rPr>
          <w:rFonts w:hint="eastAsia" w:ascii="仿宋_GB2312" w:hAnsi="仿宋_GB2312" w:eastAsia="仿宋_GB2312" w:cs="仿宋_GB2312"/>
          <w:color w:val="auto"/>
          <w:sz w:val="32"/>
          <w:szCs w:val="32"/>
          <w:highlight w:val="none"/>
          <w:lang w:eastAsia="zh-CN"/>
        </w:rPr>
        <w:t>乡村振兴办干部</w:t>
      </w:r>
    </w:p>
    <w:p w14:paraId="2B1ABD6F">
      <w:pPr>
        <w:pStyle w:val="52"/>
        <w:spacing w:line="560" w:lineRule="exact"/>
        <w:ind w:left="3" w:right="3" w:firstLine="1920" w:firstLineChars="600"/>
        <w:jc w:val="left"/>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eastAsia="zh-CN"/>
        </w:rPr>
        <w:t>吾加阿西木</w:t>
      </w:r>
      <w:r>
        <w:rPr>
          <w:rFonts w:hint="eastAsia" w:ascii="仿宋_GB2312" w:hAnsi="仿宋_GB2312" w:eastAsia="仿宋_GB2312" w:cs="仿宋_GB2312"/>
          <w:color w:val="auto"/>
          <w:sz w:val="32"/>
          <w:szCs w:val="32"/>
          <w:highlight w:val="none"/>
          <w:lang w:val="en-US" w:eastAsia="zh-CN"/>
        </w:rPr>
        <w:t>·艾山</w:t>
      </w:r>
      <w:r>
        <w:rPr>
          <w:rFonts w:hint="eastAsia" w:ascii="仿宋_GB2312" w:hAnsi="仿宋_GB2312" w:eastAsia="仿宋_GB2312" w:cs="仿宋_GB2312"/>
          <w:color w:val="auto"/>
          <w:sz w:val="32"/>
          <w:szCs w:val="32"/>
          <w:highlight w:val="none"/>
        </w:rPr>
        <w:t xml:space="preserve">       </w:t>
      </w:r>
      <w:r>
        <w:rPr>
          <w:rFonts w:hint="eastAsia" w:ascii="仿宋_GB2312" w:hAnsi="仿宋_GB2312" w:eastAsia="仿宋_GB2312" w:cs="仿宋_GB2312"/>
          <w:color w:val="auto"/>
          <w:sz w:val="32"/>
          <w:szCs w:val="32"/>
          <w:highlight w:val="none"/>
          <w:lang w:eastAsia="zh-CN"/>
        </w:rPr>
        <w:t>乡财政所所长</w:t>
      </w:r>
    </w:p>
    <w:p w14:paraId="228AD6DF">
      <w:pPr>
        <w:pStyle w:val="52"/>
        <w:spacing w:line="560" w:lineRule="exact"/>
        <w:ind w:left="3" w:right="3" w:firstLine="56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办公室负责项目的计划制定、实施，督查、指导相关单位共同做好项目管理工作。切实把该项目作为</w:t>
      </w:r>
      <w:r>
        <w:rPr>
          <w:rFonts w:hint="eastAsia" w:ascii="仿宋_GB2312" w:hAnsi="仿宋_GB2312" w:eastAsia="仿宋_GB2312" w:cs="仿宋_GB2312"/>
          <w:color w:val="auto"/>
          <w:sz w:val="32"/>
          <w:szCs w:val="32"/>
          <w:highlight w:val="none"/>
          <w:lang w:eastAsia="zh-CN"/>
        </w:rPr>
        <w:t>农村人居环境</w:t>
      </w:r>
      <w:r>
        <w:rPr>
          <w:rFonts w:hint="eastAsia" w:ascii="仿宋_GB2312" w:hAnsi="仿宋_GB2312" w:eastAsia="仿宋_GB2312" w:cs="仿宋_GB2312"/>
          <w:color w:val="auto"/>
          <w:sz w:val="32"/>
          <w:szCs w:val="32"/>
          <w:highlight w:val="none"/>
        </w:rPr>
        <w:t>建设的重要举措来抓，加强领导，明确分工，落实责任，密切配合，形成合力，推动该项目顺利实施。由</w:t>
      </w:r>
      <w:r>
        <w:rPr>
          <w:rFonts w:hint="eastAsia" w:ascii="仿宋_GB2312" w:hAnsi="仿宋_GB2312" w:eastAsia="仿宋_GB2312" w:cs="仿宋_GB2312"/>
          <w:color w:val="auto"/>
          <w:sz w:val="32"/>
          <w:szCs w:val="32"/>
          <w:highlight w:val="none"/>
          <w:lang w:eastAsia="zh-CN"/>
        </w:rPr>
        <w:t>于田县斯也克乡人民政府</w:t>
      </w:r>
      <w:r>
        <w:rPr>
          <w:rFonts w:hint="eastAsia" w:ascii="仿宋_GB2312" w:hAnsi="仿宋_GB2312" w:eastAsia="仿宋_GB2312" w:cs="仿宋_GB2312"/>
          <w:color w:val="auto"/>
          <w:sz w:val="32"/>
          <w:szCs w:val="32"/>
          <w:highlight w:val="none"/>
        </w:rPr>
        <w:t>牵头，负责整个项目的统筹安排和经费使用管理工作，实现分级管理制度。</w:t>
      </w:r>
    </w:p>
    <w:p w14:paraId="00C6C9FC">
      <w:pPr>
        <w:pStyle w:val="33"/>
        <w:spacing w:before="0" w:beforeLines="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2.组织实施</w:t>
      </w:r>
    </w:p>
    <w:p w14:paraId="5E7E4EC4">
      <w:pPr>
        <w:pStyle w:val="52"/>
        <w:spacing w:line="560" w:lineRule="exact"/>
        <w:ind w:left="3" w:right="3" w:firstLine="56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成立绩效自评工作组后，经评价组通过实地调研等方式，采用综合分析法对项目的决策、管理、绩效进行的综合评价分析。</w:t>
      </w:r>
    </w:p>
    <w:p w14:paraId="4A838E80">
      <w:pPr>
        <w:pStyle w:val="33"/>
        <w:spacing w:before="0" w:beforeLines="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3.分析评价。</w:t>
      </w:r>
    </w:p>
    <w:p w14:paraId="2803CD9B">
      <w:pPr>
        <w:pStyle w:val="52"/>
        <w:spacing w:line="560" w:lineRule="exact"/>
        <w:ind w:left="3" w:right="3" w:firstLine="56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首先按照指标体系进行定量、定性分析。其次开展量化打分、综合评价工作，形成初步评价结论。最后归纳整体项目情况与存在问题，撰写绩效自评报告。</w:t>
      </w:r>
    </w:p>
    <w:p w14:paraId="68D69BBD">
      <w:pPr>
        <w:pStyle w:val="52"/>
        <w:spacing w:line="560" w:lineRule="exact"/>
        <w:ind w:left="3" w:right="3" w:firstLine="56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（1）绩效自评指标体系</w:t>
      </w:r>
    </w:p>
    <w:p w14:paraId="79A32890">
      <w:pPr>
        <w:pStyle w:val="52"/>
        <w:spacing w:line="560" w:lineRule="exact"/>
        <w:ind w:left="3" w:right="3" w:firstLine="56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按照《自治区财政专项扶贫资金绩效管理操作指南》（新财预〔2019〕170号）文件要求，并根据项目各项指标重要程度确定二级指标的分值，并对核心指标赋予更高的权重。其中：数量指标</w:t>
      </w: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rPr>
        <w:t>分、质量指标</w:t>
      </w:r>
      <w:r>
        <w:rPr>
          <w:rFonts w:hint="eastAsia" w:ascii="仿宋_GB2312" w:hAnsi="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rPr>
        <w:t>分，时效指标</w:t>
      </w:r>
      <w:r>
        <w:rPr>
          <w:rFonts w:hint="eastAsia" w:ascii="仿宋_GB2312" w:hAnsi="仿宋_GB2312" w:eastAsia="仿宋_GB2312" w:cs="仿宋_GB2312"/>
          <w:color w:val="auto"/>
          <w:sz w:val="32"/>
          <w:szCs w:val="32"/>
          <w:highlight w:val="none"/>
          <w:lang w:val="en-US" w:eastAsia="zh-CN"/>
        </w:rPr>
        <w:t>10</w:t>
      </w:r>
      <w:r>
        <w:rPr>
          <w:rFonts w:hint="eastAsia" w:ascii="仿宋_GB2312" w:hAnsi="仿宋_GB2312" w:eastAsia="仿宋_GB2312" w:cs="仿宋_GB2312"/>
          <w:color w:val="auto"/>
          <w:sz w:val="32"/>
          <w:szCs w:val="32"/>
          <w:highlight w:val="none"/>
        </w:rPr>
        <w:t>分、成本指标</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rPr>
        <w:t>分、社会效益指标</w:t>
      </w:r>
      <w:r>
        <w:rPr>
          <w:rFonts w:hint="eastAsia" w:ascii="仿宋_GB2312" w:hAnsi="仿宋_GB2312" w:cs="仿宋_GB2312"/>
          <w:color w:val="auto"/>
          <w:sz w:val="32"/>
          <w:szCs w:val="32"/>
          <w:highlight w:val="none"/>
          <w:lang w:val="en-US" w:eastAsia="zh-CN"/>
        </w:rPr>
        <w:t>15</w:t>
      </w:r>
      <w:r>
        <w:rPr>
          <w:rFonts w:hint="eastAsia" w:ascii="仿宋_GB2312" w:hAnsi="仿宋_GB2312" w:eastAsia="仿宋_GB2312" w:cs="仿宋_GB2312"/>
          <w:color w:val="auto"/>
          <w:sz w:val="32"/>
          <w:szCs w:val="32"/>
          <w:highlight w:val="none"/>
        </w:rPr>
        <w:t>分、可持续影响指标</w:t>
      </w:r>
      <w:r>
        <w:rPr>
          <w:rFonts w:hint="eastAsia" w:ascii="仿宋_GB2312" w:hAnsi="仿宋_GB2312" w:cs="仿宋_GB2312"/>
          <w:color w:val="auto"/>
          <w:sz w:val="32"/>
          <w:szCs w:val="32"/>
          <w:highlight w:val="none"/>
          <w:lang w:val="en-US" w:eastAsia="zh-CN"/>
        </w:rPr>
        <w:t>15</w:t>
      </w:r>
      <w:r>
        <w:rPr>
          <w:rFonts w:hint="eastAsia" w:ascii="仿宋_GB2312" w:hAnsi="仿宋_GB2312" w:eastAsia="仿宋_GB2312" w:cs="仿宋_GB2312"/>
          <w:color w:val="auto"/>
          <w:sz w:val="32"/>
          <w:szCs w:val="32"/>
          <w:highlight w:val="none"/>
        </w:rPr>
        <w:t>分、满意度指标10分、预算资金执行率10分，满分100分。</w:t>
      </w:r>
    </w:p>
    <w:p w14:paraId="6DC202C3">
      <w:pPr>
        <w:pStyle w:val="52"/>
        <w:spacing w:line="560" w:lineRule="exact"/>
        <w:ind w:left="3" w:right="3" w:firstLine="56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（2）绩效自评方法</w:t>
      </w:r>
    </w:p>
    <w:p w14:paraId="1A5E6AD7">
      <w:pPr>
        <w:pStyle w:val="52"/>
        <w:spacing w:line="560" w:lineRule="exact"/>
        <w:ind w:left="3" w:right="3" w:firstLine="56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本次绩效自评采用比较法和综合分析法对项目资金的使用管理、项目产出、综合效益等进行评价。</w:t>
      </w:r>
    </w:p>
    <w:p w14:paraId="58F07D6B">
      <w:pPr>
        <w:pStyle w:val="52"/>
        <w:spacing w:line="560" w:lineRule="exact"/>
        <w:ind w:left="3" w:right="3" w:firstLine="56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（3）绩效自评标准</w:t>
      </w:r>
    </w:p>
    <w:p w14:paraId="69DAA810">
      <w:pPr>
        <w:pStyle w:val="52"/>
        <w:spacing w:line="560" w:lineRule="exact"/>
        <w:ind w:left="3" w:right="3" w:firstLine="56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绩效评价标准通常包括计划标准、行业标准、历史标准等，用于对绩效指标完成情况进行比较。本次评价主要采用了计划标准，以预先制定的目标、计划、预算、定额等作为评价标准，对比分析项目产出、效益的完成情况。</w:t>
      </w:r>
    </w:p>
    <w:p w14:paraId="7F5A0324">
      <w:pPr>
        <w:pStyle w:val="52"/>
        <w:spacing w:line="560" w:lineRule="exact"/>
        <w:ind w:left="3" w:right="3" w:firstLine="56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（4）绩效自评等级</w:t>
      </w:r>
    </w:p>
    <w:p w14:paraId="6F4E2628">
      <w:pPr>
        <w:pStyle w:val="52"/>
        <w:spacing w:line="560" w:lineRule="exact"/>
        <w:ind w:left="3" w:right="3" w:firstLine="56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绩效自评总分值100分，根据评分结果，90（含）-100分为优、80（含）-90分为良、60（含）-80分为中、60分以下为差。</w:t>
      </w:r>
    </w:p>
    <w:p w14:paraId="377589C7">
      <w:pPr>
        <w:pStyle w:val="29"/>
        <w:spacing w:before="120"/>
        <w:ind w:leftChars="0" w:right="3" w:firstLine="643"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三、绩效目标自评完成情况分析</w:t>
      </w:r>
    </w:p>
    <w:p w14:paraId="3BC34726">
      <w:pPr>
        <w:spacing w:line="560" w:lineRule="exact"/>
        <w:ind w:firstLine="627" w:firstLineChars="200"/>
        <w:rPr>
          <w:rStyle w:val="19"/>
          <w:rFonts w:hint="eastAsia" w:ascii="仿宋_GB2312" w:hAnsi="仿宋_GB2312" w:eastAsia="仿宋_GB2312" w:cs="仿宋_GB2312"/>
          <w:color w:val="auto"/>
          <w:spacing w:val="-4"/>
          <w:sz w:val="32"/>
          <w:szCs w:val="32"/>
          <w:highlight w:val="none"/>
        </w:rPr>
      </w:pPr>
      <w:r>
        <w:rPr>
          <w:rStyle w:val="19"/>
          <w:rFonts w:hint="eastAsia" w:ascii="仿宋_GB2312" w:hAnsi="仿宋_GB2312" w:eastAsia="仿宋_GB2312" w:cs="仿宋_GB2312"/>
          <w:color w:val="auto"/>
          <w:spacing w:val="-4"/>
          <w:sz w:val="32"/>
          <w:szCs w:val="32"/>
          <w:highlight w:val="none"/>
        </w:rPr>
        <w:t>（一）资金投入情况分析</w:t>
      </w:r>
    </w:p>
    <w:p w14:paraId="6534A98C">
      <w:pPr>
        <w:pStyle w:val="33"/>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1.项目资金到位情况分析</w:t>
      </w:r>
    </w:p>
    <w:p w14:paraId="0F98E68B">
      <w:pPr>
        <w:pStyle w:val="52"/>
        <w:spacing w:line="560" w:lineRule="exact"/>
        <w:ind w:left="0" w:leftChars="0" w:right="3" w:firstLine="56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于田县斯也克乡葡萄基地沉砂池及附属设施建设项目预算安排总额为</w:t>
      </w:r>
      <w:r>
        <w:rPr>
          <w:rFonts w:hint="eastAsia" w:ascii="仿宋_GB2312" w:hAnsi="仿宋_GB2312" w:cs="仿宋_GB2312"/>
          <w:color w:val="auto"/>
          <w:sz w:val="32"/>
          <w:szCs w:val="32"/>
          <w:highlight w:val="none"/>
          <w:lang w:val="en-US" w:eastAsia="zh-CN"/>
        </w:rPr>
        <w:t>150</w:t>
      </w:r>
      <w:r>
        <w:rPr>
          <w:rFonts w:hint="eastAsia" w:ascii="仿宋_GB2312" w:hAnsi="仿宋_GB2312" w:eastAsia="仿宋_GB2312" w:cs="仿宋_GB2312"/>
          <w:color w:val="auto"/>
          <w:sz w:val="32"/>
          <w:szCs w:val="32"/>
          <w:highlight w:val="none"/>
        </w:rPr>
        <w:t>万元，其中：</w:t>
      </w:r>
      <w:r>
        <w:rPr>
          <w:rFonts w:hint="eastAsia" w:ascii="仿宋_GB2312" w:hAnsi="仿宋_GB2312" w:cs="仿宋_GB2312"/>
          <w:color w:val="auto"/>
          <w:sz w:val="32"/>
          <w:szCs w:val="32"/>
          <w:highlight w:val="none"/>
          <w:lang w:val="en-US" w:eastAsia="zh-CN"/>
        </w:rPr>
        <w:t>乡村振兴衔接资金150</w:t>
      </w:r>
      <w:r>
        <w:rPr>
          <w:rFonts w:hint="eastAsia" w:ascii="仿宋_GB2312" w:hAnsi="仿宋_GB2312" w:eastAsia="仿宋_GB2312" w:cs="仿宋_GB2312"/>
          <w:color w:val="auto"/>
          <w:sz w:val="32"/>
          <w:szCs w:val="32"/>
          <w:highlight w:val="none"/>
        </w:rPr>
        <w:t>万元。预算资金到位率为100.00%。</w:t>
      </w:r>
    </w:p>
    <w:p w14:paraId="7D9307B5">
      <w:pPr>
        <w:pStyle w:val="52"/>
        <w:spacing w:line="560" w:lineRule="exact"/>
        <w:ind w:left="0" w:leftChars="0" w:right="3" w:firstLine="562"/>
        <w:rPr>
          <w:rFonts w:hint="eastAsia" w:ascii="仿宋_GB2312" w:hAnsi="仿宋_GB2312" w:eastAsia="仿宋_GB2312" w:cs="仿宋_GB2312"/>
          <w:b/>
          <w:color w:val="auto"/>
          <w:sz w:val="32"/>
          <w:szCs w:val="32"/>
          <w:highlight w:val="none"/>
        </w:rPr>
      </w:pPr>
      <w:r>
        <w:rPr>
          <w:rFonts w:hint="eastAsia" w:ascii="仿宋_GB2312" w:hAnsi="仿宋_GB2312" w:eastAsia="仿宋_GB2312" w:cs="仿宋_GB2312"/>
          <w:b/>
          <w:color w:val="auto"/>
          <w:sz w:val="32"/>
          <w:szCs w:val="32"/>
          <w:highlight w:val="none"/>
        </w:rPr>
        <w:t>2.项目资金执行情况分析</w:t>
      </w:r>
    </w:p>
    <w:p w14:paraId="5150C723">
      <w:pPr>
        <w:pStyle w:val="52"/>
        <w:spacing w:line="560" w:lineRule="exact"/>
        <w:ind w:left="0" w:leftChars="0" w:right="3" w:firstLine="56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于田县斯也克乡葡萄基地沉砂池及附属设施建设项目预算投入资金</w:t>
      </w:r>
      <w:r>
        <w:rPr>
          <w:rFonts w:hint="eastAsia" w:ascii="仿宋_GB2312" w:hAnsi="仿宋_GB2312" w:cs="仿宋_GB2312"/>
          <w:color w:val="auto"/>
          <w:sz w:val="32"/>
          <w:szCs w:val="32"/>
          <w:highlight w:val="none"/>
          <w:lang w:val="en-US" w:eastAsia="zh-CN"/>
        </w:rPr>
        <w:t>150</w:t>
      </w:r>
      <w:r>
        <w:rPr>
          <w:rFonts w:hint="eastAsia" w:ascii="仿宋_GB2312" w:hAnsi="仿宋_GB2312" w:eastAsia="仿宋_GB2312" w:cs="仿宋_GB2312"/>
          <w:color w:val="auto"/>
          <w:sz w:val="32"/>
          <w:szCs w:val="32"/>
          <w:highlight w:val="none"/>
        </w:rPr>
        <w:t>万元，实际合同价共支付</w:t>
      </w:r>
      <w:r>
        <w:rPr>
          <w:rFonts w:hint="eastAsia" w:ascii="仿宋_GB2312" w:hAnsi="仿宋_GB2312" w:cs="仿宋_GB2312"/>
          <w:color w:val="auto"/>
          <w:sz w:val="32"/>
          <w:szCs w:val="32"/>
          <w:highlight w:val="none"/>
          <w:lang w:val="en-US" w:eastAsia="zh-CN"/>
        </w:rPr>
        <w:t>136.16</w:t>
      </w:r>
      <w:r>
        <w:rPr>
          <w:rFonts w:hint="eastAsia" w:ascii="仿宋_GB2312" w:hAnsi="仿宋_GB2312" w:eastAsia="仿宋_GB2312" w:cs="仿宋_GB2312"/>
          <w:color w:val="auto"/>
          <w:sz w:val="32"/>
          <w:szCs w:val="32"/>
          <w:highlight w:val="none"/>
        </w:rPr>
        <w:t>万元，其中：建筑投资</w:t>
      </w:r>
      <w:r>
        <w:rPr>
          <w:rFonts w:hint="eastAsia" w:ascii="仿宋_GB2312" w:hAnsi="仿宋_GB2312" w:cs="仿宋_GB2312"/>
          <w:color w:val="auto"/>
          <w:sz w:val="32"/>
          <w:szCs w:val="32"/>
          <w:highlight w:val="none"/>
          <w:lang w:val="en-US" w:eastAsia="zh-CN"/>
        </w:rPr>
        <w:t>124.27</w:t>
      </w:r>
      <w:r>
        <w:rPr>
          <w:rFonts w:hint="eastAsia" w:ascii="仿宋_GB2312" w:hAnsi="仿宋_GB2312" w:eastAsia="仿宋_GB2312" w:cs="仿宋_GB2312"/>
          <w:color w:val="auto"/>
          <w:sz w:val="32"/>
          <w:szCs w:val="32"/>
          <w:highlight w:val="none"/>
        </w:rPr>
        <w:t>万元,其他待摊</w:t>
      </w:r>
      <w:r>
        <w:rPr>
          <w:rFonts w:hint="eastAsia" w:ascii="仿宋_GB2312" w:hAnsi="仿宋_GB2312" w:cs="仿宋_GB2312"/>
          <w:color w:val="auto"/>
          <w:sz w:val="32"/>
          <w:szCs w:val="32"/>
          <w:highlight w:val="none"/>
          <w:lang w:val="en-US" w:eastAsia="zh-CN"/>
        </w:rPr>
        <w:t>11.89</w:t>
      </w:r>
      <w:r>
        <w:rPr>
          <w:rFonts w:hint="eastAsia" w:ascii="仿宋_GB2312" w:hAnsi="仿宋_GB2312" w:eastAsia="仿宋_GB2312" w:cs="仿宋_GB2312"/>
          <w:color w:val="auto"/>
          <w:sz w:val="32"/>
          <w:szCs w:val="32"/>
          <w:highlight w:val="none"/>
        </w:rPr>
        <w:t>万元；实际工程</w:t>
      </w:r>
      <w:r>
        <w:rPr>
          <w:rFonts w:hint="eastAsia" w:ascii="仿宋_GB2312" w:hAnsi="仿宋_GB2312" w:cs="仿宋_GB2312"/>
          <w:color w:val="auto"/>
          <w:sz w:val="32"/>
          <w:szCs w:val="32"/>
          <w:highlight w:val="none"/>
          <w:lang w:val="en-US" w:eastAsia="zh-CN"/>
        </w:rPr>
        <w:t>节</w:t>
      </w:r>
      <w:r>
        <w:rPr>
          <w:rFonts w:hint="eastAsia" w:ascii="仿宋_GB2312" w:hAnsi="仿宋_GB2312" w:eastAsia="仿宋_GB2312" w:cs="仿宋_GB2312"/>
          <w:color w:val="auto"/>
          <w:sz w:val="32"/>
          <w:szCs w:val="32"/>
          <w:highlight w:val="none"/>
        </w:rPr>
        <w:t>概资金</w:t>
      </w:r>
      <w:r>
        <w:rPr>
          <w:rFonts w:hint="eastAsia" w:ascii="仿宋_GB2312" w:hAnsi="仿宋_GB2312" w:cs="仿宋_GB2312"/>
          <w:color w:val="auto"/>
          <w:sz w:val="32"/>
          <w:szCs w:val="32"/>
          <w:highlight w:val="none"/>
          <w:lang w:val="en-US" w:eastAsia="zh-CN"/>
        </w:rPr>
        <w:t>13.84</w:t>
      </w:r>
      <w:r>
        <w:rPr>
          <w:rFonts w:hint="eastAsia" w:ascii="仿宋_GB2312" w:hAnsi="仿宋_GB2312" w:eastAsia="仿宋_GB2312" w:cs="仿宋_GB2312"/>
          <w:color w:val="auto"/>
          <w:sz w:val="32"/>
          <w:szCs w:val="32"/>
          <w:highlight w:val="none"/>
        </w:rPr>
        <w:t>万元。</w:t>
      </w:r>
      <w:r>
        <w:rPr>
          <w:rFonts w:hint="eastAsia" w:ascii="仿宋_GB2312" w:hAnsi="仿宋_GB2312" w:cs="仿宋_GB2312"/>
          <w:color w:val="auto"/>
          <w:sz w:val="32"/>
          <w:szCs w:val="32"/>
          <w:highlight w:val="none"/>
          <w:lang w:val="en-US" w:eastAsia="zh-CN"/>
        </w:rPr>
        <w:t>截止2024年12月31日，</w:t>
      </w:r>
      <w:r>
        <w:rPr>
          <w:rFonts w:hint="eastAsia" w:ascii="仿宋_GB2312" w:hAnsi="仿宋_GB2312" w:eastAsia="仿宋_GB2312" w:cs="仿宋_GB2312"/>
          <w:color w:val="auto"/>
          <w:sz w:val="32"/>
          <w:szCs w:val="32"/>
          <w:highlight w:val="none"/>
        </w:rPr>
        <w:t>实际支出</w:t>
      </w:r>
      <w:r>
        <w:rPr>
          <w:rFonts w:hint="eastAsia" w:ascii="仿宋_GB2312" w:hAnsi="仿宋_GB2312" w:cs="仿宋_GB2312"/>
          <w:color w:val="auto"/>
          <w:sz w:val="32"/>
          <w:szCs w:val="32"/>
          <w:highlight w:val="none"/>
          <w:lang w:val="en-US" w:eastAsia="zh-CN"/>
        </w:rPr>
        <w:t>136.16</w:t>
      </w:r>
      <w:r>
        <w:rPr>
          <w:rFonts w:hint="eastAsia" w:ascii="仿宋_GB2312" w:hAnsi="仿宋_GB2312" w:eastAsia="仿宋_GB2312" w:cs="仿宋_GB2312"/>
          <w:color w:val="auto"/>
          <w:sz w:val="32"/>
          <w:szCs w:val="32"/>
          <w:highlight w:val="none"/>
        </w:rPr>
        <w:t>万元，预算资金执行率</w:t>
      </w:r>
      <w:r>
        <w:rPr>
          <w:rFonts w:hint="eastAsia" w:ascii="仿宋_GB2312" w:hAnsi="仿宋_GB2312" w:cs="仿宋_GB2312"/>
          <w:color w:val="auto"/>
          <w:sz w:val="32"/>
          <w:szCs w:val="32"/>
          <w:highlight w:val="none"/>
          <w:lang w:val="en-US" w:eastAsia="zh-CN"/>
        </w:rPr>
        <w:t>90.77</w:t>
      </w:r>
      <w:r>
        <w:rPr>
          <w:rFonts w:hint="eastAsia" w:ascii="仿宋_GB2312" w:hAnsi="仿宋_GB2312" w:eastAsia="仿宋_GB2312" w:cs="仿宋_GB2312"/>
          <w:color w:val="auto"/>
          <w:sz w:val="32"/>
          <w:szCs w:val="32"/>
          <w:highlight w:val="none"/>
        </w:rPr>
        <w:t>%。</w:t>
      </w:r>
    </w:p>
    <w:p w14:paraId="5D273614">
      <w:pPr>
        <w:pStyle w:val="33"/>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3.项目资金管理情况分析</w:t>
      </w:r>
    </w:p>
    <w:p w14:paraId="4A835EB4">
      <w:pPr>
        <w:pStyle w:val="52"/>
        <w:spacing w:line="560" w:lineRule="exact"/>
        <w:ind w:left="0" w:leftChars="0" w:right="3" w:firstLine="56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项目资金使用和管理按照关于印发《中央财政衔接推进乡村振兴补助资金管理办法》的通知（财农〔2021〕19号）、《新疆维吾尔自治区财政财政衔接推进乡村振兴补助资金管理办法》（新财规〔2021〕11号）等相关文件要求。项目实施单位依据项目计划，提出支付申请并提供相关真实、合规的证明材料，制定资金使用计划，经审核后按照国库集中支付管理制度的规定和程序及时支付资金。资金的拨付过程有完整的审批程序和手续，不存在截留、挤占、挪用等情况。</w:t>
      </w:r>
    </w:p>
    <w:p w14:paraId="4DB8EE40">
      <w:pPr>
        <w:pStyle w:val="52"/>
        <w:spacing w:line="560" w:lineRule="exact"/>
        <w:ind w:leftChars="0" w:right="3" w:firstLine="562"/>
        <w:rPr>
          <w:rFonts w:hint="eastAsia" w:ascii="仿宋_GB2312" w:hAnsi="仿宋_GB2312" w:eastAsia="仿宋_GB2312" w:cs="仿宋_GB2312"/>
          <w:b/>
          <w:color w:val="auto"/>
          <w:sz w:val="32"/>
          <w:szCs w:val="32"/>
          <w:highlight w:val="none"/>
        </w:rPr>
      </w:pPr>
      <w:r>
        <w:rPr>
          <w:rFonts w:hint="eastAsia" w:ascii="仿宋_GB2312" w:hAnsi="仿宋_GB2312" w:eastAsia="仿宋_GB2312" w:cs="仿宋_GB2312"/>
          <w:b/>
          <w:color w:val="auto"/>
          <w:sz w:val="32"/>
          <w:szCs w:val="32"/>
          <w:highlight w:val="none"/>
        </w:rPr>
        <w:t>4.项目管理情况分析</w:t>
      </w:r>
    </w:p>
    <w:p w14:paraId="4930AA28">
      <w:pPr>
        <w:pStyle w:val="52"/>
        <w:spacing w:line="580" w:lineRule="exact"/>
        <w:ind w:left="0" w:leftChars="0" w:right="3" w:firstLine="56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在项目实施中，</w:t>
      </w:r>
      <w:r>
        <w:rPr>
          <w:rFonts w:hint="eastAsia" w:ascii="仿宋_GB2312" w:hAnsi="仿宋_GB2312" w:eastAsia="仿宋_GB2312" w:cs="仿宋_GB2312"/>
          <w:color w:val="auto"/>
          <w:sz w:val="32"/>
          <w:szCs w:val="32"/>
          <w:highlight w:val="none"/>
          <w:lang w:eastAsia="zh-CN"/>
        </w:rPr>
        <w:t>于田县斯也克乡人民政府</w:t>
      </w:r>
      <w:r>
        <w:rPr>
          <w:rFonts w:hint="eastAsia" w:ascii="仿宋_GB2312" w:hAnsi="仿宋_GB2312" w:eastAsia="仿宋_GB2312" w:cs="仿宋_GB2312"/>
          <w:color w:val="auto"/>
          <w:sz w:val="32"/>
          <w:szCs w:val="32"/>
          <w:highlight w:val="none"/>
        </w:rPr>
        <w:t>建立了项目管理制度，用以保障本项目的顺利实施。项目的实施遵守相关法律法规和业务管理规定，项目资料齐全并及时归档。已建立项目监督检查机制，不定期对项目进度情况进行督导检查，对检查过程中发现的问题及时督促整改，确保了项目按时保质完成。</w:t>
      </w:r>
    </w:p>
    <w:p w14:paraId="5EDF7346">
      <w:pPr>
        <w:spacing w:line="580" w:lineRule="exact"/>
        <w:ind w:firstLine="627" w:firstLineChars="200"/>
        <w:rPr>
          <w:rStyle w:val="19"/>
          <w:rFonts w:hint="eastAsia" w:ascii="仿宋_GB2312" w:hAnsi="仿宋_GB2312" w:eastAsia="仿宋_GB2312" w:cs="仿宋_GB2312"/>
          <w:color w:val="auto"/>
          <w:spacing w:val="-4"/>
          <w:sz w:val="32"/>
          <w:szCs w:val="32"/>
          <w:highlight w:val="none"/>
        </w:rPr>
      </w:pPr>
      <w:r>
        <w:rPr>
          <w:rStyle w:val="19"/>
          <w:rFonts w:hint="eastAsia" w:ascii="仿宋_GB2312" w:hAnsi="仿宋_GB2312" w:eastAsia="仿宋_GB2312" w:cs="仿宋_GB2312"/>
          <w:color w:val="auto"/>
          <w:spacing w:val="-4"/>
          <w:sz w:val="32"/>
          <w:szCs w:val="32"/>
          <w:highlight w:val="none"/>
        </w:rPr>
        <w:t>（二）绩效目标完成情况分析</w:t>
      </w:r>
    </w:p>
    <w:p w14:paraId="08FE90BA">
      <w:pPr>
        <w:pStyle w:val="52"/>
        <w:spacing w:line="580" w:lineRule="exact"/>
        <w:ind w:left="0" w:leftChars="0" w:right="3" w:firstLine="560"/>
        <w:jc w:val="left"/>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本项目在202</w:t>
      </w:r>
      <w:r>
        <w:rPr>
          <w:rFonts w:hint="eastAsia" w:ascii="仿宋_GB2312" w:hAnsi="仿宋_GB2312" w:eastAsia="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rPr>
        <w:t>年截止</w:t>
      </w:r>
      <w:r>
        <w:rPr>
          <w:rFonts w:hint="eastAsia" w:ascii="仿宋_GB2312" w:hAnsi="仿宋_GB2312" w:cs="仿宋_GB2312"/>
          <w:color w:val="auto"/>
          <w:sz w:val="32"/>
          <w:szCs w:val="32"/>
          <w:highlight w:val="none"/>
          <w:lang w:val="en-US" w:eastAsia="zh-CN"/>
        </w:rPr>
        <w:t>12</w:t>
      </w:r>
      <w:r>
        <w:rPr>
          <w:rFonts w:hint="eastAsia" w:ascii="仿宋_GB2312" w:hAnsi="仿宋_GB2312" w:eastAsia="仿宋_GB2312" w:cs="仿宋_GB2312"/>
          <w:color w:val="auto"/>
          <w:sz w:val="32"/>
          <w:szCs w:val="32"/>
          <w:highlight w:val="none"/>
        </w:rPr>
        <w:t>月底，工程已完成新建引水渠道 362.6米，配套渠系建筑物 2 座：其中节制右分水闸 1 座、6米宽农桥1座；沉砂池1座，沉砂池有效容积650立方米.首部配套设施及 24 平方米泵房 1 座，闸阀井 1 座，250 阀门 1套，250 输水管线 702.4米；0.4千伏 线路 300米，变压器（100千伏）1 套，房屋拆旧500 平方米。项目的实施，提高灌区的渠系年节水量，提高农牧民节水意识，提高当地经济实力，持续增加农牧民收入。</w:t>
      </w:r>
    </w:p>
    <w:p w14:paraId="26A358D3">
      <w:pPr>
        <w:pStyle w:val="52"/>
        <w:ind w:left="0" w:leftChars="0" w:right="0" w:rightChars="0" w:firstLine="56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本项目共设置本项目共设置一级指标3个，二级指标</w:t>
      </w:r>
      <w:r>
        <w:rPr>
          <w:rFonts w:hint="eastAsia" w:ascii="仿宋_GB2312" w:hAnsi="仿宋_GB2312" w:eastAsia="仿宋_GB2312" w:cs="仿宋_GB2312"/>
          <w:color w:val="auto"/>
          <w:sz w:val="32"/>
          <w:szCs w:val="32"/>
          <w:highlight w:val="none"/>
          <w:lang w:val="en-US" w:eastAsia="zh-CN"/>
        </w:rPr>
        <w:t>7</w:t>
      </w:r>
      <w:r>
        <w:rPr>
          <w:rFonts w:hint="eastAsia" w:ascii="仿宋_GB2312" w:hAnsi="仿宋_GB2312" w:eastAsia="仿宋_GB2312" w:cs="仿宋_GB2312"/>
          <w:color w:val="auto"/>
          <w:sz w:val="32"/>
          <w:szCs w:val="32"/>
          <w:highlight w:val="none"/>
        </w:rPr>
        <w:t>个，三级指标1</w:t>
      </w:r>
      <w:r>
        <w:rPr>
          <w:rFonts w:hint="eastAsia" w:ascii="仿宋_GB2312" w:hAnsi="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rPr>
        <w:t>个</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指标完成率为</w:t>
      </w:r>
      <w:bookmarkStart w:id="4" w:name="_GoBack"/>
      <w:bookmarkEnd w:id="4"/>
      <w:r>
        <w:rPr>
          <w:rFonts w:hint="eastAsia" w:ascii="仿宋_GB2312" w:hAnsi="仿宋_GB2312" w:cs="仿宋_GB2312"/>
          <w:color w:val="auto"/>
          <w:sz w:val="32"/>
          <w:szCs w:val="32"/>
          <w:highlight w:val="none"/>
          <w:lang w:val="en-US" w:eastAsia="zh-CN"/>
        </w:rPr>
        <w:t>75</w:t>
      </w:r>
      <w:r>
        <w:rPr>
          <w:rFonts w:hint="eastAsia" w:ascii="仿宋_GB2312" w:hAnsi="仿宋_GB2312" w:eastAsia="仿宋_GB2312" w:cs="仿宋_GB2312"/>
          <w:color w:val="auto"/>
          <w:sz w:val="32"/>
          <w:szCs w:val="32"/>
          <w:highlight w:val="none"/>
        </w:rPr>
        <w:t>%，指标完成情况分析如下：</w:t>
      </w:r>
    </w:p>
    <w:p w14:paraId="7FFC36BB">
      <w:pPr>
        <w:pStyle w:val="52"/>
        <w:ind w:left="0" w:leftChars="0" w:right="0" w:rightChars="0" w:firstLine="56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1.产出指标完成情况分析</w:t>
      </w:r>
    </w:p>
    <w:p w14:paraId="248EDD10">
      <w:pPr>
        <w:pStyle w:val="52"/>
        <w:ind w:left="0" w:leftChars="0" w:right="0" w:rightChars="0" w:firstLine="56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1.1项目完成数量</w:t>
      </w:r>
    </w:p>
    <w:p w14:paraId="581B4EEC">
      <w:pPr>
        <w:pStyle w:val="52"/>
        <w:ind w:left="0" w:leftChars="0" w:right="0" w:rightChars="0" w:firstLine="560"/>
        <w:rPr>
          <w:rFonts w:hint="eastAsia" w:ascii="仿宋_GB2312" w:hAnsi="仿宋_GB2312" w:eastAsia="仿宋_GB2312" w:cs="仿宋_GB2312"/>
          <w:color w:val="auto"/>
          <w:sz w:val="32"/>
          <w:szCs w:val="32"/>
          <w:highlight w:val="none"/>
        </w:rPr>
      </w:pPr>
      <w:bookmarkStart w:id="1" w:name="OLE_LINK4"/>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eastAsia="zh-CN"/>
        </w:rPr>
        <w:t>新建引水渠道</w:t>
      </w:r>
      <w:r>
        <w:rPr>
          <w:rFonts w:hint="eastAsia" w:ascii="仿宋_GB2312" w:hAnsi="仿宋_GB2312" w:eastAsia="仿宋_GB2312" w:cs="仿宋_GB2312"/>
          <w:color w:val="auto"/>
          <w:sz w:val="32"/>
          <w:szCs w:val="32"/>
          <w:highlight w:val="none"/>
        </w:rPr>
        <w:t>”指标，预期指标值为</w:t>
      </w:r>
      <w:r>
        <w:rPr>
          <w:rFonts w:hint="eastAsia" w:ascii="仿宋_GB2312" w:hAnsi="仿宋_GB2312" w:cs="仿宋_GB2312"/>
          <w:color w:val="auto"/>
          <w:sz w:val="32"/>
          <w:szCs w:val="32"/>
          <w:highlight w:val="none"/>
          <w:lang w:val="en-US" w:eastAsia="zh-CN"/>
        </w:rPr>
        <w:t>大于等于</w:t>
      </w:r>
      <w:r>
        <w:rPr>
          <w:rFonts w:hint="eastAsia" w:ascii="仿宋_GB2312" w:hAnsi="仿宋_GB2312" w:eastAsia="仿宋_GB2312" w:cs="仿宋_GB2312"/>
          <w:color w:val="auto"/>
          <w:sz w:val="32"/>
          <w:szCs w:val="32"/>
          <w:highlight w:val="none"/>
          <w:lang w:val="en-US" w:eastAsia="zh-CN"/>
        </w:rPr>
        <w:t>377米</w:t>
      </w:r>
      <w:r>
        <w:rPr>
          <w:rFonts w:hint="eastAsia" w:ascii="仿宋_GB2312" w:hAnsi="仿宋_GB2312" w:eastAsia="仿宋_GB2312" w:cs="仿宋_GB2312"/>
          <w:color w:val="auto"/>
          <w:sz w:val="32"/>
          <w:szCs w:val="32"/>
          <w:highlight w:val="none"/>
        </w:rPr>
        <w:t>,全年实际值为</w:t>
      </w:r>
      <w:r>
        <w:rPr>
          <w:rFonts w:hint="eastAsia" w:ascii="仿宋_GB2312" w:hAnsi="仿宋_GB2312" w:eastAsia="仿宋_GB2312" w:cs="仿宋_GB2312"/>
          <w:color w:val="auto"/>
          <w:sz w:val="32"/>
          <w:szCs w:val="32"/>
          <w:highlight w:val="none"/>
          <w:lang w:val="en-US" w:eastAsia="zh-CN"/>
        </w:rPr>
        <w:t>362.6米</w:t>
      </w:r>
      <w:r>
        <w:rPr>
          <w:rFonts w:hint="eastAsia" w:ascii="仿宋_GB2312" w:hAnsi="仿宋_GB2312" w:eastAsia="仿宋_GB2312" w:cs="仿宋_GB2312"/>
          <w:color w:val="auto"/>
          <w:sz w:val="32"/>
          <w:szCs w:val="32"/>
          <w:highlight w:val="none"/>
        </w:rPr>
        <w:t>，指标完成率为</w:t>
      </w:r>
      <w:r>
        <w:rPr>
          <w:rFonts w:hint="eastAsia" w:ascii="仿宋_GB2312" w:hAnsi="仿宋_GB2312" w:cs="仿宋_GB2312"/>
          <w:color w:val="auto"/>
          <w:sz w:val="32"/>
          <w:szCs w:val="32"/>
          <w:highlight w:val="none"/>
          <w:lang w:val="en-US" w:eastAsia="zh-CN"/>
        </w:rPr>
        <w:t>96.18</w:t>
      </w:r>
      <w:r>
        <w:rPr>
          <w:rFonts w:hint="eastAsia" w:ascii="仿宋_GB2312" w:hAnsi="仿宋_GB2312" w:eastAsia="仿宋_GB2312" w:cs="仿宋_GB2312"/>
          <w:color w:val="auto"/>
          <w:sz w:val="32"/>
          <w:szCs w:val="32"/>
          <w:highlight w:val="none"/>
        </w:rPr>
        <w:t>%。所设分值</w:t>
      </w:r>
      <w:r>
        <w:rPr>
          <w:rFonts w:hint="eastAsia" w:ascii="仿宋_GB2312" w:hAnsi="仿宋_GB2312" w:cs="仿宋_GB2312"/>
          <w:color w:val="auto"/>
          <w:sz w:val="32"/>
          <w:szCs w:val="32"/>
          <w:highlight w:val="none"/>
          <w:lang w:val="en-US" w:eastAsia="zh-CN"/>
        </w:rPr>
        <w:t>6</w:t>
      </w:r>
      <w:r>
        <w:rPr>
          <w:rFonts w:hint="eastAsia" w:ascii="仿宋_GB2312" w:hAnsi="仿宋_GB2312" w:eastAsia="仿宋_GB2312" w:cs="仿宋_GB2312"/>
          <w:color w:val="auto"/>
          <w:sz w:val="32"/>
          <w:szCs w:val="32"/>
          <w:highlight w:val="none"/>
        </w:rPr>
        <w:t>分，实际得分</w:t>
      </w:r>
      <w:r>
        <w:rPr>
          <w:rFonts w:hint="eastAsia" w:ascii="仿宋_GB2312" w:hAnsi="仿宋_GB2312" w:cs="仿宋_GB2312"/>
          <w:color w:val="auto"/>
          <w:sz w:val="32"/>
          <w:szCs w:val="32"/>
          <w:highlight w:val="none"/>
          <w:lang w:val="en-US" w:eastAsia="zh-CN"/>
        </w:rPr>
        <w:t>5.77</w:t>
      </w:r>
      <w:r>
        <w:rPr>
          <w:rFonts w:hint="eastAsia" w:ascii="仿宋_GB2312" w:hAnsi="仿宋_GB2312" w:eastAsia="仿宋_GB2312" w:cs="仿宋_GB2312"/>
          <w:color w:val="auto"/>
          <w:sz w:val="32"/>
          <w:szCs w:val="32"/>
          <w:highlight w:val="none"/>
        </w:rPr>
        <w:t>分。偏差原因：项目已完工，根据实际施工需求，数量减少。改进措施：加强项目管理。</w:t>
      </w:r>
      <w:bookmarkEnd w:id="1"/>
      <w:r>
        <w:rPr>
          <w:rFonts w:hint="eastAsia" w:ascii="仿宋_GB2312" w:hAnsi="仿宋_GB2312" w:eastAsia="仿宋_GB2312" w:cs="仿宋_GB2312"/>
          <w:color w:val="auto"/>
          <w:sz w:val="32"/>
          <w:szCs w:val="32"/>
          <w:highlight w:val="none"/>
        </w:rPr>
        <w:t xml:space="preserve">             </w:t>
      </w:r>
    </w:p>
    <w:p w14:paraId="764DFB35">
      <w:pPr>
        <w:pStyle w:val="52"/>
        <w:ind w:left="0" w:leftChars="0" w:right="0" w:rightChars="0" w:firstLine="56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eastAsia="zh-CN"/>
        </w:rPr>
        <w:t>沉砂池有效容积</w:t>
      </w:r>
      <w:r>
        <w:rPr>
          <w:rFonts w:hint="eastAsia" w:ascii="仿宋_GB2312" w:hAnsi="仿宋_GB2312" w:eastAsia="仿宋_GB2312" w:cs="仿宋_GB2312"/>
          <w:color w:val="auto"/>
          <w:sz w:val="32"/>
          <w:szCs w:val="32"/>
          <w:highlight w:val="none"/>
        </w:rPr>
        <w:t>”指标，预期指标值为</w:t>
      </w:r>
      <w:r>
        <w:rPr>
          <w:rFonts w:hint="eastAsia" w:ascii="仿宋_GB2312" w:hAnsi="仿宋_GB2312" w:cs="仿宋_GB2312"/>
          <w:color w:val="auto"/>
          <w:sz w:val="32"/>
          <w:szCs w:val="32"/>
          <w:highlight w:val="none"/>
          <w:lang w:val="en-US" w:eastAsia="zh-CN"/>
        </w:rPr>
        <w:t>大于等于</w:t>
      </w:r>
      <w:r>
        <w:rPr>
          <w:rFonts w:hint="eastAsia" w:ascii="仿宋_GB2312" w:hAnsi="仿宋_GB2312" w:eastAsia="仿宋_GB2312" w:cs="仿宋_GB2312"/>
          <w:color w:val="auto"/>
          <w:sz w:val="32"/>
          <w:szCs w:val="32"/>
          <w:highlight w:val="none"/>
          <w:lang w:val="en-US" w:eastAsia="zh-CN"/>
        </w:rPr>
        <w:t>650立方米</w:t>
      </w:r>
      <w:r>
        <w:rPr>
          <w:rFonts w:hint="eastAsia" w:ascii="仿宋_GB2312" w:hAnsi="仿宋_GB2312" w:eastAsia="仿宋_GB2312" w:cs="仿宋_GB2312"/>
          <w:color w:val="auto"/>
          <w:sz w:val="32"/>
          <w:szCs w:val="32"/>
          <w:highlight w:val="none"/>
        </w:rPr>
        <w:t>,全年实际值为</w:t>
      </w:r>
      <w:r>
        <w:rPr>
          <w:rFonts w:hint="eastAsia" w:ascii="仿宋_GB2312" w:hAnsi="仿宋_GB2312" w:eastAsia="仿宋_GB2312" w:cs="仿宋_GB2312"/>
          <w:color w:val="auto"/>
          <w:sz w:val="32"/>
          <w:szCs w:val="32"/>
          <w:highlight w:val="none"/>
          <w:lang w:val="en-US" w:eastAsia="zh-CN"/>
        </w:rPr>
        <w:t>650立方米</w:t>
      </w:r>
      <w:r>
        <w:rPr>
          <w:rFonts w:hint="eastAsia" w:ascii="仿宋_GB2312" w:hAnsi="仿宋_GB2312" w:eastAsia="仿宋_GB2312" w:cs="仿宋_GB2312"/>
          <w:color w:val="auto"/>
          <w:sz w:val="32"/>
          <w:szCs w:val="32"/>
          <w:highlight w:val="none"/>
        </w:rPr>
        <w:t>，指标完成率为100.00%。所设分值</w:t>
      </w:r>
      <w:r>
        <w:rPr>
          <w:rFonts w:hint="eastAsia" w:ascii="仿宋_GB2312" w:hAnsi="仿宋_GB2312" w:cs="仿宋_GB2312"/>
          <w:color w:val="auto"/>
          <w:sz w:val="32"/>
          <w:szCs w:val="32"/>
          <w:highlight w:val="none"/>
          <w:lang w:val="en-US" w:eastAsia="zh-CN"/>
        </w:rPr>
        <w:t>6</w:t>
      </w:r>
      <w:r>
        <w:rPr>
          <w:rFonts w:hint="eastAsia" w:ascii="仿宋_GB2312" w:hAnsi="仿宋_GB2312" w:eastAsia="仿宋_GB2312" w:cs="仿宋_GB2312"/>
          <w:color w:val="auto"/>
          <w:sz w:val="32"/>
          <w:szCs w:val="32"/>
          <w:highlight w:val="none"/>
        </w:rPr>
        <w:t>分，实际得分</w:t>
      </w:r>
      <w:r>
        <w:rPr>
          <w:rFonts w:hint="eastAsia" w:ascii="仿宋_GB2312" w:hAnsi="仿宋_GB2312" w:cs="仿宋_GB2312"/>
          <w:color w:val="auto"/>
          <w:sz w:val="32"/>
          <w:szCs w:val="32"/>
          <w:highlight w:val="none"/>
          <w:lang w:val="en-US" w:eastAsia="zh-CN"/>
        </w:rPr>
        <w:t>6</w:t>
      </w:r>
      <w:r>
        <w:rPr>
          <w:rFonts w:hint="eastAsia" w:ascii="仿宋_GB2312" w:hAnsi="仿宋_GB2312" w:eastAsia="仿宋_GB2312" w:cs="仿宋_GB2312"/>
          <w:color w:val="auto"/>
          <w:sz w:val="32"/>
          <w:szCs w:val="32"/>
          <w:highlight w:val="none"/>
        </w:rPr>
        <w:t>分。</w:t>
      </w:r>
    </w:p>
    <w:p w14:paraId="3FFADD1D">
      <w:pPr>
        <w:pStyle w:val="52"/>
        <w:ind w:left="0" w:leftChars="0" w:right="0" w:rightChars="0" w:firstLine="56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eastAsia="zh-CN"/>
        </w:rPr>
        <w:t>房屋拆旧面积</w:t>
      </w:r>
      <w:r>
        <w:rPr>
          <w:rFonts w:hint="eastAsia" w:ascii="仿宋_GB2312" w:hAnsi="仿宋_GB2312" w:eastAsia="仿宋_GB2312" w:cs="仿宋_GB2312"/>
          <w:color w:val="auto"/>
          <w:sz w:val="32"/>
          <w:szCs w:val="32"/>
          <w:highlight w:val="none"/>
        </w:rPr>
        <w:t>”指标，预期指标值为</w:t>
      </w:r>
      <w:r>
        <w:rPr>
          <w:rFonts w:hint="eastAsia" w:ascii="仿宋_GB2312" w:hAnsi="仿宋_GB2312" w:cs="仿宋_GB2312"/>
          <w:color w:val="auto"/>
          <w:sz w:val="32"/>
          <w:szCs w:val="32"/>
          <w:highlight w:val="none"/>
          <w:lang w:val="en-US" w:eastAsia="zh-CN"/>
        </w:rPr>
        <w:t>大于等于</w:t>
      </w:r>
      <w:r>
        <w:rPr>
          <w:rFonts w:hint="eastAsia" w:ascii="仿宋_GB2312" w:hAnsi="仿宋_GB2312" w:eastAsia="仿宋_GB2312" w:cs="仿宋_GB2312"/>
          <w:color w:val="auto"/>
          <w:sz w:val="32"/>
          <w:szCs w:val="32"/>
          <w:highlight w:val="none"/>
          <w:lang w:val="en-US" w:eastAsia="zh-CN"/>
        </w:rPr>
        <w:t>500平方米</w:t>
      </w:r>
      <w:r>
        <w:rPr>
          <w:rFonts w:hint="eastAsia" w:ascii="仿宋_GB2312" w:hAnsi="仿宋_GB2312" w:eastAsia="仿宋_GB2312" w:cs="仿宋_GB2312"/>
          <w:color w:val="auto"/>
          <w:sz w:val="32"/>
          <w:szCs w:val="32"/>
          <w:highlight w:val="none"/>
        </w:rPr>
        <w:t>,全年实际值为</w:t>
      </w:r>
      <w:r>
        <w:rPr>
          <w:rFonts w:hint="eastAsia" w:ascii="仿宋_GB2312" w:hAnsi="仿宋_GB2312" w:eastAsia="仿宋_GB2312" w:cs="仿宋_GB2312"/>
          <w:color w:val="auto"/>
          <w:sz w:val="32"/>
          <w:szCs w:val="32"/>
          <w:highlight w:val="none"/>
          <w:lang w:val="en-US" w:eastAsia="zh-CN"/>
        </w:rPr>
        <w:t>500平方米</w:t>
      </w:r>
      <w:r>
        <w:rPr>
          <w:rFonts w:hint="eastAsia" w:ascii="仿宋_GB2312" w:hAnsi="仿宋_GB2312" w:eastAsia="仿宋_GB2312" w:cs="仿宋_GB2312"/>
          <w:color w:val="auto"/>
          <w:sz w:val="32"/>
          <w:szCs w:val="32"/>
          <w:highlight w:val="none"/>
        </w:rPr>
        <w:t>，指标完成率为100.00%。所设分值</w:t>
      </w:r>
      <w:r>
        <w:rPr>
          <w:rFonts w:hint="eastAsia" w:ascii="仿宋_GB2312" w:hAnsi="仿宋_GB2312" w:cs="仿宋_GB2312"/>
          <w:color w:val="auto"/>
          <w:sz w:val="32"/>
          <w:szCs w:val="32"/>
          <w:highlight w:val="none"/>
          <w:lang w:val="en-US" w:eastAsia="zh-CN"/>
        </w:rPr>
        <w:t>6</w:t>
      </w:r>
      <w:r>
        <w:rPr>
          <w:rFonts w:hint="eastAsia" w:ascii="仿宋_GB2312" w:hAnsi="仿宋_GB2312" w:eastAsia="仿宋_GB2312" w:cs="仿宋_GB2312"/>
          <w:color w:val="auto"/>
          <w:sz w:val="32"/>
          <w:szCs w:val="32"/>
          <w:highlight w:val="none"/>
        </w:rPr>
        <w:t>分，实际得分</w:t>
      </w:r>
      <w:r>
        <w:rPr>
          <w:rFonts w:hint="eastAsia" w:ascii="仿宋_GB2312" w:hAnsi="仿宋_GB2312" w:cs="仿宋_GB2312"/>
          <w:color w:val="auto"/>
          <w:sz w:val="32"/>
          <w:szCs w:val="32"/>
          <w:highlight w:val="none"/>
          <w:lang w:val="en-US" w:eastAsia="zh-CN"/>
        </w:rPr>
        <w:t>6</w:t>
      </w:r>
      <w:r>
        <w:rPr>
          <w:rFonts w:hint="eastAsia" w:ascii="仿宋_GB2312" w:hAnsi="仿宋_GB2312" w:eastAsia="仿宋_GB2312" w:cs="仿宋_GB2312"/>
          <w:color w:val="auto"/>
          <w:sz w:val="32"/>
          <w:szCs w:val="32"/>
          <w:highlight w:val="none"/>
        </w:rPr>
        <w:t>分。</w:t>
      </w:r>
    </w:p>
    <w:p w14:paraId="1D7BC033">
      <w:pPr>
        <w:pStyle w:val="52"/>
        <w:ind w:left="0" w:leftChars="0" w:right="0" w:rightChars="0" w:firstLine="560"/>
        <w:rPr>
          <w:rFonts w:hint="eastAsia" w:ascii="仿宋_GB2312" w:hAnsi="仿宋_GB2312" w:eastAsia="仿宋_GB2312" w:cs="仿宋_GB2312"/>
          <w:color w:val="auto"/>
          <w:sz w:val="32"/>
          <w:szCs w:val="32"/>
          <w:highlight w:val="none"/>
        </w:rPr>
      </w:pPr>
      <w:bookmarkStart w:id="2" w:name="OLE_LINK3"/>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eastAsia="zh-CN"/>
        </w:rPr>
        <w:t>输水管线长度</w:t>
      </w:r>
      <w:r>
        <w:rPr>
          <w:rFonts w:hint="eastAsia" w:ascii="仿宋_GB2312" w:hAnsi="仿宋_GB2312" w:eastAsia="仿宋_GB2312" w:cs="仿宋_GB2312"/>
          <w:color w:val="auto"/>
          <w:sz w:val="32"/>
          <w:szCs w:val="32"/>
          <w:highlight w:val="none"/>
        </w:rPr>
        <w:t>”指标，预期指标值为</w:t>
      </w:r>
      <w:r>
        <w:rPr>
          <w:rFonts w:hint="eastAsia" w:ascii="仿宋_GB2312" w:hAnsi="仿宋_GB2312" w:cs="仿宋_GB2312"/>
          <w:color w:val="auto"/>
          <w:sz w:val="32"/>
          <w:szCs w:val="32"/>
          <w:highlight w:val="none"/>
          <w:lang w:val="en-US" w:eastAsia="zh-CN"/>
        </w:rPr>
        <w:t>大于等于</w:t>
      </w:r>
      <w:r>
        <w:rPr>
          <w:rFonts w:hint="eastAsia" w:ascii="仿宋_GB2312" w:hAnsi="仿宋_GB2312" w:eastAsia="仿宋_GB2312" w:cs="仿宋_GB2312"/>
          <w:color w:val="auto"/>
          <w:sz w:val="32"/>
          <w:szCs w:val="32"/>
          <w:highlight w:val="none"/>
          <w:lang w:val="en-US" w:eastAsia="zh-CN"/>
        </w:rPr>
        <w:t>391米</w:t>
      </w:r>
      <w:r>
        <w:rPr>
          <w:rFonts w:hint="eastAsia" w:ascii="仿宋_GB2312" w:hAnsi="仿宋_GB2312" w:eastAsia="仿宋_GB2312" w:cs="仿宋_GB2312"/>
          <w:color w:val="auto"/>
          <w:sz w:val="32"/>
          <w:szCs w:val="32"/>
          <w:highlight w:val="none"/>
        </w:rPr>
        <w:t>,全年实际值为</w:t>
      </w:r>
      <w:r>
        <w:rPr>
          <w:rFonts w:hint="eastAsia" w:ascii="仿宋_GB2312" w:hAnsi="仿宋_GB2312" w:eastAsia="仿宋_GB2312" w:cs="仿宋_GB2312"/>
          <w:color w:val="auto"/>
          <w:sz w:val="32"/>
          <w:szCs w:val="32"/>
          <w:highlight w:val="none"/>
          <w:lang w:val="en-US" w:eastAsia="zh-CN"/>
        </w:rPr>
        <w:t>702.4米</w:t>
      </w:r>
      <w:r>
        <w:rPr>
          <w:rFonts w:hint="eastAsia" w:ascii="仿宋_GB2312" w:hAnsi="仿宋_GB2312" w:eastAsia="仿宋_GB2312" w:cs="仿宋_GB2312"/>
          <w:color w:val="auto"/>
          <w:sz w:val="32"/>
          <w:szCs w:val="32"/>
          <w:highlight w:val="none"/>
        </w:rPr>
        <w:t>，指标完成率为</w:t>
      </w:r>
      <w:r>
        <w:rPr>
          <w:rFonts w:hint="eastAsia" w:ascii="仿宋_GB2312" w:hAnsi="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rPr>
        <w:t>%。所设分值</w:t>
      </w:r>
      <w:r>
        <w:rPr>
          <w:rFonts w:hint="eastAsia" w:ascii="仿宋_GB2312" w:hAnsi="仿宋_GB2312" w:cs="仿宋_GB2312"/>
          <w:color w:val="auto"/>
          <w:sz w:val="32"/>
          <w:szCs w:val="32"/>
          <w:highlight w:val="none"/>
          <w:lang w:val="en-US" w:eastAsia="zh-CN"/>
        </w:rPr>
        <w:t>6</w:t>
      </w:r>
      <w:r>
        <w:rPr>
          <w:rFonts w:hint="eastAsia" w:ascii="仿宋_GB2312" w:hAnsi="仿宋_GB2312" w:eastAsia="仿宋_GB2312" w:cs="仿宋_GB2312"/>
          <w:color w:val="auto"/>
          <w:sz w:val="32"/>
          <w:szCs w:val="32"/>
          <w:highlight w:val="none"/>
        </w:rPr>
        <w:t>分，实际得分</w:t>
      </w:r>
      <w:r>
        <w:rPr>
          <w:rFonts w:hint="eastAsia" w:ascii="仿宋_GB2312" w:hAnsi="仿宋_GB2312" w:cs="仿宋_GB2312"/>
          <w:color w:val="auto"/>
          <w:sz w:val="32"/>
          <w:szCs w:val="32"/>
          <w:highlight w:val="none"/>
          <w:lang w:val="en-US" w:eastAsia="zh-CN"/>
        </w:rPr>
        <w:t>0</w:t>
      </w:r>
      <w:r>
        <w:rPr>
          <w:rFonts w:hint="eastAsia" w:ascii="仿宋_GB2312" w:hAnsi="仿宋_GB2312" w:eastAsia="仿宋_GB2312" w:cs="仿宋_GB2312"/>
          <w:color w:val="auto"/>
          <w:sz w:val="32"/>
          <w:szCs w:val="32"/>
          <w:highlight w:val="none"/>
        </w:rPr>
        <w:t>分。偏差原因：项目已完工，根据实际施工需求，数量</w:t>
      </w:r>
      <w:r>
        <w:rPr>
          <w:rFonts w:hint="eastAsia" w:ascii="仿宋_GB2312" w:hAnsi="仿宋_GB2312" w:cs="仿宋_GB2312"/>
          <w:color w:val="auto"/>
          <w:sz w:val="32"/>
          <w:szCs w:val="32"/>
          <w:highlight w:val="none"/>
          <w:lang w:val="en-US" w:eastAsia="zh-CN"/>
        </w:rPr>
        <w:t>增加</w:t>
      </w:r>
      <w:r>
        <w:rPr>
          <w:rFonts w:hint="eastAsia" w:ascii="仿宋_GB2312" w:hAnsi="仿宋_GB2312" w:eastAsia="仿宋_GB2312" w:cs="仿宋_GB2312"/>
          <w:color w:val="auto"/>
          <w:sz w:val="32"/>
          <w:szCs w:val="32"/>
          <w:highlight w:val="none"/>
        </w:rPr>
        <w:t>。改进措施：加强项目管理。</w:t>
      </w:r>
    </w:p>
    <w:bookmarkEnd w:id="2"/>
    <w:p w14:paraId="2976500E">
      <w:pPr>
        <w:pStyle w:val="52"/>
        <w:ind w:left="0" w:leftChars="0" w:right="0" w:rightChars="0" w:firstLine="56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1.2项目完成质量</w:t>
      </w:r>
    </w:p>
    <w:p w14:paraId="68B12378">
      <w:pPr>
        <w:pStyle w:val="52"/>
        <w:ind w:left="0" w:leftChars="0" w:right="0" w:rightChars="0" w:firstLine="56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“工程验收合格率”指标，预期指标值为</w:t>
      </w:r>
      <w:r>
        <w:rPr>
          <w:rFonts w:hint="eastAsia" w:ascii="仿宋_GB2312" w:hAnsi="仿宋_GB2312" w:cs="仿宋_GB2312"/>
          <w:color w:val="auto"/>
          <w:sz w:val="32"/>
          <w:szCs w:val="32"/>
          <w:highlight w:val="none"/>
          <w:lang w:eastAsia="zh-CN"/>
        </w:rPr>
        <w:t>等于</w:t>
      </w:r>
      <w:r>
        <w:rPr>
          <w:rFonts w:hint="eastAsia" w:ascii="仿宋_GB2312" w:hAnsi="仿宋_GB2312" w:eastAsia="仿宋_GB2312" w:cs="仿宋_GB2312"/>
          <w:color w:val="auto"/>
          <w:sz w:val="32"/>
          <w:szCs w:val="32"/>
          <w:highlight w:val="none"/>
        </w:rPr>
        <w:t>100.00%,全年实际值为100.00%，指标完成率为100.00%。所设分值</w:t>
      </w:r>
      <w:r>
        <w:rPr>
          <w:rFonts w:hint="eastAsia" w:ascii="仿宋_GB2312" w:hAnsi="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rPr>
        <w:t>分，实际得分</w:t>
      </w:r>
      <w:r>
        <w:rPr>
          <w:rFonts w:hint="eastAsia" w:ascii="仿宋_GB2312" w:hAnsi="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rPr>
        <w:t>分。</w:t>
      </w:r>
    </w:p>
    <w:p w14:paraId="1AFFF081">
      <w:pPr>
        <w:pStyle w:val="52"/>
        <w:ind w:left="0" w:leftChars="0" w:right="0" w:rightChars="0" w:firstLine="56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1.3项目完成时效</w:t>
      </w:r>
    </w:p>
    <w:p w14:paraId="49BF5462">
      <w:pPr>
        <w:pStyle w:val="52"/>
        <w:ind w:left="0" w:leftChars="0" w:right="0" w:rightChars="0" w:firstLine="56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“项目开工时间”指标，预期指标值为</w:t>
      </w:r>
      <w:r>
        <w:rPr>
          <w:rFonts w:hint="eastAsia" w:ascii="仿宋_GB2312" w:hAnsi="仿宋_GB2312" w:cs="仿宋_GB2312"/>
          <w:color w:val="auto"/>
          <w:sz w:val="32"/>
          <w:szCs w:val="32"/>
          <w:highlight w:val="none"/>
          <w:lang w:eastAsia="zh-CN"/>
        </w:rPr>
        <w:t>等于</w:t>
      </w:r>
      <w:r>
        <w:rPr>
          <w:rFonts w:hint="eastAsia" w:ascii="仿宋_GB2312" w:hAnsi="仿宋_GB2312" w:eastAsia="仿宋_GB2312" w:cs="仿宋_GB2312"/>
          <w:color w:val="auto"/>
          <w:sz w:val="32"/>
          <w:szCs w:val="32"/>
          <w:highlight w:val="none"/>
        </w:rPr>
        <w:t>100.00%,全年实际值为</w:t>
      </w:r>
      <w:r>
        <w:rPr>
          <w:rFonts w:hint="eastAsia" w:ascii="仿宋_GB2312" w:hAnsi="仿宋_GB2312" w:eastAsia="仿宋_GB2312" w:cs="仿宋_GB2312"/>
          <w:color w:val="auto"/>
          <w:sz w:val="32"/>
          <w:szCs w:val="32"/>
          <w:highlight w:val="none"/>
          <w:lang w:val="en-US" w:eastAsia="zh-CN"/>
        </w:rPr>
        <w:t>2024年3月</w:t>
      </w:r>
      <w:r>
        <w:rPr>
          <w:rFonts w:hint="eastAsia" w:ascii="仿宋_GB2312" w:hAnsi="仿宋_GB2312" w:eastAsia="仿宋_GB2312" w:cs="仿宋_GB2312"/>
          <w:color w:val="auto"/>
          <w:sz w:val="32"/>
          <w:szCs w:val="32"/>
          <w:highlight w:val="none"/>
        </w:rPr>
        <w:t>，指标完成率为</w:t>
      </w:r>
      <w:r>
        <w:rPr>
          <w:rFonts w:hint="eastAsia" w:ascii="仿宋_GB2312" w:hAnsi="仿宋_GB2312" w:eastAsia="仿宋_GB2312" w:cs="仿宋_GB2312"/>
          <w:color w:val="auto"/>
          <w:sz w:val="32"/>
          <w:szCs w:val="32"/>
          <w:highlight w:val="none"/>
          <w:lang w:val="en-US" w:eastAsia="zh-CN"/>
        </w:rPr>
        <w:t>10</w:t>
      </w:r>
      <w:r>
        <w:rPr>
          <w:rFonts w:hint="eastAsia" w:ascii="仿宋_GB2312" w:hAnsi="仿宋_GB2312" w:eastAsia="仿宋_GB2312" w:cs="仿宋_GB2312"/>
          <w:color w:val="auto"/>
          <w:sz w:val="32"/>
          <w:szCs w:val="32"/>
          <w:highlight w:val="none"/>
        </w:rPr>
        <w:t>0%。所设分值</w:t>
      </w:r>
      <w:r>
        <w:rPr>
          <w:rFonts w:hint="eastAsia" w:ascii="仿宋_GB2312" w:hAnsi="仿宋_GB2312" w:eastAsia="仿宋_GB2312" w:cs="仿宋_GB2312"/>
          <w:color w:val="auto"/>
          <w:sz w:val="32"/>
          <w:szCs w:val="32"/>
          <w:highlight w:val="none"/>
          <w:lang w:val="en-US" w:eastAsia="zh-CN"/>
        </w:rPr>
        <w:t>5</w:t>
      </w:r>
      <w:r>
        <w:rPr>
          <w:rFonts w:hint="eastAsia" w:ascii="仿宋_GB2312" w:hAnsi="仿宋_GB2312" w:eastAsia="仿宋_GB2312" w:cs="仿宋_GB2312"/>
          <w:color w:val="auto"/>
          <w:sz w:val="32"/>
          <w:szCs w:val="32"/>
          <w:highlight w:val="none"/>
        </w:rPr>
        <w:t>分，实际得分</w:t>
      </w:r>
      <w:r>
        <w:rPr>
          <w:rFonts w:hint="eastAsia" w:ascii="仿宋_GB2312" w:hAnsi="仿宋_GB2312" w:eastAsia="仿宋_GB2312" w:cs="仿宋_GB2312"/>
          <w:color w:val="auto"/>
          <w:sz w:val="32"/>
          <w:szCs w:val="32"/>
          <w:highlight w:val="none"/>
          <w:lang w:val="en-US" w:eastAsia="zh-CN"/>
        </w:rPr>
        <w:t>5</w:t>
      </w:r>
      <w:r>
        <w:rPr>
          <w:rFonts w:hint="eastAsia" w:ascii="仿宋_GB2312" w:hAnsi="仿宋_GB2312" w:eastAsia="仿宋_GB2312" w:cs="仿宋_GB2312"/>
          <w:color w:val="auto"/>
          <w:sz w:val="32"/>
          <w:szCs w:val="32"/>
          <w:highlight w:val="none"/>
        </w:rPr>
        <w:t>分。</w:t>
      </w:r>
    </w:p>
    <w:p w14:paraId="6CCDC20E">
      <w:pPr>
        <w:pStyle w:val="52"/>
        <w:ind w:left="0" w:leftChars="0" w:right="0" w:rightChars="0" w:firstLine="56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“项目完工时间”指标，预期指标值为202</w:t>
      </w:r>
      <w:r>
        <w:rPr>
          <w:rFonts w:hint="eastAsia" w:ascii="仿宋_GB2312" w:hAnsi="仿宋_GB2312" w:eastAsia="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rPr>
        <w:t>年</w:t>
      </w:r>
      <w:r>
        <w:rPr>
          <w:rFonts w:hint="eastAsia" w:ascii="仿宋_GB2312" w:hAnsi="仿宋_GB2312" w:cs="仿宋_GB2312"/>
          <w:color w:val="auto"/>
          <w:sz w:val="32"/>
          <w:szCs w:val="32"/>
          <w:highlight w:val="none"/>
          <w:lang w:val="en-US" w:eastAsia="zh-CN"/>
        </w:rPr>
        <w:t>5</w:t>
      </w:r>
      <w:r>
        <w:rPr>
          <w:rFonts w:hint="eastAsia" w:ascii="仿宋_GB2312" w:hAnsi="仿宋_GB2312" w:eastAsia="仿宋_GB2312" w:cs="仿宋_GB2312"/>
          <w:color w:val="auto"/>
          <w:sz w:val="32"/>
          <w:szCs w:val="32"/>
          <w:highlight w:val="none"/>
        </w:rPr>
        <w:t>月,全年实际值为202</w:t>
      </w:r>
      <w:r>
        <w:rPr>
          <w:rFonts w:hint="eastAsia" w:ascii="仿宋_GB2312" w:hAnsi="仿宋_GB2312" w:eastAsia="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rPr>
        <w:t>年</w:t>
      </w:r>
      <w:r>
        <w:rPr>
          <w:rFonts w:hint="eastAsia" w:ascii="仿宋_GB2312" w:hAnsi="仿宋_GB2312" w:eastAsia="仿宋_GB2312" w:cs="仿宋_GB2312"/>
          <w:color w:val="auto"/>
          <w:sz w:val="32"/>
          <w:szCs w:val="32"/>
          <w:highlight w:val="none"/>
          <w:lang w:val="en-US" w:eastAsia="zh-CN"/>
        </w:rPr>
        <w:t>5</w:t>
      </w:r>
      <w:r>
        <w:rPr>
          <w:rFonts w:hint="eastAsia" w:ascii="仿宋_GB2312" w:hAnsi="仿宋_GB2312" w:eastAsia="仿宋_GB2312" w:cs="仿宋_GB2312"/>
          <w:color w:val="auto"/>
          <w:sz w:val="32"/>
          <w:szCs w:val="32"/>
          <w:highlight w:val="none"/>
        </w:rPr>
        <w:t>月，指标完成率为100.00%。所设分值</w:t>
      </w:r>
      <w:r>
        <w:rPr>
          <w:rFonts w:hint="eastAsia" w:ascii="仿宋_GB2312" w:hAnsi="仿宋_GB2312" w:eastAsia="仿宋_GB2312" w:cs="仿宋_GB2312"/>
          <w:color w:val="auto"/>
          <w:sz w:val="32"/>
          <w:szCs w:val="32"/>
          <w:highlight w:val="none"/>
          <w:lang w:val="en-US" w:eastAsia="zh-CN"/>
        </w:rPr>
        <w:t>5</w:t>
      </w:r>
      <w:r>
        <w:rPr>
          <w:rFonts w:hint="eastAsia" w:ascii="仿宋_GB2312" w:hAnsi="仿宋_GB2312" w:eastAsia="仿宋_GB2312" w:cs="仿宋_GB2312"/>
          <w:color w:val="auto"/>
          <w:sz w:val="32"/>
          <w:szCs w:val="32"/>
          <w:highlight w:val="none"/>
        </w:rPr>
        <w:t>分，实际得分</w:t>
      </w:r>
      <w:r>
        <w:rPr>
          <w:rFonts w:hint="eastAsia" w:ascii="仿宋_GB2312" w:hAnsi="仿宋_GB2312" w:eastAsia="仿宋_GB2312" w:cs="仿宋_GB2312"/>
          <w:color w:val="auto"/>
          <w:sz w:val="32"/>
          <w:szCs w:val="32"/>
          <w:highlight w:val="none"/>
          <w:lang w:val="en-US" w:eastAsia="zh-CN"/>
        </w:rPr>
        <w:t>5</w:t>
      </w:r>
      <w:r>
        <w:rPr>
          <w:rFonts w:hint="eastAsia" w:ascii="仿宋_GB2312" w:hAnsi="仿宋_GB2312" w:eastAsia="仿宋_GB2312" w:cs="仿宋_GB2312"/>
          <w:color w:val="auto"/>
          <w:sz w:val="32"/>
          <w:szCs w:val="32"/>
          <w:highlight w:val="none"/>
        </w:rPr>
        <w:t xml:space="preserve">分。 </w:t>
      </w:r>
    </w:p>
    <w:p w14:paraId="31F73857">
      <w:pPr>
        <w:pStyle w:val="52"/>
        <w:ind w:left="0" w:leftChars="0" w:right="0" w:rightChars="0" w:firstLine="56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1.4项目成本节约情况</w:t>
      </w:r>
    </w:p>
    <w:p w14:paraId="3F8E298B">
      <w:pPr>
        <w:pStyle w:val="52"/>
        <w:ind w:left="0" w:leftChars="0" w:right="0" w:rightChars="0" w:firstLine="56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为有效控制项目实施成本，我单位在实施项目前就该项目设定了成本控制指标，实施过程中我单位通过公开招标的方式有效降低了项目执行成本，具体指标设置及完成情况如下：</w:t>
      </w:r>
    </w:p>
    <w:p w14:paraId="6AC72387">
      <w:pPr>
        <w:pStyle w:val="52"/>
        <w:ind w:left="0" w:leftChars="0" w:right="0" w:rightChars="0" w:firstLine="560"/>
        <w:rPr>
          <w:rFonts w:hint="eastAsia" w:ascii="仿宋_GB2312" w:hAnsi="仿宋_GB2312" w:eastAsia="仿宋_GB2312" w:cs="仿宋_GB2312"/>
          <w:color w:val="auto"/>
          <w:sz w:val="32"/>
          <w:szCs w:val="32"/>
          <w:highlight w:val="none"/>
        </w:rPr>
      </w:pPr>
      <w:bookmarkStart w:id="3" w:name="OLE_LINK2"/>
      <w:r>
        <w:rPr>
          <w:rFonts w:hint="eastAsia" w:ascii="仿宋_GB2312" w:hAnsi="仿宋_GB2312" w:eastAsia="仿宋_GB2312" w:cs="仿宋_GB2312"/>
          <w:color w:val="auto"/>
          <w:sz w:val="32"/>
          <w:szCs w:val="32"/>
          <w:highlight w:val="none"/>
        </w:rPr>
        <w:t>“工程建设费用”指标，预期指标值为</w:t>
      </w:r>
      <w:r>
        <w:rPr>
          <w:rFonts w:hint="eastAsia" w:ascii="仿宋_GB2312" w:hAnsi="仿宋_GB2312" w:cs="仿宋_GB2312"/>
          <w:color w:val="auto"/>
          <w:sz w:val="32"/>
          <w:szCs w:val="32"/>
          <w:highlight w:val="none"/>
          <w:lang w:eastAsia="zh-CN"/>
        </w:rPr>
        <w:t>小于等于</w:t>
      </w:r>
      <w:r>
        <w:rPr>
          <w:rFonts w:hint="eastAsia" w:ascii="仿宋_GB2312" w:hAnsi="仿宋_GB2312" w:cs="仿宋_GB2312"/>
          <w:color w:val="auto"/>
          <w:sz w:val="32"/>
          <w:szCs w:val="32"/>
          <w:highlight w:val="none"/>
          <w:lang w:val="en-US" w:eastAsia="zh-CN"/>
        </w:rPr>
        <w:t>135.32</w:t>
      </w:r>
      <w:r>
        <w:rPr>
          <w:rFonts w:hint="eastAsia" w:ascii="仿宋_GB2312" w:hAnsi="仿宋_GB2312" w:eastAsia="仿宋_GB2312" w:cs="仿宋_GB2312"/>
          <w:color w:val="auto"/>
          <w:sz w:val="32"/>
          <w:szCs w:val="32"/>
          <w:highlight w:val="none"/>
        </w:rPr>
        <w:t>万元, 全年实际值为</w:t>
      </w:r>
      <w:r>
        <w:rPr>
          <w:rFonts w:hint="eastAsia" w:ascii="仿宋_GB2312" w:hAnsi="仿宋_GB2312" w:cs="仿宋_GB2312"/>
          <w:color w:val="auto"/>
          <w:sz w:val="32"/>
          <w:szCs w:val="32"/>
          <w:highlight w:val="none"/>
          <w:lang w:val="en-US" w:eastAsia="zh-CN"/>
        </w:rPr>
        <w:t>124.27</w:t>
      </w:r>
      <w:r>
        <w:rPr>
          <w:rFonts w:hint="eastAsia" w:ascii="仿宋_GB2312" w:hAnsi="仿宋_GB2312" w:eastAsia="仿宋_GB2312" w:cs="仿宋_GB2312"/>
          <w:color w:val="auto"/>
          <w:sz w:val="32"/>
          <w:szCs w:val="32"/>
          <w:highlight w:val="none"/>
          <w:lang w:val="en-US" w:eastAsia="zh-CN"/>
        </w:rPr>
        <w:t>万元</w:t>
      </w:r>
      <w:r>
        <w:rPr>
          <w:rFonts w:hint="eastAsia" w:ascii="仿宋_GB2312" w:hAnsi="仿宋_GB2312" w:eastAsia="仿宋_GB2312" w:cs="仿宋_GB2312"/>
          <w:color w:val="auto"/>
          <w:sz w:val="32"/>
          <w:szCs w:val="32"/>
          <w:highlight w:val="none"/>
        </w:rPr>
        <w:t>，指标完成率为</w:t>
      </w:r>
      <w:r>
        <w:rPr>
          <w:rFonts w:hint="eastAsia" w:ascii="仿宋_GB2312" w:hAnsi="仿宋_GB2312" w:cs="仿宋_GB2312"/>
          <w:color w:val="auto"/>
          <w:sz w:val="32"/>
          <w:szCs w:val="32"/>
          <w:highlight w:val="none"/>
          <w:lang w:val="en-US" w:eastAsia="zh-CN"/>
        </w:rPr>
        <w:t>91.83</w:t>
      </w:r>
      <w:r>
        <w:rPr>
          <w:rFonts w:hint="eastAsia" w:ascii="仿宋_GB2312" w:hAnsi="仿宋_GB2312" w:eastAsia="仿宋_GB2312" w:cs="仿宋_GB2312"/>
          <w:color w:val="auto"/>
          <w:sz w:val="32"/>
          <w:szCs w:val="32"/>
          <w:highlight w:val="none"/>
        </w:rPr>
        <w:t>%。所设分值</w:t>
      </w:r>
      <w:r>
        <w:rPr>
          <w:rFonts w:hint="eastAsia" w:ascii="仿宋_GB2312" w:hAnsi="仿宋_GB2312" w:cs="仿宋_GB2312"/>
          <w:color w:val="auto"/>
          <w:sz w:val="32"/>
          <w:szCs w:val="32"/>
          <w:highlight w:val="none"/>
          <w:lang w:val="en-US" w:eastAsia="zh-CN"/>
        </w:rPr>
        <w:t>6</w:t>
      </w:r>
      <w:r>
        <w:rPr>
          <w:rFonts w:hint="eastAsia" w:ascii="仿宋_GB2312" w:hAnsi="仿宋_GB2312" w:eastAsia="仿宋_GB2312" w:cs="仿宋_GB2312"/>
          <w:color w:val="auto"/>
          <w:sz w:val="32"/>
          <w:szCs w:val="32"/>
          <w:highlight w:val="none"/>
        </w:rPr>
        <w:t>分，实际得分</w:t>
      </w:r>
      <w:r>
        <w:rPr>
          <w:rFonts w:hint="eastAsia" w:ascii="仿宋_GB2312" w:hAnsi="仿宋_GB2312" w:eastAsia="仿宋_GB2312" w:cs="仿宋_GB2312"/>
          <w:color w:val="auto"/>
          <w:sz w:val="32"/>
          <w:szCs w:val="32"/>
          <w:highlight w:val="none"/>
          <w:lang w:val="en-US" w:eastAsia="zh-CN"/>
        </w:rPr>
        <w:t>5</w:t>
      </w:r>
      <w:r>
        <w:rPr>
          <w:rFonts w:hint="eastAsia" w:ascii="仿宋_GB2312" w:hAnsi="仿宋_GB2312" w:cs="仿宋_GB2312"/>
          <w:color w:val="auto"/>
          <w:sz w:val="32"/>
          <w:szCs w:val="32"/>
          <w:highlight w:val="none"/>
          <w:lang w:val="en-US" w:eastAsia="zh-CN"/>
        </w:rPr>
        <w:t>.51</w:t>
      </w:r>
      <w:r>
        <w:rPr>
          <w:rFonts w:hint="eastAsia" w:ascii="仿宋_GB2312" w:hAnsi="仿宋_GB2312" w:eastAsia="仿宋_GB2312" w:cs="仿宋_GB2312"/>
          <w:color w:val="auto"/>
          <w:sz w:val="32"/>
          <w:szCs w:val="32"/>
          <w:highlight w:val="none"/>
        </w:rPr>
        <w:t>分。偏差原因：项目已完工，相关评估决算已完成，工程节概资金13.84万元。改进措施：加强项目建设资金管理。</w:t>
      </w:r>
    </w:p>
    <w:p w14:paraId="1A7E3894">
      <w:pPr>
        <w:pStyle w:val="52"/>
        <w:ind w:left="0" w:leftChars="0" w:right="0" w:rightChars="0" w:firstLine="56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“其他费用”指标，预期指标值为</w:t>
      </w:r>
      <w:r>
        <w:rPr>
          <w:rFonts w:hint="eastAsia" w:ascii="仿宋_GB2312" w:hAnsi="仿宋_GB2312" w:cs="仿宋_GB2312"/>
          <w:color w:val="auto"/>
          <w:sz w:val="32"/>
          <w:szCs w:val="32"/>
          <w:highlight w:val="none"/>
          <w:lang w:eastAsia="zh-CN"/>
        </w:rPr>
        <w:t>小于等于</w:t>
      </w:r>
      <w:r>
        <w:rPr>
          <w:rFonts w:hint="eastAsia" w:ascii="仿宋_GB2312" w:hAnsi="仿宋_GB2312" w:cs="仿宋_GB2312"/>
          <w:color w:val="auto"/>
          <w:sz w:val="32"/>
          <w:szCs w:val="32"/>
          <w:highlight w:val="none"/>
          <w:lang w:val="en-US" w:eastAsia="zh-CN"/>
        </w:rPr>
        <w:t>14.68</w:t>
      </w:r>
      <w:r>
        <w:rPr>
          <w:rFonts w:hint="eastAsia" w:ascii="仿宋_GB2312" w:hAnsi="仿宋_GB2312" w:eastAsia="仿宋_GB2312" w:cs="仿宋_GB2312"/>
          <w:color w:val="auto"/>
          <w:sz w:val="32"/>
          <w:szCs w:val="32"/>
          <w:highlight w:val="none"/>
        </w:rPr>
        <w:t>万元, 全年实际值为</w:t>
      </w:r>
      <w:r>
        <w:rPr>
          <w:rFonts w:hint="eastAsia" w:ascii="仿宋_GB2312" w:hAnsi="仿宋_GB2312" w:cs="仿宋_GB2312"/>
          <w:color w:val="auto"/>
          <w:sz w:val="32"/>
          <w:szCs w:val="32"/>
          <w:highlight w:val="none"/>
          <w:lang w:val="en-US" w:eastAsia="zh-CN"/>
        </w:rPr>
        <w:t>11.89</w:t>
      </w:r>
      <w:r>
        <w:rPr>
          <w:rFonts w:hint="eastAsia" w:ascii="仿宋_GB2312" w:hAnsi="仿宋_GB2312" w:eastAsia="仿宋_GB2312" w:cs="仿宋_GB2312"/>
          <w:color w:val="auto"/>
          <w:sz w:val="32"/>
          <w:szCs w:val="32"/>
          <w:highlight w:val="none"/>
          <w:lang w:val="en-US" w:eastAsia="zh-CN"/>
        </w:rPr>
        <w:t>万元</w:t>
      </w:r>
      <w:r>
        <w:rPr>
          <w:rFonts w:hint="eastAsia" w:ascii="仿宋_GB2312" w:hAnsi="仿宋_GB2312" w:eastAsia="仿宋_GB2312" w:cs="仿宋_GB2312"/>
          <w:color w:val="auto"/>
          <w:sz w:val="32"/>
          <w:szCs w:val="32"/>
          <w:highlight w:val="none"/>
        </w:rPr>
        <w:t>，指标完成率为</w:t>
      </w:r>
      <w:r>
        <w:rPr>
          <w:rFonts w:hint="eastAsia" w:ascii="仿宋_GB2312" w:hAnsi="仿宋_GB2312" w:cs="仿宋_GB2312"/>
          <w:color w:val="auto"/>
          <w:sz w:val="32"/>
          <w:szCs w:val="32"/>
          <w:highlight w:val="none"/>
          <w:lang w:val="en-US" w:eastAsia="zh-CN"/>
        </w:rPr>
        <w:t>80.99</w:t>
      </w:r>
      <w:r>
        <w:rPr>
          <w:rFonts w:hint="eastAsia" w:ascii="仿宋_GB2312" w:hAnsi="仿宋_GB2312" w:eastAsia="仿宋_GB2312" w:cs="仿宋_GB2312"/>
          <w:color w:val="auto"/>
          <w:sz w:val="32"/>
          <w:szCs w:val="32"/>
          <w:highlight w:val="none"/>
        </w:rPr>
        <w:t>%。所设分值</w:t>
      </w:r>
      <w:r>
        <w:rPr>
          <w:rFonts w:hint="eastAsia" w:ascii="仿宋_GB2312" w:hAnsi="仿宋_GB2312" w:cs="仿宋_GB2312"/>
          <w:color w:val="auto"/>
          <w:sz w:val="32"/>
          <w:szCs w:val="32"/>
          <w:highlight w:val="none"/>
          <w:lang w:val="en-US" w:eastAsia="zh-CN"/>
        </w:rPr>
        <w:t>6</w:t>
      </w:r>
      <w:r>
        <w:rPr>
          <w:rFonts w:hint="eastAsia" w:ascii="仿宋_GB2312" w:hAnsi="仿宋_GB2312" w:eastAsia="仿宋_GB2312" w:cs="仿宋_GB2312"/>
          <w:color w:val="auto"/>
          <w:sz w:val="32"/>
          <w:szCs w:val="32"/>
          <w:highlight w:val="none"/>
        </w:rPr>
        <w:t>分，实际得分</w:t>
      </w:r>
      <w:r>
        <w:rPr>
          <w:rFonts w:hint="eastAsia" w:ascii="仿宋_GB2312" w:hAnsi="仿宋_GB2312" w:cs="仿宋_GB2312"/>
          <w:color w:val="auto"/>
          <w:sz w:val="32"/>
          <w:szCs w:val="32"/>
          <w:highlight w:val="none"/>
          <w:lang w:val="en-US" w:eastAsia="zh-CN"/>
        </w:rPr>
        <w:t>4.86</w:t>
      </w:r>
      <w:r>
        <w:rPr>
          <w:rFonts w:hint="eastAsia" w:ascii="仿宋_GB2312" w:hAnsi="仿宋_GB2312" w:eastAsia="仿宋_GB2312" w:cs="仿宋_GB2312"/>
          <w:color w:val="auto"/>
          <w:sz w:val="32"/>
          <w:szCs w:val="32"/>
          <w:highlight w:val="none"/>
        </w:rPr>
        <w:t>分。偏差原因：项目已完工，相关评估决算已完成，工程节概资金13.84万元。改进措施：加强项目建设资金管理。</w:t>
      </w:r>
      <w:bookmarkEnd w:id="3"/>
    </w:p>
    <w:p w14:paraId="48DD956C">
      <w:pPr>
        <w:pStyle w:val="33"/>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2.效益指标完成情况分析</w:t>
      </w:r>
    </w:p>
    <w:p w14:paraId="578B25ED">
      <w:pPr>
        <w:pStyle w:val="52"/>
        <w:spacing w:line="560" w:lineRule="exact"/>
        <w:ind w:left="0" w:leftChars="0" w:right="0" w:rightChars="0" w:firstLine="56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2.1项目实施的社会效益分析</w:t>
      </w:r>
    </w:p>
    <w:p w14:paraId="2F0C350F">
      <w:pPr>
        <w:pStyle w:val="52"/>
        <w:spacing w:line="560" w:lineRule="exact"/>
        <w:ind w:left="0" w:leftChars="0" w:right="0" w:rightChars="0" w:firstLine="56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“提高灌区的渠系年节水量，提高农牧民节水意识”指标，指标预期值为效果显著，实际完成值为效果显著，指标完成率为100.00%。所设分值</w:t>
      </w:r>
      <w:r>
        <w:rPr>
          <w:rFonts w:hint="eastAsia" w:ascii="仿宋_GB2312" w:hAnsi="仿宋_GB2312" w:cs="仿宋_GB2312"/>
          <w:color w:val="auto"/>
          <w:sz w:val="32"/>
          <w:szCs w:val="32"/>
          <w:highlight w:val="none"/>
          <w:lang w:val="en-US" w:eastAsia="zh-CN"/>
        </w:rPr>
        <w:t>15</w:t>
      </w:r>
      <w:r>
        <w:rPr>
          <w:rFonts w:hint="eastAsia" w:ascii="仿宋_GB2312" w:hAnsi="仿宋_GB2312" w:eastAsia="仿宋_GB2312" w:cs="仿宋_GB2312"/>
          <w:color w:val="auto"/>
          <w:sz w:val="32"/>
          <w:szCs w:val="32"/>
          <w:highlight w:val="none"/>
        </w:rPr>
        <w:t>分，实际得分</w:t>
      </w:r>
      <w:r>
        <w:rPr>
          <w:rFonts w:hint="eastAsia" w:ascii="仿宋_GB2312" w:hAnsi="仿宋_GB2312" w:cs="仿宋_GB2312"/>
          <w:color w:val="auto"/>
          <w:sz w:val="32"/>
          <w:szCs w:val="32"/>
          <w:highlight w:val="none"/>
          <w:lang w:val="en-US" w:eastAsia="zh-CN"/>
        </w:rPr>
        <w:t>15</w:t>
      </w:r>
      <w:r>
        <w:rPr>
          <w:rFonts w:hint="eastAsia" w:ascii="仿宋_GB2312" w:hAnsi="仿宋_GB2312" w:eastAsia="仿宋_GB2312" w:cs="仿宋_GB2312"/>
          <w:color w:val="auto"/>
          <w:sz w:val="32"/>
          <w:szCs w:val="32"/>
          <w:highlight w:val="none"/>
        </w:rPr>
        <w:t xml:space="preserve">分。  </w:t>
      </w:r>
    </w:p>
    <w:p w14:paraId="7279789F">
      <w:pPr>
        <w:pStyle w:val="52"/>
        <w:spacing w:line="560" w:lineRule="exact"/>
        <w:ind w:left="0" w:leftChars="0" w:right="0" w:rightChars="0" w:firstLine="56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2.</w:t>
      </w: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rPr>
        <w:t>项目实施的可持续影响分析</w:t>
      </w:r>
    </w:p>
    <w:p w14:paraId="2D4AFF14">
      <w:pPr>
        <w:pStyle w:val="52"/>
        <w:spacing w:line="560" w:lineRule="exact"/>
        <w:ind w:left="0" w:leftChars="0" w:right="0" w:rightChars="0" w:firstLine="56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“沉砂池使用年限”指标，指标预期值为</w:t>
      </w:r>
      <w:r>
        <w:rPr>
          <w:rFonts w:hint="eastAsia" w:ascii="仿宋_GB2312" w:hAnsi="仿宋_GB2312" w:cs="仿宋_GB2312"/>
          <w:color w:val="auto"/>
          <w:sz w:val="32"/>
          <w:szCs w:val="32"/>
          <w:highlight w:val="none"/>
          <w:lang w:eastAsia="zh-CN"/>
        </w:rPr>
        <w:t>大于等于</w:t>
      </w:r>
      <w:r>
        <w:rPr>
          <w:rFonts w:hint="eastAsia" w:ascii="仿宋_GB2312" w:hAnsi="仿宋_GB2312" w:cs="仿宋_GB2312"/>
          <w:color w:val="auto"/>
          <w:sz w:val="32"/>
          <w:szCs w:val="32"/>
          <w:highlight w:val="none"/>
          <w:lang w:val="en-US" w:eastAsia="zh-CN"/>
        </w:rPr>
        <w:t>20</w:t>
      </w:r>
      <w:r>
        <w:rPr>
          <w:rFonts w:hint="eastAsia" w:ascii="仿宋_GB2312" w:hAnsi="仿宋_GB2312" w:eastAsia="仿宋_GB2312" w:cs="仿宋_GB2312"/>
          <w:color w:val="auto"/>
          <w:sz w:val="32"/>
          <w:szCs w:val="32"/>
          <w:highlight w:val="none"/>
        </w:rPr>
        <w:t>年，实际完成值为</w:t>
      </w:r>
      <w:r>
        <w:rPr>
          <w:rFonts w:hint="eastAsia" w:ascii="仿宋_GB2312" w:hAnsi="仿宋_GB2312" w:cs="仿宋_GB2312"/>
          <w:color w:val="auto"/>
          <w:sz w:val="32"/>
          <w:szCs w:val="32"/>
          <w:highlight w:val="none"/>
          <w:lang w:val="en-US" w:eastAsia="zh-CN"/>
        </w:rPr>
        <w:t>20</w:t>
      </w:r>
      <w:r>
        <w:rPr>
          <w:rFonts w:hint="eastAsia" w:ascii="仿宋_GB2312" w:hAnsi="仿宋_GB2312" w:eastAsia="仿宋_GB2312" w:cs="仿宋_GB2312"/>
          <w:color w:val="auto"/>
          <w:sz w:val="32"/>
          <w:szCs w:val="32"/>
          <w:highlight w:val="none"/>
        </w:rPr>
        <w:t>年，指标完成率为100.00%。所设分值</w:t>
      </w:r>
      <w:r>
        <w:rPr>
          <w:rFonts w:hint="eastAsia" w:ascii="仿宋_GB2312" w:hAnsi="仿宋_GB2312" w:cs="仿宋_GB2312"/>
          <w:color w:val="auto"/>
          <w:sz w:val="32"/>
          <w:szCs w:val="32"/>
          <w:highlight w:val="none"/>
          <w:lang w:val="en-US" w:eastAsia="zh-CN"/>
        </w:rPr>
        <w:t>15</w:t>
      </w:r>
      <w:r>
        <w:rPr>
          <w:rFonts w:hint="eastAsia" w:ascii="仿宋_GB2312" w:hAnsi="仿宋_GB2312" w:eastAsia="仿宋_GB2312" w:cs="仿宋_GB2312"/>
          <w:color w:val="auto"/>
          <w:sz w:val="32"/>
          <w:szCs w:val="32"/>
          <w:highlight w:val="none"/>
        </w:rPr>
        <w:t>分，实际得分</w:t>
      </w:r>
      <w:r>
        <w:rPr>
          <w:rFonts w:hint="eastAsia" w:ascii="仿宋_GB2312" w:hAnsi="仿宋_GB2312" w:cs="仿宋_GB2312"/>
          <w:color w:val="auto"/>
          <w:sz w:val="32"/>
          <w:szCs w:val="32"/>
          <w:highlight w:val="none"/>
          <w:lang w:val="en-US" w:eastAsia="zh-CN"/>
        </w:rPr>
        <w:t>15</w:t>
      </w:r>
      <w:r>
        <w:rPr>
          <w:rFonts w:hint="eastAsia" w:ascii="仿宋_GB2312" w:hAnsi="仿宋_GB2312" w:eastAsia="仿宋_GB2312" w:cs="仿宋_GB2312"/>
          <w:color w:val="auto"/>
          <w:sz w:val="32"/>
          <w:szCs w:val="32"/>
          <w:highlight w:val="none"/>
        </w:rPr>
        <w:t>分。</w:t>
      </w:r>
    </w:p>
    <w:p w14:paraId="6A1055D9">
      <w:pPr>
        <w:pStyle w:val="33"/>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3.满意度指标完成情况分析</w:t>
      </w:r>
    </w:p>
    <w:p w14:paraId="52A38808">
      <w:pPr>
        <w:spacing w:line="560" w:lineRule="exact"/>
        <w:ind w:firstLine="624" w:firstLineChars="200"/>
        <w:rPr>
          <w:rFonts w:hint="eastAsia" w:ascii="仿宋_GB2312" w:hAnsi="仿宋_GB2312" w:eastAsia="仿宋_GB2312" w:cs="仿宋_GB2312"/>
          <w:bCs/>
          <w:color w:val="auto"/>
          <w:spacing w:val="-4"/>
          <w:sz w:val="32"/>
          <w:szCs w:val="32"/>
          <w:highlight w:val="none"/>
        </w:rPr>
      </w:pPr>
      <w:r>
        <w:rPr>
          <w:rFonts w:hint="eastAsia" w:ascii="仿宋_GB2312" w:hAnsi="仿宋_GB2312" w:eastAsia="仿宋_GB2312" w:cs="仿宋_GB2312"/>
          <w:bCs/>
          <w:color w:val="auto"/>
          <w:spacing w:val="-4"/>
          <w:sz w:val="32"/>
          <w:szCs w:val="32"/>
          <w:highlight w:val="none"/>
        </w:rPr>
        <w:t>“受益人口满意度”指标，指标预期指标值为</w:t>
      </w:r>
      <w:r>
        <w:rPr>
          <w:rFonts w:hint="eastAsia" w:ascii="仿宋_GB2312" w:hAnsi="仿宋_GB2312" w:eastAsia="仿宋_GB2312" w:cs="仿宋_GB2312"/>
          <w:bCs/>
          <w:color w:val="auto"/>
          <w:spacing w:val="-4"/>
          <w:sz w:val="32"/>
          <w:szCs w:val="32"/>
          <w:highlight w:val="none"/>
          <w:lang w:val="en-US" w:eastAsia="zh-CN"/>
        </w:rPr>
        <w:t>95%</w:t>
      </w:r>
      <w:r>
        <w:rPr>
          <w:rFonts w:hint="eastAsia" w:ascii="仿宋_GB2312" w:hAnsi="仿宋_GB2312" w:eastAsia="仿宋_GB2312" w:cs="仿宋_GB2312"/>
          <w:bCs/>
          <w:color w:val="auto"/>
          <w:spacing w:val="-4"/>
          <w:sz w:val="32"/>
          <w:szCs w:val="32"/>
          <w:highlight w:val="none"/>
        </w:rPr>
        <w:t>，实际完成值为</w:t>
      </w:r>
      <w:r>
        <w:rPr>
          <w:rFonts w:hint="eastAsia" w:ascii="仿宋_GB2312" w:hAnsi="仿宋_GB2312" w:eastAsia="仿宋_GB2312" w:cs="仿宋_GB2312"/>
          <w:bCs/>
          <w:color w:val="auto"/>
          <w:spacing w:val="-4"/>
          <w:sz w:val="32"/>
          <w:szCs w:val="32"/>
          <w:highlight w:val="none"/>
          <w:lang w:val="en-US" w:eastAsia="zh-CN"/>
        </w:rPr>
        <w:t>95</w:t>
      </w:r>
      <w:r>
        <w:rPr>
          <w:rFonts w:hint="eastAsia" w:ascii="仿宋_GB2312" w:hAnsi="仿宋_GB2312" w:eastAsia="仿宋_GB2312" w:cs="仿宋_GB2312"/>
          <w:bCs/>
          <w:color w:val="auto"/>
          <w:spacing w:val="-4"/>
          <w:sz w:val="32"/>
          <w:szCs w:val="32"/>
          <w:highlight w:val="none"/>
        </w:rPr>
        <w:t>%，指标完成率为100.00%。所设分值</w:t>
      </w:r>
      <w:r>
        <w:rPr>
          <w:rFonts w:hint="eastAsia" w:ascii="仿宋_GB2312" w:hAnsi="仿宋_GB2312" w:eastAsia="仿宋_GB2312" w:cs="仿宋_GB2312"/>
          <w:bCs/>
          <w:color w:val="auto"/>
          <w:spacing w:val="-4"/>
          <w:sz w:val="32"/>
          <w:szCs w:val="32"/>
          <w:highlight w:val="none"/>
          <w:lang w:val="en-US" w:eastAsia="zh-CN"/>
        </w:rPr>
        <w:t>10</w:t>
      </w:r>
      <w:r>
        <w:rPr>
          <w:rFonts w:hint="eastAsia" w:ascii="仿宋_GB2312" w:hAnsi="仿宋_GB2312" w:eastAsia="仿宋_GB2312" w:cs="仿宋_GB2312"/>
          <w:bCs/>
          <w:color w:val="auto"/>
          <w:spacing w:val="-4"/>
          <w:sz w:val="32"/>
          <w:szCs w:val="32"/>
          <w:highlight w:val="none"/>
        </w:rPr>
        <w:t>分，实际得分</w:t>
      </w:r>
      <w:r>
        <w:rPr>
          <w:rFonts w:hint="eastAsia" w:ascii="仿宋_GB2312" w:hAnsi="仿宋_GB2312" w:eastAsia="仿宋_GB2312" w:cs="仿宋_GB2312"/>
          <w:bCs/>
          <w:color w:val="auto"/>
          <w:spacing w:val="-4"/>
          <w:sz w:val="32"/>
          <w:szCs w:val="32"/>
          <w:highlight w:val="none"/>
          <w:lang w:val="en-US" w:eastAsia="zh-CN"/>
        </w:rPr>
        <w:t>10</w:t>
      </w:r>
      <w:r>
        <w:rPr>
          <w:rFonts w:hint="eastAsia" w:ascii="仿宋_GB2312" w:hAnsi="仿宋_GB2312" w:eastAsia="仿宋_GB2312" w:cs="仿宋_GB2312"/>
          <w:bCs/>
          <w:color w:val="auto"/>
          <w:spacing w:val="-4"/>
          <w:sz w:val="32"/>
          <w:szCs w:val="32"/>
          <w:highlight w:val="none"/>
        </w:rPr>
        <w:t>分。</w:t>
      </w:r>
    </w:p>
    <w:p w14:paraId="3B62FC4C">
      <w:pPr>
        <w:pStyle w:val="29"/>
        <w:spacing w:beforeLines="0" w:line="560" w:lineRule="exact"/>
        <w:ind w:left="0" w:leftChars="0" w:right="0" w:rightChars="0" w:firstLine="624" w:firstLineChars="200"/>
        <w:rPr>
          <w:rFonts w:hint="eastAsia" w:ascii="仿宋_GB2312" w:hAnsi="仿宋_GB2312" w:eastAsia="仿宋_GB2312" w:cs="仿宋_GB2312"/>
          <w:b w:val="0"/>
          <w:color w:val="auto"/>
          <w:spacing w:val="-4"/>
          <w:sz w:val="32"/>
          <w:szCs w:val="32"/>
          <w:highlight w:val="none"/>
        </w:rPr>
      </w:pPr>
      <w:r>
        <w:rPr>
          <w:rFonts w:hint="eastAsia" w:ascii="仿宋_GB2312" w:hAnsi="仿宋_GB2312" w:eastAsia="仿宋_GB2312" w:cs="仿宋_GB2312"/>
          <w:b w:val="0"/>
          <w:color w:val="auto"/>
          <w:spacing w:val="-4"/>
          <w:sz w:val="32"/>
          <w:szCs w:val="32"/>
          <w:highlight w:val="none"/>
        </w:rPr>
        <w:t>项目实施完成后我单位就该项目的满意度采取抽样发放调查问卷的方式开展调查，通过对调查问卷的梳理和统计，满意度指标综合满意率为</w:t>
      </w:r>
      <w:r>
        <w:rPr>
          <w:rFonts w:hint="eastAsia" w:ascii="仿宋_GB2312" w:hAnsi="仿宋_GB2312" w:eastAsia="仿宋_GB2312" w:cs="仿宋_GB2312"/>
          <w:b w:val="0"/>
          <w:color w:val="auto"/>
          <w:spacing w:val="-4"/>
          <w:sz w:val="32"/>
          <w:szCs w:val="32"/>
          <w:highlight w:val="none"/>
          <w:lang w:val="en-US" w:eastAsia="zh-CN"/>
        </w:rPr>
        <w:t>100</w:t>
      </w:r>
      <w:r>
        <w:rPr>
          <w:rFonts w:hint="eastAsia" w:ascii="仿宋_GB2312" w:hAnsi="仿宋_GB2312" w:eastAsia="仿宋_GB2312" w:cs="仿宋_GB2312"/>
          <w:b w:val="0"/>
          <w:color w:val="auto"/>
          <w:spacing w:val="-4"/>
          <w:sz w:val="32"/>
          <w:szCs w:val="32"/>
          <w:highlight w:val="none"/>
        </w:rPr>
        <w:t>.00%。</w:t>
      </w:r>
    </w:p>
    <w:p w14:paraId="722DF082">
      <w:pPr>
        <w:pStyle w:val="29"/>
        <w:numPr>
          <w:ilvl w:val="0"/>
          <w:numId w:val="1"/>
        </w:numPr>
        <w:spacing w:before="120"/>
        <w:ind w:left="0" w:leftChars="0" w:right="3" w:firstLine="643"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偏离绩效目标的原因和下一步改进措施</w:t>
      </w:r>
    </w:p>
    <w:p w14:paraId="5E7149DB">
      <w:pPr>
        <w:pStyle w:val="52"/>
        <w:numPr>
          <w:ilvl w:val="0"/>
          <w:numId w:val="2"/>
        </w:numPr>
        <w:ind w:left="0" w:leftChars="0" w:right="0" w:rightChars="0" w:firstLine="560"/>
        <w:rPr>
          <w:rFonts w:hint="eastAsia" w:ascii="仿宋_GB2312" w:hAnsi="仿宋_GB2312" w:eastAsia="仿宋_GB2312" w:cs="仿宋_GB2312"/>
          <w:color w:val="auto"/>
          <w:sz w:val="32"/>
          <w:szCs w:val="32"/>
          <w:highlight w:val="none"/>
        </w:rPr>
      </w:pPr>
      <w:r>
        <w:rPr>
          <w:rFonts w:hint="eastAsia" w:ascii="仿宋_GB2312" w:hAnsi="仿宋_GB2312" w:cs="仿宋_GB2312"/>
          <w:color w:val="auto"/>
          <w:sz w:val="32"/>
          <w:szCs w:val="32"/>
          <w:highlight w:val="none"/>
          <w:lang w:val="en-US" w:eastAsia="zh-CN"/>
        </w:rPr>
        <w:t>成本指标-</w:t>
      </w:r>
      <w:r>
        <w:rPr>
          <w:rFonts w:hint="eastAsia" w:ascii="仿宋_GB2312" w:hAnsi="仿宋_GB2312" w:eastAsia="仿宋_GB2312" w:cs="仿宋_GB2312"/>
          <w:color w:val="auto"/>
          <w:sz w:val="32"/>
          <w:szCs w:val="32"/>
          <w:highlight w:val="none"/>
        </w:rPr>
        <w:t>“工程建设费用”指标，预期指标值为</w:t>
      </w:r>
      <w:r>
        <w:rPr>
          <w:rFonts w:hint="eastAsia" w:ascii="仿宋_GB2312" w:hAnsi="仿宋_GB2312" w:cs="仿宋_GB2312"/>
          <w:color w:val="auto"/>
          <w:sz w:val="32"/>
          <w:szCs w:val="32"/>
          <w:highlight w:val="none"/>
          <w:lang w:eastAsia="zh-CN"/>
        </w:rPr>
        <w:t>小于等于</w:t>
      </w:r>
      <w:r>
        <w:rPr>
          <w:rFonts w:hint="eastAsia" w:ascii="仿宋_GB2312" w:hAnsi="仿宋_GB2312" w:cs="仿宋_GB2312"/>
          <w:color w:val="auto"/>
          <w:sz w:val="32"/>
          <w:szCs w:val="32"/>
          <w:highlight w:val="none"/>
          <w:lang w:val="en-US" w:eastAsia="zh-CN"/>
        </w:rPr>
        <w:t>135.32</w:t>
      </w:r>
      <w:r>
        <w:rPr>
          <w:rFonts w:hint="eastAsia" w:ascii="仿宋_GB2312" w:hAnsi="仿宋_GB2312" w:eastAsia="仿宋_GB2312" w:cs="仿宋_GB2312"/>
          <w:color w:val="auto"/>
          <w:sz w:val="32"/>
          <w:szCs w:val="32"/>
          <w:highlight w:val="none"/>
        </w:rPr>
        <w:t>万元, 全年实际值为</w:t>
      </w:r>
      <w:r>
        <w:rPr>
          <w:rFonts w:hint="eastAsia" w:ascii="仿宋_GB2312" w:hAnsi="仿宋_GB2312" w:cs="仿宋_GB2312"/>
          <w:color w:val="auto"/>
          <w:sz w:val="32"/>
          <w:szCs w:val="32"/>
          <w:highlight w:val="none"/>
          <w:lang w:val="en-US" w:eastAsia="zh-CN"/>
        </w:rPr>
        <w:t>124.27</w:t>
      </w:r>
      <w:r>
        <w:rPr>
          <w:rFonts w:hint="eastAsia" w:ascii="仿宋_GB2312" w:hAnsi="仿宋_GB2312" w:eastAsia="仿宋_GB2312" w:cs="仿宋_GB2312"/>
          <w:color w:val="auto"/>
          <w:sz w:val="32"/>
          <w:szCs w:val="32"/>
          <w:highlight w:val="none"/>
          <w:lang w:val="en-US" w:eastAsia="zh-CN"/>
        </w:rPr>
        <w:t>万元</w:t>
      </w:r>
      <w:r>
        <w:rPr>
          <w:rFonts w:hint="eastAsia" w:ascii="仿宋_GB2312" w:hAnsi="仿宋_GB2312" w:eastAsia="仿宋_GB2312" w:cs="仿宋_GB2312"/>
          <w:color w:val="auto"/>
          <w:sz w:val="32"/>
          <w:szCs w:val="32"/>
          <w:highlight w:val="none"/>
        </w:rPr>
        <w:t>。</w:t>
      </w:r>
    </w:p>
    <w:p w14:paraId="5BAE8290">
      <w:pPr>
        <w:pStyle w:val="52"/>
        <w:numPr>
          <w:ilvl w:val="0"/>
          <w:numId w:val="0"/>
        </w:numPr>
        <w:ind w:right="0" w:rightChars="0" w:firstLine="960" w:firstLineChars="3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偏差原因：项目已完工，相关评估决算已完成，工程节概资金13.84万元。改进措施：加强项目建设资金管理。</w:t>
      </w:r>
    </w:p>
    <w:p w14:paraId="335FD713">
      <w:pPr>
        <w:pStyle w:val="29"/>
        <w:numPr>
          <w:ilvl w:val="0"/>
          <w:numId w:val="0"/>
        </w:numPr>
        <w:spacing w:before="120"/>
        <w:ind w:right="3" w:rightChars="1" w:firstLine="960" w:firstLineChars="300"/>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“其他费用”指标，预期指标值为小于等于14.68万元, 全年实际值为11.89万元。</w:t>
      </w:r>
    </w:p>
    <w:p w14:paraId="267F01E7">
      <w:pPr>
        <w:pStyle w:val="52"/>
        <w:ind w:left="0" w:leftChars="0" w:right="0" w:rightChars="0" w:firstLine="560"/>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偏差原因：项目已完工，相关评估决算已完成，工程节概资金13.84万元。改进措施：加强项目建设资金管理。</w:t>
      </w:r>
    </w:p>
    <w:p w14:paraId="6B9FCCF5">
      <w:pPr>
        <w:pStyle w:val="52"/>
        <w:ind w:left="0" w:leftChars="0" w:right="0" w:rightChars="0" w:firstLine="560"/>
        <w:rPr>
          <w:rFonts w:hint="eastAsia" w:ascii="仿宋_GB2312" w:hAnsi="仿宋_GB2312" w:eastAsia="仿宋_GB2312" w:cs="仿宋_GB2312"/>
          <w:color w:val="auto"/>
          <w:sz w:val="32"/>
          <w:szCs w:val="32"/>
          <w:highlight w:val="none"/>
        </w:rPr>
      </w:pPr>
      <w:r>
        <w:rPr>
          <w:rFonts w:hint="eastAsia" w:ascii="仿宋_GB2312" w:hAnsi="仿宋_GB2312" w:cs="仿宋_GB2312"/>
          <w:b w:val="0"/>
          <w:bCs w:val="0"/>
          <w:color w:val="auto"/>
          <w:kern w:val="2"/>
          <w:sz w:val="32"/>
          <w:szCs w:val="32"/>
          <w:highlight w:val="none"/>
          <w:lang w:val="en-US" w:eastAsia="zh-CN" w:bidi="ar-SA"/>
        </w:rPr>
        <w:t>2.数量指标-</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eastAsia="zh-CN"/>
        </w:rPr>
        <w:t>输水管线长度</w:t>
      </w:r>
      <w:r>
        <w:rPr>
          <w:rFonts w:hint="eastAsia" w:ascii="仿宋_GB2312" w:hAnsi="仿宋_GB2312" w:eastAsia="仿宋_GB2312" w:cs="仿宋_GB2312"/>
          <w:color w:val="auto"/>
          <w:sz w:val="32"/>
          <w:szCs w:val="32"/>
          <w:highlight w:val="none"/>
        </w:rPr>
        <w:t>”指标，预期指标值为</w:t>
      </w:r>
      <w:r>
        <w:rPr>
          <w:rFonts w:hint="eastAsia" w:ascii="仿宋_GB2312" w:hAnsi="仿宋_GB2312" w:cs="仿宋_GB2312"/>
          <w:color w:val="auto"/>
          <w:sz w:val="32"/>
          <w:szCs w:val="32"/>
          <w:highlight w:val="none"/>
          <w:lang w:val="en-US" w:eastAsia="zh-CN"/>
        </w:rPr>
        <w:t>大于等于</w:t>
      </w:r>
      <w:r>
        <w:rPr>
          <w:rFonts w:hint="eastAsia" w:ascii="仿宋_GB2312" w:hAnsi="仿宋_GB2312" w:eastAsia="仿宋_GB2312" w:cs="仿宋_GB2312"/>
          <w:color w:val="auto"/>
          <w:sz w:val="32"/>
          <w:szCs w:val="32"/>
          <w:highlight w:val="none"/>
          <w:lang w:val="en-US" w:eastAsia="zh-CN"/>
        </w:rPr>
        <w:t>391米</w:t>
      </w:r>
      <w:r>
        <w:rPr>
          <w:rFonts w:hint="eastAsia" w:ascii="仿宋_GB2312" w:hAnsi="仿宋_GB2312" w:eastAsia="仿宋_GB2312" w:cs="仿宋_GB2312"/>
          <w:color w:val="auto"/>
          <w:sz w:val="32"/>
          <w:szCs w:val="32"/>
          <w:highlight w:val="none"/>
        </w:rPr>
        <w:t>,全年实际值为</w:t>
      </w:r>
      <w:r>
        <w:rPr>
          <w:rFonts w:hint="eastAsia" w:ascii="仿宋_GB2312" w:hAnsi="仿宋_GB2312" w:eastAsia="仿宋_GB2312" w:cs="仿宋_GB2312"/>
          <w:color w:val="auto"/>
          <w:sz w:val="32"/>
          <w:szCs w:val="32"/>
          <w:highlight w:val="none"/>
          <w:lang w:val="en-US" w:eastAsia="zh-CN"/>
        </w:rPr>
        <w:t>702.4米</w:t>
      </w:r>
      <w:r>
        <w:rPr>
          <w:rFonts w:hint="eastAsia" w:ascii="仿宋_GB2312" w:hAnsi="仿宋_GB2312" w:eastAsia="仿宋_GB2312" w:cs="仿宋_GB2312"/>
          <w:color w:val="auto"/>
          <w:sz w:val="32"/>
          <w:szCs w:val="32"/>
          <w:highlight w:val="none"/>
        </w:rPr>
        <w:t>。</w:t>
      </w:r>
    </w:p>
    <w:p w14:paraId="0BE3013C">
      <w:pPr>
        <w:pStyle w:val="52"/>
        <w:ind w:left="0" w:leftChars="0" w:right="0" w:rightChars="0" w:firstLine="56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偏差原因：项目已完工，根据实际施工需求，数量</w:t>
      </w:r>
      <w:r>
        <w:rPr>
          <w:rFonts w:hint="eastAsia" w:ascii="仿宋_GB2312" w:hAnsi="仿宋_GB2312" w:cs="仿宋_GB2312"/>
          <w:color w:val="auto"/>
          <w:sz w:val="32"/>
          <w:szCs w:val="32"/>
          <w:highlight w:val="none"/>
          <w:lang w:val="en-US" w:eastAsia="zh-CN"/>
        </w:rPr>
        <w:t>增加</w:t>
      </w:r>
      <w:r>
        <w:rPr>
          <w:rFonts w:hint="eastAsia" w:ascii="仿宋_GB2312" w:hAnsi="仿宋_GB2312" w:eastAsia="仿宋_GB2312" w:cs="仿宋_GB2312"/>
          <w:color w:val="auto"/>
          <w:sz w:val="32"/>
          <w:szCs w:val="32"/>
          <w:highlight w:val="none"/>
        </w:rPr>
        <w:t>。改进措施：加强项目管理。</w:t>
      </w:r>
    </w:p>
    <w:p w14:paraId="7DDCA149">
      <w:pPr>
        <w:pStyle w:val="52"/>
        <w:ind w:left="0" w:leftChars="0" w:right="0" w:rightChars="0" w:firstLine="56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eastAsia="zh-CN"/>
        </w:rPr>
        <w:t>新建引水渠道</w:t>
      </w:r>
      <w:r>
        <w:rPr>
          <w:rFonts w:hint="eastAsia" w:ascii="仿宋_GB2312" w:hAnsi="仿宋_GB2312" w:eastAsia="仿宋_GB2312" w:cs="仿宋_GB2312"/>
          <w:color w:val="auto"/>
          <w:sz w:val="32"/>
          <w:szCs w:val="32"/>
          <w:highlight w:val="none"/>
        </w:rPr>
        <w:t>”指标，预期指标值为</w:t>
      </w:r>
      <w:r>
        <w:rPr>
          <w:rFonts w:hint="eastAsia" w:ascii="仿宋_GB2312" w:hAnsi="仿宋_GB2312" w:cs="仿宋_GB2312"/>
          <w:color w:val="auto"/>
          <w:sz w:val="32"/>
          <w:szCs w:val="32"/>
          <w:highlight w:val="none"/>
          <w:lang w:val="en-US" w:eastAsia="zh-CN"/>
        </w:rPr>
        <w:t>大于等于</w:t>
      </w:r>
      <w:r>
        <w:rPr>
          <w:rFonts w:hint="eastAsia" w:ascii="仿宋_GB2312" w:hAnsi="仿宋_GB2312" w:eastAsia="仿宋_GB2312" w:cs="仿宋_GB2312"/>
          <w:color w:val="auto"/>
          <w:sz w:val="32"/>
          <w:szCs w:val="32"/>
          <w:highlight w:val="none"/>
          <w:lang w:val="en-US" w:eastAsia="zh-CN"/>
        </w:rPr>
        <w:t>377米</w:t>
      </w:r>
      <w:r>
        <w:rPr>
          <w:rFonts w:hint="eastAsia" w:ascii="仿宋_GB2312" w:hAnsi="仿宋_GB2312" w:eastAsia="仿宋_GB2312" w:cs="仿宋_GB2312"/>
          <w:color w:val="auto"/>
          <w:sz w:val="32"/>
          <w:szCs w:val="32"/>
          <w:highlight w:val="none"/>
        </w:rPr>
        <w:t>,全年实际值为</w:t>
      </w:r>
      <w:r>
        <w:rPr>
          <w:rFonts w:hint="eastAsia" w:ascii="仿宋_GB2312" w:hAnsi="仿宋_GB2312" w:eastAsia="仿宋_GB2312" w:cs="仿宋_GB2312"/>
          <w:color w:val="auto"/>
          <w:sz w:val="32"/>
          <w:szCs w:val="32"/>
          <w:highlight w:val="none"/>
          <w:lang w:val="en-US" w:eastAsia="zh-CN"/>
        </w:rPr>
        <w:t>362.6米</w:t>
      </w:r>
      <w:r>
        <w:rPr>
          <w:rFonts w:hint="eastAsia" w:ascii="仿宋_GB2312" w:hAnsi="仿宋_GB2312" w:eastAsia="仿宋_GB2312" w:cs="仿宋_GB2312"/>
          <w:color w:val="auto"/>
          <w:sz w:val="32"/>
          <w:szCs w:val="32"/>
          <w:highlight w:val="none"/>
        </w:rPr>
        <w:t>。</w:t>
      </w:r>
    </w:p>
    <w:p w14:paraId="5FD28ECF">
      <w:pPr>
        <w:pStyle w:val="52"/>
        <w:ind w:left="0" w:leftChars="0" w:right="0" w:rightChars="0" w:firstLine="56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偏差原因：项目已完工，根据实际施工需求，数量减少。改进措施：加强项目管理。</w:t>
      </w:r>
    </w:p>
    <w:p w14:paraId="29B2407E">
      <w:pPr>
        <w:pStyle w:val="29"/>
        <w:spacing w:before="120"/>
        <w:ind w:left="0" w:leftChars="0" w:right="3" w:firstLine="643"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五、绩效自评结果拟应用和公开情况</w:t>
      </w:r>
    </w:p>
    <w:p w14:paraId="7890D9F9">
      <w:pPr>
        <w:pStyle w:val="52"/>
        <w:spacing w:line="560" w:lineRule="exact"/>
        <w:ind w:left="3" w:right="3" w:firstLine="56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项目本次评价通过文件研读、实地调研、数据采集、问卷调查方式下，全面了解于田县斯也克乡克提其村乡村振兴示范村建设项目—人居环境整治资金的使用效率和效果，从而得出以下综合评价结论：在绩效目标方面，本项目共设置一级指标3个，二级指标</w:t>
      </w:r>
      <w:r>
        <w:rPr>
          <w:rFonts w:hint="eastAsia" w:ascii="仿宋_GB2312" w:hAnsi="仿宋_GB2312" w:eastAsia="仿宋_GB2312" w:cs="仿宋_GB2312"/>
          <w:color w:val="auto"/>
          <w:sz w:val="32"/>
          <w:szCs w:val="32"/>
          <w:highlight w:val="none"/>
          <w:lang w:val="en-US" w:eastAsia="zh-CN"/>
        </w:rPr>
        <w:t>7</w:t>
      </w:r>
      <w:r>
        <w:rPr>
          <w:rFonts w:hint="eastAsia" w:ascii="仿宋_GB2312" w:hAnsi="仿宋_GB2312" w:eastAsia="仿宋_GB2312" w:cs="仿宋_GB2312"/>
          <w:color w:val="auto"/>
          <w:sz w:val="32"/>
          <w:szCs w:val="32"/>
          <w:highlight w:val="none"/>
        </w:rPr>
        <w:t>个，三级指标1</w:t>
      </w:r>
      <w:r>
        <w:rPr>
          <w:rFonts w:hint="eastAsia" w:ascii="仿宋_GB2312" w:hAnsi="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rPr>
        <w:t>个，其中已完成三级指标</w:t>
      </w:r>
      <w:r>
        <w:rPr>
          <w:rFonts w:hint="eastAsia" w:ascii="仿宋_GB2312" w:hAnsi="仿宋_GB2312" w:cs="仿宋_GB2312"/>
          <w:color w:val="auto"/>
          <w:sz w:val="32"/>
          <w:szCs w:val="32"/>
          <w:highlight w:val="none"/>
          <w:lang w:val="en-US" w:eastAsia="zh-CN"/>
        </w:rPr>
        <w:t>8</w:t>
      </w:r>
      <w:r>
        <w:rPr>
          <w:rFonts w:hint="eastAsia" w:ascii="仿宋_GB2312" w:hAnsi="仿宋_GB2312" w:eastAsia="仿宋_GB2312" w:cs="仿宋_GB2312"/>
          <w:color w:val="auto"/>
          <w:sz w:val="32"/>
          <w:szCs w:val="32"/>
          <w:highlight w:val="none"/>
        </w:rPr>
        <w:t>个，指标完成率为</w:t>
      </w:r>
      <w:r>
        <w:rPr>
          <w:rFonts w:hint="eastAsia" w:ascii="仿宋_GB2312" w:hAnsi="仿宋_GB2312" w:cs="仿宋_GB2312"/>
          <w:color w:val="auto"/>
          <w:sz w:val="32"/>
          <w:szCs w:val="32"/>
          <w:highlight w:val="none"/>
          <w:lang w:val="en-US" w:eastAsia="zh-CN"/>
        </w:rPr>
        <w:t>75</w:t>
      </w:r>
      <w:r>
        <w:rPr>
          <w:rFonts w:hint="eastAsia" w:ascii="仿宋_GB2312" w:hAnsi="仿宋_GB2312" w:eastAsia="仿宋_GB2312" w:cs="仿宋_GB2312"/>
          <w:color w:val="auto"/>
          <w:sz w:val="32"/>
          <w:szCs w:val="32"/>
          <w:highlight w:val="none"/>
        </w:rPr>
        <w:t>%；在资金使用方面，严格按照《于田县</w:t>
      </w:r>
      <w:r>
        <w:rPr>
          <w:rFonts w:hint="eastAsia" w:ascii="仿宋_GB2312" w:hAnsi="仿宋_GB2312" w:cs="仿宋_GB2312"/>
          <w:color w:val="auto"/>
          <w:sz w:val="32"/>
          <w:szCs w:val="32"/>
          <w:highlight w:val="none"/>
          <w:lang w:val="en-US" w:eastAsia="zh-CN"/>
        </w:rPr>
        <w:t>衔接</w:t>
      </w:r>
      <w:r>
        <w:rPr>
          <w:rFonts w:hint="eastAsia" w:ascii="仿宋_GB2312" w:hAnsi="仿宋_GB2312" w:eastAsia="仿宋_GB2312" w:cs="仿宋_GB2312"/>
          <w:color w:val="auto"/>
          <w:sz w:val="32"/>
          <w:szCs w:val="32"/>
          <w:highlight w:val="none"/>
        </w:rPr>
        <w:t>资金财务管理制度》、《</w:t>
      </w:r>
      <w:r>
        <w:rPr>
          <w:rFonts w:hint="eastAsia" w:ascii="仿宋_GB2312" w:hAnsi="仿宋_GB2312" w:eastAsia="仿宋_GB2312" w:cs="仿宋_GB2312"/>
          <w:color w:val="auto"/>
          <w:sz w:val="32"/>
          <w:szCs w:val="32"/>
          <w:highlight w:val="none"/>
          <w:lang w:eastAsia="zh-CN"/>
        </w:rPr>
        <w:t>于田县斯也克乡人民政府</w:t>
      </w:r>
      <w:r>
        <w:rPr>
          <w:rFonts w:hint="eastAsia" w:ascii="仿宋_GB2312" w:hAnsi="仿宋_GB2312" w:eastAsia="仿宋_GB2312" w:cs="仿宋_GB2312"/>
          <w:color w:val="auto"/>
          <w:sz w:val="32"/>
          <w:szCs w:val="32"/>
          <w:highlight w:val="none"/>
        </w:rPr>
        <w:t>财务管理制度》执行，保障了资金使用规范、安全，无挪用、截留资金的情况发生。在项目管理方面，制定了《于田县斯也克乡葡萄基地沉砂池及附属设施建设项目实施方案》，建立了相关制度，提高了工作人员的监管水平，保质保量的完成了项目的实施工作。项目实施后，取得了一定社会效益；同时，通过开展自评价来总结经验和教训，为我单位今后类似项目的开展，提供可行性参考建议。</w:t>
      </w:r>
    </w:p>
    <w:p w14:paraId="372896E5">
      <w:pPr>
        <w:pStyle w:val="52"/>
        <w:spacing w:line="560" w:lineRule="exact"/>
        <w:ind w:left="3" w:right="3" w:firstLine="56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项目最终得分为</w:t>
      </w:r>
      <w:r>
        <w:rPr>
          <w:rFonts w:hint="eastAsia" w:ascii="仿宋_GB2312" w:hAnsi="仿宋_GB2312" w:cs="仿宋_GB2312"/>
          <w:color w:val="auto"/>
          <w:sz w:val="32"/>
          <w:szCs w:val="32"/>
          <w:highlight w:val="none"/>
          <w:lang w:val="en-US" w:eastAsia="zh-CN"/>
        </w:rPr>
        <w:t>91.22</w:t>
      </w:r>
      <w:r>
        <w:rPr>
          <w:rFonts w:hint="eastAsia" w:ascii="仿宋_GB2312" w:hAnsi="仿宋_GB2312" w:eastAsia="仿宋_GB2312" w:cs="仿宋_GB2312"/>
          <w:color w:val="auto"/>
          <w:sz w:val="32"/>
          <w:szCs w:val="32"/>
          <w:highlight w:val="none"/>
        </w:rPr>
        <w:t>分，评价等级为优。</w:t>
      </w:r>
    </w:p>
    <w:p w14:paraId="6033E394">
      <w:pPr>
        <w:pStyle w:val="52"/>
        <w:spacing w:line="560" w:lineRule="exact"/>
        <w:ind w:left="3" w:right="3" w:firstLine="554"/>
        <w:rPr>
          <w:rStyle w:val="19"/>
          <w:rFonts w:hint="eastAsia" w:ascii="仿宋_GB2312" w:hAnsi="仿宋_GB2312" w:eastAsia="仿宋_GB2312" w:cs="仿宋_GB2312"/>
          <w:color w:val="auto"/>
          <w:spacing w:val="-4"/>
          <w:sz w:val="32"/>
          <w:szCs w:val="32"/>
          <w:highlight w:val="none"/>
        </w:rPr>
      </w:pPr>
      <w:r>
        <w:rPr>
          <w:rStyle w:val="19"/>
          <w:rFonts w:hint="eastAsia" w:ascii="仿宋_GB2312" w:hAnsi="仿宋_GB2312" w:eastAsia="仿宋_GB2312" w:cs="仿宋_GB2312"/>
          <w:color w:val="auto"/>
          <w:spacing w:val="-4"/>
          <w:sz w:val="32"/>
          <w:szCs w:val="32"/>
          <w:highlight w:val="none"/>
        </w:rPr>
        <w:t>（一）绩效自评结果拟应用情况</w:t>
      </w:r>
    </w:p>
    <w:p w14:paraId="696DF9F0">
      <w:pPr>
        <w:pStyle w:val="52"/>
        <w:spacing w:line="560" w:lineRule="exact"/>
        <w:ind w:left="3" w:right="3" w:firstLine="56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本项目在实施过程中，严格按照关于印发《中央财政衔接推进乡村振兴补助资金管理办法》的通知（财农〔2021〕19号）及实施方案进行实施。本项目绩效自评结果将作为决策和分配财政资金的重要参考依据。对绩效自评发现的问题认真整改，总结经验、改进管理，不断提高项目实施水平。</w:t>
      </w:r>
    </w:p>
    <w:p w14:paraId="64245974">
      <w:pPr>
        <w:spacing w:line="560" w:lineRule="exact"/>
        <w:ind w:firstLine="627" w:firstLineChars="200"/>
        <w:rPr>
          <w:rStyle w:val="19"/>
          <w:rFonts w:hint="eastAsia" w:ascii="仿宋_GB2312" w:hAnsi="仿宋_GB2312" w:eastAsia="仿宋_GB2312" w:cs="仿宋_GB2312"/>
          <w:color w:val="auto"/>
          <w:spacing w:val="-4"/>
          <w:sz w:val="32"/>
          <w:szCs w:val="32"/>
          <w:highlight w:val="none"/>
        </w:rPr>
      </w:pPr>
      <w:r>
        <w:rPr>
          <w:rStyle w:val="19"/>
          <w:rFonts w:hint="eastAsia" w:ascii="仿宋_GB2312" w:hAnsi="仿宋_GB2312" w:eastAsia="仿宋_GB2312" w:cs="仿宋_GB2312"/>
          <w:color w:val="auto"/>
          <w:spacing w:val="-4"/>
          <w:sz w:val="32"/>
          <w:szCs w:val="32"/>
          <w:highlight w:val="none"/>
        </w:rPr>
        <w:t>（二）指标佐证材料说明</w:t>
      </w:r>
    </w:p>
    <w:p w14:paraId="64BA7A8A">
      <w:pPr>
        <w:pStyle w:val="52"/>
        <w:spacing w:line="560" w:lineRule="exact"/>
        <w:ind w:left="3" w:right="3" w:firstLine="56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项目状况：由</w:t>
      </w:r>
      <w:r>
        <w:rPr>
          <w:rFonts w:hint="eastAsia" w:ascii="仿宋_GB2312" w:hAnsi="仿宋_GB2312" w:eastAsia="仿宋_GB2312" w:cs="仿宋_GB2312"/>
          <w:color w:val="auto"/>
          <w:sz w:val="32"/>
          <w:szCs w:val="32"/>
          <w:highlight w:val="none"/>
          <w:lang w:eastAsia="zh-CN"/>
        </w:rPr>
        <w:t>于田县斯也克乡人民政府</w:t>
      </w:r>
      <w:r>
        <w:rPr>
          <w:rFonts w:hint="eastAsia" w:ascii="仿宋_GB2312" w:hAnsi="仿宋_GB2312" w:eastAsia="仿宋_GB2312" w:cs="仿宋_GB2312"/>
          <w:color w:val="auto"/>
          <w:sz w:val="32"/>
          <w:szCs w:val="32"/>
          <w:highlight w:val="none"/>
        </w:rPr>
        <w:t>负责项目的实施方案，并由</w:t>
      </w:r>
      <w:r>
        <w:rPr>
          <w:rFonts w:hint="eastAsia" w:ascii="仿宋_GB2312" w:hAnsi="仿宋_GB2312" w:eastAsia="仿宋_GB2312" w:cs="仿宋_GB2312"/>
          <w:color w:val="auto"/>
          <w:sz w:val="32"/>
          <w:szCs w:val="32"/>
          <w:highlight w:val="none"/>
          <w:lang w:eastAsia="zh-CN"/>
        </w:rPr>
        <w:t>于田县</w:t>
      </w:r>
      <w:r>
        <w:rPr>
          <w:rFonts w:hint="eastAsia" w:ascii="仿宋_GB2312" w:hAnsi="仿宋_GB2312" w:eastAsia="仿宋_GB2312" w:cs="仿宋_GB2312"/>
          <w:color w:val="auto"/>
          <w:sz w:val="32"/>
          <w:szCs w:val="32"/>
          <w:highlight w:val="none"/>
          <w:lang w:val="en-US" w:eastAsia="zh-CN"/>
        </w:rPr>
        <w:t>发展和改革委员会</w:t>
      </w:r>
      <w:r>
        <w:rPr>
          <w:rFonts w:hint="eastAsia" w:ascii="仿宋_GB2312" w:hAnsi="仿宋_GB2312" w:eastAsia="仿宋_GB2312" w:cs="仿宋_GB2312"/>
          <w:color w:val="auto"/>
          <w:sz w:val="32"/>
          <w:szCs w:val="32"/>
          <w:highlight w:val="none"/>
        </w:rPr>
        <w:t>审核后</w:t>
      </w:r>
      <w:r>
        <w:rPr>
          <w:rFonts w:hint="eastAsia" w:ascii="仿宋_GB2312" w:hAnsi="仿宋_GB2312" w:cs="仿宋_GB2312"/>
          <w:color w:val="auto"/>
          <w:sz w:val="32"/>
          <w:szCs w:val="32"/>
          <w:highlight w:val="none"/>
          <w:lang w:val="en-US" w:eastAsia="zh-CN"/>
        </w:rPr>
        <w:t>下</w:t>
      </w:r>
      <w:r>
        <w:rPr>
          <w:rFonts w:hint="eastAsia" w:ascii="仿宋_GB2312" w:hAnsi="仿宋_GB2312" w:eastAsia="仿宋_GB2312" w:cs="仿宋_GB2312"/>
          <w:color w:val="auto"/>
          <w:sz w:val="32"/>
          <w:szCs w:val="32"/>
          <w:highlight w:val="none"/>
        </w:rPr>
        <w:t>发了《关于对于田县斯也克乡葡萄基地沉砂池及附属设施建设项目</w:t>
      </w:r>
      <w:r>
        <w:rPr>
          <w:rFonts w:hint="eastAsia" w:ascii="仿宋_GB2312" w:hAnsi="仿宋_GB2312" w:eastAsia="仿宋_GB2312" w:cs="仿宋_GB2312"/>
          <w:color w:val="auto"/>
          <w:sz w:val="32"/>
          <w:szCs w:val="32"/>
          <w:highlight w:val="none"/>
          <w:lang w:eastAsia="zh-CN"/>
        </w:rPr>
        <w:t>实施方案</w:t>
      </w:r>
      <w:r>
        <w:rPr>
          <w:rFonts w:hint="eastAsia" w:ascii="仿宋_GB2312" w:hAnsi="仿宋_GB2312" w:eastAsia="仿宋_GB2312" w:cs="仿宋_GB2312"/>
          <w:color w:val="auto"/>
          <w:sz w:val="32"/>
          <w:szCs w:val="32"/>
          <w:highlight w:val="none"/>
        </w:rPr>
        <w:t>的批复》（于</w:t>
      </w:r>
      <w:r>
        <w:rPr>
          <w:rFonts w:hint="eastAsia" w:ascii="仿宋_GB2312" w:hAnsi="仿宋_GB2312" w:eastAsia="仿宋_GB2312" w:cs="仿宋_GB2312"/>
          <w:color w:val="auto"/>
          <w:sz w:val="32"/>
          <w:szCs w:val="32"/>
          <w:highlight w:val="none"/>
          <w:lang w:val="en-US" w:eastAsia="zh-CN"/>
        </w:rPr>
        <w:t>发改项目</w:t>
      </w:r>
      <w:r>
        <w:rPr>
          <w:rFonts w:hint="eastAsia" w:ascii="仿宋_GB2312" w:hAnsi="仿宋_GB2312" w:eastAsia="仿宋_GB2312" w:cs="仿宋_GB2312"/>
          <w:color w:val="auto"/>
          <w:sz w:val="32"/>
          <w:szCs w:val="32"/>
          <w:highlight w:val="none"/>
        </w:rPr>
        <w:t>[202</w:t>
      </w:r>
      <w:r>
        <w:rPr>
          <w:rFonts w:hint="eastAsia" w:ascii="仿宋_GB2312" w:hAnsi="仿宋_GB2312" w:eastAsia="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val="en-US" w:eastAsia="zh-CN"/>
        </w:rPr>
        <w:t>3</w:t>
      </w:r>
      <w:r>
        <w:rPr>
          <w:rFonts w:hint="eastAsia" w:ascii="仿宋_GB2312" w:hAnsi="仿宋_GB2312" w:cs="仿宋_GB2312"/>
          <w:color w:val="auto"/>
          <w:sz w:val="32"/>
          <w:szCs w:val="32"/>
          <w:highlight w:val="none"/>
          <w:lang w:val="en-US" w:eastAsia="zh-CN"/>
        </w:rPr>
        <w:t>9</w:t>
      </w:r>
      <w:r>
        <w:rPr>
          <w:rFonts w:hint="eastAsia" w:ascii="仿宋_GB2312" w:hAnsi="仿宋_GB2312" w:eastAsia="仿宋_GB2312" w:cs="仿宋_GB2312"/>
          <w:color w:val="auto"/>
          <w:sz w:val="32"/>
          <w:szCs w:val="32"/>
          <w:highlight w:val="none"/>
        </w:rPr>
        <w:t>号）。</w:t>
      </w:r>
    </w:p>
    <w:p w14:paraId="313C1467">
      <w:pPr>
        <w:pStyle w:val="52"/>
        <w:spacing w:line="560" w:lineRule="exact"/>
        <w:ind w:left="3" w:right="3" w:firstLine="56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资金状况：预算资金来源为</w:t>
      </w:r>
      <w:r>
        <w:rPr>
          <w:rFonts w:hint="eastAsia" w:ascii="仿宋_GB2312" w:hAnsi="仿宋_GB2312" w:cs="仿宋_GB2312"/>
          <w:color w:val="auto"/>
          <w:sz w:val="32"/>
          <w:szCs w:val="32"/>
          <w:highlight w:val="none"/>
          <w:lang w:val="en-US" w:eastAsia="zh-CN"/>
        </w:rPr>
        <w:t>乡村振兴衔接资金</w:t>
      </w:r>
      <w:r>
        <w:rPr>
          <w:rFonts w:hint="eastAsia" w:ascii="仿宋_GB2312" w:hAnsi="仿宋_GB2312" w:eastAsia="仿宋_GB2312" w:cs="仿宋_GB2312"/>
          <w:color w:val="auto"/>
          <w:sz w:val="32"/>
          <w:szCs w:val="32"/>
          <w:highlight w:val="none"/>
        </w:rPr>
        <w:t>，文件依据：《关于对于田县斯也克乡葡萄基地沉砂池及附属设施建设项目</w:t>
      </w:r>
      <w:r>
        <w:rPr>
          <w:rFonts w:hint="eastAsia" w:ascii="仿宋_GB2312" w:hAnsi="仿宋_GB2312" w:eastAsia="仿宋_GB2312" w:cs="仿宋_GB2312"/>
          <w:color w:val="auto"/>
          <w:sz w:val="32"/>
          <w:szCs w:val="32"/>
          <w:highlight w:val="none"/>
          <w:lang w:eastAsia="zh-CN"/>
        </w:rPr>
        <w:t>实施方案</w:t>
      </w:r>
      <w:r>
        <w:rPr>
          <w:rFonts w:hint="eastAsia" w:ascii="仿宋_GB2312" w:hAnsi="仿宋_GB2312" w:eastAsia="仿宋_GB2312" w:cs="仿宋_GB2312"/>
          <w:color w:val="auto"/>
          <w:sz w:val="32"/>
          <w:szCs w:val="32"/>
          <w:highlight w:val="none"/>
        </w:rPr>
        <w:t>的批复》（于</w:t>
      </w:r>
      <w:r>
        <w:rPr>
          <w:rFonts w:hint="eastAsia" w:ascii="仿宋_GB2312" w:hAnsi="仿宋_GB2312" w:eastAsia="仿宋_GB2312" w:cs="仿宋_GB2312"/>
          <w:color w:val="auto"/>
          <w:sz w:val="32"/>
          <w:szCs w:val="32"/>
          <w:highlight w:val="none"/>
          <w:lang w:val="en-US" w:eastAsia="zh-CN"/>
        </w:rPr>
        <w:t>发改项目</w:t>
      </w:r>
      <w:r>
        <w:rPr>
          <w:rFonts w:hint="eastAsia" w:ascii="仿宋_GB2312" w:hAnsi="仿宋_GB2312" w:eastAsia="仿宋_GB2312" w:cs="仿宋_GB2312"/>
          <w:color w:val="auto"/>
          <w:sz w:val="32"/>
          <w:szCs w:val="32"/>
          <w:highlight w:val="none"/>
        </w:rPr>
        <w:t>[202</w:t>
      </w:r>
      <w:r>
        <w:rPr>
          <w:rFonts w:hint="eastAsia" w:ascii="仿宋_GB2312" w:hAnsi="仿宋_GB2312" w:eastAsia="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val="en-US" w:eastAsia="zh-CN"/>
        </w:rPr>
        <w:t>3</w:t>
      </w:r>
      <w:r>
        <w:rPr>
          <w:rFonts w:hint="eastAsia" w:ascii="仿宋_GB2312" w:hAnsi="仿宋_GB2312" w:cs="仿宋_GB2312"/>
          <w:color w:val="auto"/>
          <w:sz w:val="32"/>
          <w:szCs w:val="32"/>
          <w:highlight w:val="none"/>
          <w:lang w:val="en-US" w:eastAsia="zh-CN"/>
        </w:rPr>
        <w:t>9</w:t>
      </w:r>
      <w:r>
        <w:rPr>
          <w:rFonts w:hint="eastAsia" w:ascii="仿宋_GB2312" w:hAnsi="仿宋_GB2312" w:eastAsia="仿宋_GB2312" w:cs="仿宋_GB2312"/>
          <w:color w:val="auto"/>
          <w:sz w:val="32"/>
          <w:szCs w:val="32"/>
          <w:highlight w:val="none"/>
        </w:rPr>
        <w:t>号）</w:t>
      </w:r>
    </w:p>
    <w:p w14:paraId="01FC932B">
      <w:pPr>
        <w:pStyle w:val="52"/>
        <w:spacing w:line="560" w:lineRule="exact"/>
        <w:ind w:left="3" w:right="3" w:firstLine="56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过程状况：该项目于202</w:t>
      </w:r>
      <w:r>
        <w:rPr>
          <w:rFonts w:hint="eastAsia" w:ascii="仿宋_GB2312" w:hAnsi="仿宋_GB2312" w:eastAsia="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rPr>
        <w:t>年</w:t>
      </w:r>
      <w:r>
        <w:rPr>
          <w:rFonts w:hint="eastAsia" w:ascii="仿宋_GB2312" w:hAnsi="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rPr>
        <w:t>月制订</w:t>
      </w:r>
      <w:r>
        <w:rPr>
          <w:rFonts w:hint="eastAsia" w:ascii="仿宋_GB2312" w:hAnsi="仿宋_GB2312" w:eastAsia="仿宋_GB2312" w:cs="仿宋_GB2312"/>
          <w:color w:val="auto"/>
          <w:sz w:val="32"/>
          <w:szCs w:val="32"/>
          <w:highlight w:val="none"/>
          <w:lang w:eastAsia="zh-CN"/>
        </w:rPr>
        <w:t>实施方案</w:t>
      </w:r>
      <w:r>
        <w:rPr>
          <w:rFonts w:hint="eastAsia" w:ascii="仿宋_GB2312" w:hAnsi="仿宋_GB2312" w:eastAsia="仿宋_GB2312" w:cs="仿宋_GB2312"/>
          <w:color w:val="auto"/>
          <w:sz w:val="32"/>
          <w:szCs w:val="32"/>
          <w:highlight w:val="none"/>
        </w:rPr>
        <w:t>并得到批复，202</w:t>
      </w:r>
      <w:r>
        <w:rPr>
          <w:rFonts w:hint="eastAsia" w:ascii="仿宋_GB2312" w:hAnsi="仿宋_GB2312" w:eastAsia="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rPr>
        <w:t>年</w:t>
      </w: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rPr>
        <w:t>月发布招标公告进行招标，202</w:t>
      </w:r>
      <w:r>
        <w:rPr>
          <w:rFonts w:hint="eastAsia" w:ascii="仿宋_GB2312" w:hAnsi="仿宋_GB2312" w:eastAsia="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rPr>
        <w:t>年</w:t>
      </w:r>
      <w:r>
        <w:rPr>
          <w:rFonts w:hint="eastAsia" w:ascii="仿宋_GB2312" w:hAnsi="仿宋_GB2312" w:eastAsia="仿宋_GB2312" w:cs="仿宋_GB2312"/>
          <w:color w:val="auto"/>
          <w:sz w:val="32"/>
          <w:szCs w:val="32"/>
          <w:highlight w:val="none"/>
          <w:lang w:val="en-US" w:eastAsia="zh-CN"/>
        </w:rPr>
        <w:t>5</w:t>
      </w:r>
      <w:r>
        <w:rPr>
          <w:rFonts w:hint="eastAsia" w:ascii="仿宋_GB2312" w:hAnsi="仿宋_GB2312" w:eastAsia="仿宋_GB2312" w:cs="仿宋_GB2312"/>
          <w:color w:val="auto"/>
          <w:sz w:val="32"/>
          <w:szCs w:val="32"/>
          <w:highlight w:val="none"/>
        </w:rPr>
        <w:t>月完工。</w:t>
      </w:r>
    </w:p>
    <w:p w14:paraId="3A1AF45F">
      <w:pPr>
        <w:pStyle w:val="52"/>
        <w:spacing w:line="560" w:lineRule="exact"/>
        <w:ind w:left="3" w:right="3" w:firstLine="56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结果状况：</w:t>
      </w:r>
      <w:r>
        <w:rPr>
          <w:rFonts w:hint="eastAsia" w:ascii="仿宋_GB2312" w:hAnsi="仿宋_GB2312" w:eastAsia="仿宋_GB2312" w:cs="仿宋_GB2312"/>
          <w:color w:val="auto"/>
          <w:sz w:val="32"/>
          <w:szCs w:val="32"/>
          <w:highlight w:val="none"/>
          <w:lang w:val="en-US" w:eastAsia="zh-CN"/>
        </w:rPr>
        <w:t>2024年6</w:t>
      </w:r>
      <w:r>
        <w:rPr>
          <w:rFonts w:hint="eastAsia" w:ascii="仿宋_GB2312" w:hAnsi="仿宋_GB2312" w:eastAsia="仿宋_GB2312" w:cs="仿宋_GB2312"/>
          <w:color w:val="auto"/>
          <w:sz w:val="32"/>
          <w:szCs w:val="32"/>
          <w:highlight w:val="none"/>
        </w:rPr>
        <w:t>月</w:t>
      </w:r>
      <w:r>
        <w:rPr>
          <w:rFonts w:hint="eastAsia" w:ascii="仿宋_GB2312" w:hAnsi="仿宋_GB2312" w:cs="仿宋_GB2312"/>
          <w:color w:val="auto"/>
          <w:sz w:val="32"/>
          <w:szCs w:val="32"/>
          <w:highlight w:val="none"/>
          <w:lang w:val="en-US" w:eastAsia="zh-CN"/>
        </w:rPr>
        <w:t>21</w:t>
      </w:r>
      <w:r>
        <w:rPr>
          <w:rFonts w:hint="eastAsia" w:ascii="仿宋_GB2312" w:hAnsi="仿宋_GB2312" w:eastAsia="仿宋_GB2312" w:cs="仿宋_GB2312"/>
          <w:color w:val="auto"/>
          <w:sz w:val="32"/>
          <w:szCs w:val="32"/>
          <w:highlight w:val="none"/>
        </w:rPr>
        <w:t>日于田县发展和改革委员会，于田县乡村振兴局，财政局，</w:t>
      </w:r>
      <w:r>
        <w:rPr>
          <w:rFonts w:hint="eastAsia" w:ascii="仿宋_GB2312" w:hAnsi="仿宋_GB2312" w:cs="仿宋_GB2312"/>
          <w:color w:val="auto"/>
          <w:sz w:val="32"/>
          <w:szCs w:val="32"/>
          <w:highlight w:val="none"/>
          <w:lang w:val="en-US" w:eastAsia="zh-CN"/>
        </w:rPr>
        <w:t>水利</w:t>
      </w:r>
      <w:r>
        <w:rPr>
          <w:rFonts w:hint="eastAsia" w:ascii="仿宋_GB2312" w:hAnsi="仿宋_GB2312" w:eastAsia="仿宋_GB2312" w:cs="仿宋_GB2312"/>
          <w:color w:val="auto"/>
          <w:sz w:val="32"/>
          <w:szCs w:val="32"/>
          <w:highlight w:val="none"/>
          <w:lang w:eastAsia="zh-CN"/>
        </w:rPr>
        <w:t>局，于田县斯也克乡人民政府</w:t>
      </w:r>
      <w:r>
        <w:rPr>
          <w:rFonts w:hint="eastAsia" w:ascii="仿宋_GB2312" w:hAnsi="仿宋_GB2312" w:eastAsia="仿宋_GB2312" w:cs="仿宋_GB2312"/>
          <w:color w:val="auto"/>
          <w:sz w:val="32"/>
          <w:szCs w:val="32"/>
          <w:highlight w:val="none"/>
        </w:rPr>
        <w:t>和参建单位联合竣工验收结果状况：合格。</w:t>
      </w:r>
    </w:p>
    <w:p w14:paraId="0138DEB2">
      <w:pPr>
        <w:pStyle w:val="52"/>
        <w:spacing w:line="560" w:lineRule="exact"/>
        <w:ind w:left="3" w:right="3" w:firstLine="562"/>
        <w:rPr>
          <w:rStyle w:val="19"/>
          <w:rFonts w:hint="eastAsia" w:ascii="仿宋_GB2312" w:hAnsi="仿宋_GB2312" w:eastAsia="仿宋_GB2312" w:cs="仿宋_GB2312"/>
          <w:color w:val="auto"/>
          <w:sz w:val="32"/>
          <w:szCs w:val="32"/>
          <w:highlight w:val="none"/>
        </w:rPr>
      </w:pPr>
      <w:r>
        <w:rPr>
          <w:rStyle w:val="19"/>
          <w:rFonts w:hint="eastAsia" w:ascii="仿宋_GB2312" w:hAnsi="仿宋_GB2312" w:eastAsia="仿宋_GB2312" w:cs="仿宋_GB2312"/>
          <w:color w:val="auto"/>
          <w:sz w:val="32"/>
          <w:szCs w:val="32"/>
          <w:highlight w:val="none"/>
        </w:rPr>
        <w:t>（三）主要经验及做法</w:t>
      </w:r>
    </w:p>
    <w:p w14:paraId="0673B380">
      <w:pPr>
        <w:spacing w:line="56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于田县斯也克乡葡萄基地沉砂池及附属设施建设项目资金安排、使用过程中严格执行乡村振兴项目资金管理制度，确保乡村振兴项目正常运行为构建长效稳定奠定物质基础。</w:t>
      </w:r>
    </w:p>
    <w:p w14:paraId="3492CB94">
      <w:pPr>
        <w:spacing w:line="560" w:lineRule="exact"/>
        <w:ind w:firstLine="643" w:firstLineChars="200"/>
        <w:rPr>
          <w:rStyle w:val="19"/>
          <w:rFonts w:hint="eastAsia" w:ascii="仿宋_GB2312" w:hAnsi="仿宋_GB2312" w:eastAsia="仿宋_GB2312" w:cs="仿宋_GB2312"/>
          <w:color w:val="auto"/>
          <w:sz w:val="32"/>
          <w:szCs w:val="32"/>
          <w:highlight w:val="none"/>
        </w:rPr>
      </w:pPr>
      <w:r>
        <w:rPr>
          <w:rStyle w:val="19"/>
          <w:rFonts w:hint="eastAsia" w:ascii="仿宋_GB2312" w:hAnsi="仿宋_GB2312" w:eastAsia="仿宋_GB2312" w:cs="仿宋_GB2312"/>
          <w:color w:val="auto"/>
          <w:sz w:val="32"/>
          <w:szCs w:val="32"/>
          <w:highlight w:val="none"/>
        </w:rPr>
        <w:t>（四）存在的问题</w:t>
      </w:r>
    </w:p>
    <w:p w14:paraId="6349A705">
      <w:pPr>
        <w:spacing w:line="56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于田县斯也克乡葡萄基地沉砂池及附属设施建设项目资金安排、使用过程中存在一些问题，主要是资金申报，审批，发放过程中存在对资金拨付缓慢问题。</w:t>
      </w:r>
    </w:p>
    <w:p w14:paraId="2F659768">
      <w:pPr>
        <w:spacing w:line="560" w:lineRule="exact"/>
        <w:ind w:firstLine="643" w:firstLineChars="200"/>
        <w:rPr>
          <w:rStyle w:val="19"/>
          <w:rFonts w:hint="eastAsia" w:ascii="仿宋_GB2312" w:hAnsi="仿宋_GB2312" w:eastAsia="仿宋_GB2312" w:cs="仿宋_GB2312"/>
          <w:color w:val="auto"/>
          <w:sz w:val="32"/>
          <w:szCs w:val="32"/>
          <w:highlight w:val="none"/>
        </w:rPr>
      </w:pPr>
      <w:r>
        <w:rPr>
          <w:rStyle w:val="19"/>
          <w:rFonts w:hint="eastAsia" w:ascii="仿宋_GB2312" w:hAnsi="仿宋_GB2312" w:eastAsia="仿宋_GB2312" w:cs="仿宋_GB2312"/>
          <w:color w:val="auto"/>
          <w:sz w:val="32"/>
          <w:szCs w:val="32"/>
          <w:highlight w:val="none"/>
        </w:rPr>
        <w:t>（五）建议</w:t>
      </w:r>
    </w:p>
    <w:p w14:paraId="30C54834">
      <w:pPr>
        <w:spacing w:line="56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后续要加强项目资金监督力度，严格执行乡村振兴项目资金管理制度，确保乡村振兴项目正常运行。建立健全资产管理体制和运行机制，持续发挥资产扶持效益，确保资产运行安全，管理高效；为构建长效稳定的乡村振兴环境奠定物质基础。</w:t>
      </w:r>
    </w:p>
    <w:p w14:paraId="3DCCA688">
      <w:pPr>
        <w:spacing w:line="560" w:lineRule="exact"/>
        <w:ind w:firstLine="643" w:firstLineChars="200"/>
        <w:rPr>
          <w:rStyle w:val="19"/>
          <w:rFonts w:hint="eastAsia" w:ascii="仿宋_GB2312" w:hAnsi="仿宋_GB2312" w:eastAsia="仿宋_GB2312" w:cs="仿宋_GB2312"/>
          <w:color w:val="auto"/>
          <w:sz w:val="32"/>
          <w:szCs w:val="32"/>
          <w:highlight w:val="none"/>
        </w:rPr>
      </w:pPr>
      <w:r>
        <w:rPr>
          <w:rStyle w:val="19"/>
          <w:rFonts w:hint="eastAsia" w:ascii="仿宋_GB2312" w:hAnsi="仿宋_GB2312" w:eastAsia="仿宋_GB2312" w:cs="仿宋_GB2312"/>
          <w:color w:val="auto"/>
          <w:sz w:val="32"/>
          <w:szCs w:val="32"/>
          <w:highlight w:val="none"/>
        </w:rPr>
        <w:t>（六）项目绩效公告公示情况</w:t>
      </w:r>
    </w:p>
    <w:p w14:paraId="651A5CBD">
      <w:pPr>
        <w:pStyle w:val="52"/>
        <w:spacing w:line="560" w:lineRule="exact"/>
        <w:ind w:left="3" w:right="3" w:firstLine="56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项目按照项目公告公示规定要求，完成项目前期公开、项目建设期公开，项目竣工后公开，通过张榜公示向社会公开，接受社会监督。同时，通过门户网站，对项目绩效情况进行公示。</w:t>
      </w:r>
    </w:p>
    <w:sectPr>
      <w:headerReference r:id="rId3" w:type="default"/>
      <w:footerReference r:id="rId4" w:type="default"/>
      <w:pgSz w:w="11906" w:h="16838"/>
      <w:pgMar w:top="1985" w:right="1134" w:bottom="1134" w:left="1701" w:header="737" w:footer="737" w:gutter="0"/>
      <w:pgNumType w:start="0"/>
      <w:cols w:space="425"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大标宋简体">
    <w:altName w:val="微软雅黑"/>
    <w:panose1 w:val="02010601030101010101"/>
    <w:charset w:val="86"/>
    <w:family w:val="auto"/>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43567469"/>
      <w:docPartObj>
        <w:docPartGallery w:val="autotext"/>
      </w:docPartObj>
    </w:sdtPr>
    <w:sdtContent>
      <w:p w14:paraId="50965B7A">
        <w:pPr>
          <w:pStyle w:val="13"/>
          <w:jc w:val="center"/>
        </w:pPr>
        <w:r>
          <w:fldChar w:fldCharType="begin"/>
        </w:r>
        <w:r>
          <w:instrText xml:space="preserve">PAGE   \* MERGEFORMAT</w:instrText>
        </w:r>
        <w:r>
          <w:fldChar w:fldCharType="separate"/>
        </w:r>
        <w:r>
          <w:rPr>
            <w:lang w:val="zh-CN"/>
          </w:rPr>
          <w:t>1</w:t>
        </w:r>
        <w:r>
          <w:fldChar w:fldCharType="end"/>
        </w:r>
      </w:p>
    </w:sdtContent>
  </w:sdt>
  <w:p w14:paraId="2C4B1DBB">
    <w:pPr>
      <w:pStyle w:val="1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25D2DE">
    <w:pPr>
      <w:pStyle w:val="1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482628B"/>
    <w:multiLevelType w:val="singleLevel"/>
    <w:tmpl w:val="D482628B"/>
    <w:lvl w:ilvl="0" w:tentative="0">
      <w:start w:val="4"/>
      <w:numFmt w:val="chineseCounting"/>
      <w:suff w:val="nothing"/>
      <w:lvlText w:val="%1、"/>
      <w:lvlJc w:val="left"/>
      <w:rPr>
        <w:rFonts w:hint="eastAsia"/>
      </w:rPr>
    </w:lvl>
  </w:abstractNum>
  <w:abstractNum w:abstractNumId="1">
    <w:nsid w:val="63911AEF"/>
    <w:multiLevelType w:val="singleLevel"/>
    <w:tmpl w:val="63911AEF"/>
    <w:lvl w:ilvl="0" w:tentative="0">
      <w:start w:val="1"/>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noPunctuationKerning w:val="1"/>
  <w:characterSpacingControl w:val="doNotCompress"/>
  <w:compat>
    <w:doNotSnapToGridInCell/>
    <w:doNotWrapTextWithPunct/>
    <w:doNotUseEastAsianBreakRules/>
    <w:growAutofit/>
    <w:useFELayout/>
    <w:compatSetting w:name="compatibilityMode" w:uri="http://schemas.microsoft.com/office/word" w:val="14"/>
  </w:compat>
  <w:rsids>
    <w:rsidRoot w:val="00B312FC"/>
    <w:rsid w:val="00005A8B"/>
    <w:rsid w:val="000260F1"/>
    <w:rsid w:val="00026982"/>
    <w:rsid w:val="00044E24"/>
    <w:rsid w:val="00054312"/>
    <w:rsid w:val="00071ED9"/>
    <w:rsid w:val="00080041"/>
    <w:rsid w:val="00083077"/>
    <w:rsid w:val="00091C2E"/>
    <w:rsid w:val="000970E2"/>
    <w:rsid w:val="000A3F8B"/>
    <w:rsid w:val="000B68C8"/>
    <w:rsid w:val="000E0477"/>
    <w:rsid w:val="000F003D"/>
    <w:rsid w:val="000F5BA4"/>
    <w:rsid w:val="001302C1"/>
    <w:rsid w:val="001529B8"/>
    <w:rsid w:val="001C12C9"/>
    <w:rsid w:val="001C5A74"/>
    <w:rsid w:val="001D0046"/>
    <w:rsid w:val="001D7871"/>
    <w:rsid w:val="001F0A88"/>
    <w:rsid w:val="002073D6"/>
    <w:rsid w:val="00216DCD"/>
    <w:rsid w:val="002356F3"/>
    <w:rsid w:val="00237DAC"/>
    <w:rsid w:val="00243713"/>
    <w:rsid w:val="0025219B"/>
    <w:rsid w:val="002746C2"/>
    <w:rsid w:val="0028360D"/>
    <w:rsid w:val="002A49E9"/>
    <w:rsid w:val="002B362C"/>
    <w:rsid w:val="002C1B5A"/>
    <w:rsid w:val="002C6622"/>
    <w:rsid w:val="00303872"/>
    <w:rsid w:val="00343C8B"/>
    <w:rsid w:val="0035619D"/>
    <w:rsid w:val="0036579B"/>
    <w:rsid w:val="0037545E"/>
    <w:rsid w:val="003B103E"/>
    <w:rsid w:val="003B2066"/>
    <w:rsid w:val="003B45C2"/>
    <w:rsid w:val="003D6089"/>
    <w:rsid w:val="003F7CD3"/>
    <w:rsid w:val="00407329"/>
    <w:rsid w:val="0042774A"/>
    <w:rsid w:val="00433105"/>
    <w:rsid w:val="0043529B"/>
    <w:rsid w:val="004447F6"/>
    <w:rsid w:val="00452A7B"/>
    <w:rsid w:val="004765F9"/>
    <w:rsid w:val="004D19E3"/>
    <w:rsid w:val="004E156F"/>
    <w:rsid w:val="004F278C"/>
    <w:rsid w:val="004F71F5"/>
    <w:rsid w:val="00502531"/>
    <w:rsid w:val="005033D8"/>
    <w:rsid w:val="00545496"/>
    <w:rsid w:val="005469CF"/>
    <w:rsid w:val="00561ADC"/>
    <w:rsid w:val="005B4348"/>
    <w:rsid w:val="005B7749"/>
    <w:rsid w:val="005D7C18"/>
    <w:rsid w:val="005F7D5D"/>
    <w:rsid w:val="00600873"/>
    <w:rsid w:val="00601C6E"/>
    <w:rsid w:val="00607547"/>
    <w:rsid w:val="00642C18"/>
    <w:rsid w:val="00696A43"/>
    <w:rsid w:val="006C2EB3"/>
    <w:rsid w:val="006F23BE"/>
    <w:rsid w:val="00704F2C"/>
    <w:rsid w:val="00713A95"/>
    <w:rsid w:val="007658DB"/>
    <w:rsid w:val="007F690F"/>
    <w:rsid w:val="0080022F"/>
    <w:rsid w:val="0081784A"/>
    <w:rsid w:val="008703E2"/>
    <w:rsid w:val="00897839"/>
    <w:rsid w:val="008A3305"/>
    <w:rsid w:val="008A49C0"/>
    <w:rsid w:val="008B044F"/>
    <w:rsid w:val="008B4230"/>
    <w:rsid w:val="008B6B8E"/>
    <w:rsid w:val="008C3F3B"/>
    <w:rsid w:val="0091422D"/>
    <w:rsid w:val="0093300C"/>
    <w:rsid w:val="00941946"/>
    <w:rsid w:val="0094736A"/>
    <w:rsid w:val="009C105D"/>
    <w:rsid w:val="009C2529"/>
    <w:rsid w:val="009D11ED"/>
    <w:rsid w:val="00A1755C"/>
    <w:rsid w:val="00A20A41"/>
    <w:rsid w:val="00A233B8"/>
    <w:rsid w:val="00A2767E"/>
    <w:rsid w:val="00A2793F"/>
    <w:rsid w:val="00A416AC"/>
    <w:rsid w:val="00A71644"/>
    <w:rsid w:val="00A75331"/>
    <w:rsid w:val="00AA0053"/>
    <w:rsid w:val="00AB4406"/>
    <w:rsid w:val="00B312FC"/>
    <w:rsid w:val="00B322F0"/>
    <w:rsid w:val="00B455F6"/>
    <w:rsid w:val="00B516E9"/>
    <w:rsid w:val="00B606E1"/>
    <w:rsid w:val="00B77438"/>
    <w:rsid w:val="00B94447"/>
    <w:rsid w:val="00BB1ADD"/>
    <w:rsid w:val="00BC59F8"/>
    <w:rsid w:val="00BD5077"/>
    <w:rsid w:val="00BF0294"/>
    <w:rsid w:val="00C36832"/>
    <w:rsid w:val="00C36FD3"/>
    <w:rsid w:val="00C47EDA"/>
    <w:rsid w:val="00C5126D"/>
    <w:rsid w:val="00C5141C"/>
    <w:rsid w:val="00C5653E"/>
    <w:rsid w:val="00CA0AB1"/>
    <w:rsid w:val="00CD3679"/>
    <w:rsid w:val="00CF170A"/>
    <w:rsid w:val="00CF20B9"/>
    <w:rsid w:val="00D0177C"/>
    <w:rsid w:val="00D026EF"/>
    <w:rsid w:val="00D157F5"/>
    <w:rsid w:val="00D67F10"/>
    <w:rsid w:val="00D775A1"/>
    <w:rsid w:val="00DB1673"/>
    <w:rsid w:val="00DC00CB"/>
    <w:rsid w:val="00DE5C9F"/>
    <w:rsid w:val="00E20066"/>
    <w:rsid w:val="00E215D5"/>
    <w:rsid w:val="00E231E6"/>
    <w:rsid w:val="00E35D4C"/>
    <w:rsid w:val="00E36AF4"/>
    <w:rsid w:val="00E417AF"/>
    <w:rsid w:val="00E5760D"/>
    <w:rsid w:val="00E62F01"/>
    <w:rsid w:val="00E66C44"/>
    <w:rsid w:val="00E72FF5"/>
    <w:rsid w:val="00E952C7"/>
    <w:rsid w:val="00EB734B"/>
    <w:rsid w:val="00EE2F0B"/>
    <w:rsid w:val="00F4497B"/>
    <w:rsid w:val="00F52D23"/>
    <w:rsid w:val="00F66291"/>
    <w:rsid w:val="00F66C47"/>
    <w:rsid w:val="00F74F64"/>
    <w:rsid w:val="00F75FFF"/>
    <w:rsid w:val="00F83581"/>
    <w:rsid w:val="00FB7553"/>
    <w:rsid w:val="00FD470D"/>
    <w:rsid w:val="00FD4E1C"/>
    <w:rsid w:val="00FD65BA"/>
    <w:rsid w:val="00FE1B50"/>
    <w:rsid w:val="00FF1109"/>
    <w:rsid w:val="01E34E6F"/>
    <w:rsid w:val="0D8A2E3B"/>
    <w:rsid w:val="132C44AB"/>
    <w:rsid w:val="16507C65"/>
    <w:rsid w:val="2BE35D76"/>
    <w:rsid w:val="2C07172F"/>
    <w:rsid w:val="3159151A"/>
    <w:rsid w:val="37AE22B0"/>
    <w:rsid w:val="3EEE78C4"/>
    <w:rsid w:val="45B465A2"/>
    <w:rsid w:val="4F74298C"/>
    <w:rsid w:val="508E05AB"/>
    <w:rsid w:val="56EB1033"/>
    <w:rsid w:val="5FD72021"/>
    <w:rsid w:val="719C64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hint="default" w:eastAsia="楷体_GB2312" w:asciiTheme="minorHAnsi" w:hAnsiTheme="minorHAnsi" w:cstheme="minorBidi"/>
      <w:kern w:val="2"/>
      <w:sz w:val="32"/>
      <w:szCs w:val="22"/>
      <w:lang w:val="en-US" w:eastAsia="zh-CN" w:bidi="ar-SA"/>
    </w:rPr>
  </w:style>
  <w:style w:type="paragraph" w:styleId="3">
    <w:name w:val="heading 1"/>
    <w:basedOn w:val="1"/>
    <w:next w:val="1"/>
    <w:link w:val="21"/>
    <w:qFormat/>
    <w:uiPriority w:val="9"/>
    <w:pPr>
      <w:keepNext/>
      <w:keepLines/>
      <w:spacing w:before="340" w:after="330" w:line="576" w:lineRule="auto"/>
      <w:outlineLvl w:val="0"/>
    </w:pPr>
    <w:rPr>
      <w:rFonts w:cs="宋体"/>
      <w:b/>
      <w:bCs/>
      <w:kern w:val="44"/>
      <w:sz w:val="44"/>
      <w:szCs w:val="44"/>
    </w:rPr>
  </w:style>
  <w:style w:type="paragraph" w:styleId="4">
    <w:name w:val="heading 2"/>
    <w:basedOn w:val="1"/>
    <w:next w:val="1"/>
    <w:link w:val="22"/>
    <w:qFormat/>
    <w:uiPriority w:val="9"/>
    <w:pPr>
      <w:keepNext/>
      <w:keepLines/>
      <w:spacing w:before="260" w:after="260" w:line="415" w:lineRule="auto"/>
      <w:outlineLvl w:val="1"/>
    </w:pPr>
    <w:rPr>
      <w:rFonts w:asciiTheme="majorHAnsi" w:hAnsiTheme="majorHAnsi" w:eastAsiaTheme="majorEastAsia" w:cstheme="majorBidi"/>
      <w:b/>
      <w:bCs/>
      <w:szCs w:val="32"/>
    </w:rPr>
  </w:style>
  <w:style w:type="paragraph" w:styleId="2">
    <w:name w:val="heading 3"/>
    <w:basedOn w:val="1"/>
    <w:next w:val="1"/>
    <w:link w:val="23"/>
    <w:qFormat/>
    <w:uiPriority w:val="9"/>
    <w:pPr>
      <w:keepNext/>
      <w:keepLines/>
      <w:spacing w:before="260" w:after="260" w:line="415" w:lineRule="auto"/>
      <w:outlineLvl w:val="2"/>
    </w:pPr>
    <w:rPr>
      <w:rFonts w:cs="宋体"/>
      <w:b/>
      <w:bCs/>
      <w:szCs w:val="32"/>
    </w:rPr>
  </w:style>
  <w:style w:type="paragraph" w:styleId="5">
    <w:name w:val="heading 4"/>
    <w:basedOn w:val="1"/>
    <w:next w:val="1"/>
    <w:link w:val="24"/>
    <w:qFormat/>
    <w:uiPriority w:val="9"/>
    <w:pPr>
      <w:keepNext/>
      <w:keepLines/>
      <w:spacing w:before="280" w:after="290" w:line="374" w:lineRule="auto"/>
      <w:outlineLvl w:val="3"/>
    </w:pPr>
    <w:rPr>
      <w:rFonts w:asciiTheme="majorHAnsi" w:hAnsiTheme="majorHAnsi" w:eastAsiaTheme="majorEastAsia" w:cstheme="majorBidi"/>
      <w:b/>
      <w:bCs/>
      <w:sz w:val="28"/>
      <w:szCs w:val="28"/>
    </w:rPr>
  </w:style>
  <w:style w:type="paragraph" w:styleId="6">
    <w:name w:val="heading 5"/>
    <w:basedOn w:val="1"/>
    <w:next w:val="1"/>
    <w:link w:val="25"/>
    <w:qFormat/>
    <w:uiPriority w:val="9"/>
    <w:pPr>
      <w:keepNext/>
      <w:keepLines/>
      <w:spacing w:before="280" w:after="290" w:line="374" w:lineRule="auto"/>
      <w:outlineLvl w:val="4"/>
    </w:pPr>
    <w:rPr>
      <w:rFonts w:cs="宋体"/>
      <w:b/>
      <w:bCs/>
      <w:sz w:val="28"/>
      <w:szCs w:val="28"/>
    </w:rPr>
  </w:style>
  <w:style w:type="paragraph" w:styleId="7">
    <w:name w:val="heading 6"/>
    <w:basedOn w:val="1"/>
    <w:next w:val="1"/>
    <w:link w:val="36"/>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62"/>
    <w:qFormat/>
    <w:uiPriority w:val="9"/>
    <w:pPr>
      <w:keepNext/>
      <w:keepLines/>
      <w:spacing w:before="240" w:after="64" w:line="320" w:lineRule="auto"/>
      <w:outlineLvl w:val="6"/>
    </w:pPr>
    <w:rPr>
      <w:b/>
      <w:bCs/>
      <w:sz w:val="24"/>
      <w:szCs w:val="24"/>
    </w:rPr>
  </w:style>
  <w:style w:type="paragraph" w:styleId="9">
    <w:name w:val="heading 8"/>
    <w:basedOn w:val="1"/>
    <w:next w:val="1"/>
    <w:link w:val="63"/>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paragraph" w:styleId="10">
    <w:name w:val="heading 9"/>
    <w:basedOn w:val="1"/>
    <w:next w:val="1"/>
    <w:link w:val="64"/>
    <w:qFormat/>
    <w:uiPriority w:val="9"/>
    <w:pPr>
      <w:keepNext/>
      <w:keepLines/>
      <w:spacing w:before="240" w:after="64" w:line="320" w:lineRule="auto"/>
      <w:outlineLvl w:val="8"/>
    </w:pPr>
    <w:rPr>
      <w:rFonts w:asciiTheme="majorHAnsi" w:hAnsiTheme="majorHAnsi" w:eastAsiaTheme="majorEastAsia" w:cstheme="majorBidi"/>
      <w:szCs w:val="21"/>
    </w:rPr>
  </w:style>
  <w:style w:type="character" w:default="1" w:styleId="18">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link w:val="67"/>
    <w:semiHidden/>
    <w:unhideWhenUsed/>
    <w:qFormat/>
    <w:uiPriority w:val="99"/>
    <w:pPr>
      <w:jc w:val="left"/>
    </w:pPr>
  </w:style>
  <w:style w:type="paragraph" w:styleId="12">
    <w:name w:val="Balloon Text"/>
    <w:basedOn w:val="1"/>
    <w:link w:val="69"/>
    <w:semiHidden/>
    <w:unhideWhenUsed/>
    <w:qFormat/>
    <w:uiPriority w:val="99"/>
    <w:rPr>
      <w:sz w:val="18"/>
      <w:szCs w:val="18"/>
    </w:rPr>
  </w:style>
  <w:style w:type="paragraph" w:styleId="13">
    <w:name w:val="footer"/>
    <w:basedOn w:val="1"/>
    <w:link w:val="66"/>
    <w:unhideWhenUsed/>
    <w:qFormat/>
    <w:uiPriority w:val="99"/>
    <w:pPr>
      <w:tabs>
        <w:tab w:val="center" w:pos="4153"/>
        <w:tab w:val="right" w:pos="8306"/>
      </w:tabs>
      <w:snapToGrid w:val="0"/>
      <w:jc w:val="left"/>
    </w:pPr>
    <w:rPr>
      <w:sz w:val="18"/>
      <w:szCs w:val="18"/>
    </w:rPr>
  </w:style>
  <w:style w:type="paragraph" w:styleId="14">
    <w:name w:val="header"/>
    <w:basedOn w:val="1"/>
    <w:link w:val="65"/>
    <w:unhideWhenUsed/>
    <w:qFormat/>
    <w:uiPriority w:val="99"/>
    <w:pPr>
      <w:pBdr>
        <w:bottom w:val="single" w:color="auto" w:sz="6" w:space="1"/>
      </w:pBdr>
      <w:tabs>
        <w:tab w:val="center" w:pos="4153"/>
        <w:tab w:val="right" w:pos="8306"/>
      </w:tabs>
      <w:snapToGrid w:val="0"/>
      <w:jc w:val="center"/>
    </w:pPr>
    <w:rPr>
      <w:sz w:val="18"/>
      <w:szCs w:val="18"/>
    </w:rPr>
  </w:style>
  <w:style w:type="paragraph" w:styleId="15">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6">
    <w:name w:val="annotation subject"/>
    <w:basedOn w:val="11"/>
    <w:next w:val="11"/>
    <w:link w:val="68"/>
    <w:semiHidden/>
    <w:unhideWhenUsed/>
    <w:qFormat/>
    <w:uiPriority w:val="99"/>
    <w:rPr>
      <w:b/>
      <w:bCs/>
    </w:rPr>
  </w:style>
  <w:style w:type="character" w:styleId="19">
    <w:name w:val="Strong"/>
    <w:basedOn w:val="18"/>
    <w:qFormat/>
    <w:uiPriority w:val="0"/>
    <w:rPr>
      <w:b/>
      <w:bCs/>
    </w:rPr>
  </w:style>
  <w:style w:type="character" w:styleId="20">
    <w:name w:val="annotation reference"/>
    <w:basedOn w:val="18"/>
    <w:semiHidden/>
    <w:unhideWhenUsed/>
    <w:qFormat/>
    <w:uiPriority w:val="99"/>
    <w:rPr>
      <w:sz w:val="21"/>
      <w:szCs w:val="21"/>
    </w:rPr>
  </w:style>
  <w:style w:type="character" w:customStyle="1" w:styleId="21">
    <w:name w:val="标题 1 Char"/>
    <w:basedOn w:val="18"/>
    <w:link w:val="3"/>
    <w:qFormat/>
    <w:locked/>
    <w:uiPriority w:val="9"/>
    <w:rPr>
      <w:b/>
      <w:bCs/>
      <w:kern w:val="44"/>
      <w:sz w:val="44"/>
      <w:szCs w:val="44"/>
    </w:rPr>
  </w:style>
  <w:style w:type="character" w:customStyle="1" w:styleId="22">
    <w:name w:val="标题 2 Char"/>
    <w:basedOn w:val="18"/>
    <w:link w:val="4"/>
    <w:semiHidden/>
    <w:qFormat/>
    <w:locked/>
    <w:uiPriority w:val="9"/>
    <w:rPr>
      <w:rFonts w:hint="eastAsia" w:asciiTheme="majorHAnsi" w:hAnsiTheme="majorHAnsi" w:eastAsiaTheme="majorEastAsia" w:cstheme="majorBidi"/>
      <w:b/>
      <w:bCs/>
      <w:sz w:val="32"/>
      <w:szCs w:val="32"/>
    </w:rPr>
  </w:style>
  <w:style w:type="character" w:customStyle="1" w:styleId="23">
    <w:name w:val="标题 3 Char"/>
    <w:basedOn w:val="18"/>
    <w:link w:val="2"/>
    <w:semiHidden/>
    <w:qFormat/>
    <w:locked/>
    <w:uiPriority w:val="9"/>
    <w:rPr>
      <w:b/>
      <w:bCs/>
      <w:sz w:val="32"/>
      <w:szCs w:val="32"/>
    </w:rPr>
  </w:style>
  <w:style w:type="character" w:customStyle="1" w:styleId="24">
    <w:name w:val="标题 4 Char"/>
    <w:basedOn w:val="18"/>
    <w:link w:val="5"/>
    <w:semiHidden/>
    <w:qFormat/>
    <w:locked/>
    <w:uiPriority w:val="9"/>
    <w:rPr>
      <w:rFonts w:hint="eastAsia" w:asciiTheme="majorHAnsi" w:hAnsiTheme="majorHAnsi" w:eastAsiaTheme="majorEastAsia" w:cstheme="majorBidi"/>
      <w:b/>
      <w:bCs/>
      <w:sz w:val="28"/>
      <w:szCs w:val="28"/>
    </w:rPr>
  </w:style>
  <w:style w:type="character" w:customStyle="1" w:styleId="25">
    <w:name w:val="标题 5 Char"/>
    <w:basedOn w:val="18"/>
    <w:link w:val="6"/>
    <w:semiHidden/>
    <w:qFormat/>
    <w:locked/>
    <w:uiPriority w:val="9"/>
    <w:rPr>
      <w:b/>
      <w:bCs/>
      <w:sz w:val="28"/>
      <w:szCs w:val="28"/>
    </w:rPr>
  </w:style>
  <w:style w:type="character" w:customStyle="1" w:styleId="26">
    <w:name w:val="FZ标题1 字符"/>
    <w:basedOn w:val="18"/>
    <w:link w:val="27"/>
    <w:qFormat/>
    <w:locked/>
    <w:uiPriority w:val="0"/>
    <w:rPr>
      <w:rFonts w:hint="eastAsia" w:ascii="宋体" w:hAnsi="宋体" w:eastAsia="宋体"/>
      <w:b/>
      <w:color w:val="000000"/>
      <w:sz w:val="32"/>
    </w:rPr>
  </w:style>
  <w:style w:type="paragraph" w:customStyle="1" w:styleId="27">
    <w:name w:val="FZ标题1"/>
    <w:basedOn w:val="3"/>
    <w:link w:val="26"/>
    <w:qFormat/>
    <w:uiPriority w:val="0"/>
    <w:pPr>
      <w:keepNext w:val="0"/>
      <w:keepLines w:val="0"/>
      <w:snapToGrid w:val="0"/>
      <w:spacing w:before="0" w:after="0" w:line="360" w:lineRule="auto"/>
      <w:ind w:left="1" w:leftChars="1" w:right="1" w:rightChars="1" w:firstLine="1" w:firstLineChars="1"/>
      <w:jc w:val="center"/>
    </w:pPr>
    <w:rPr>
      <w:rFonts w:ascii="宋体" w:hAnsi="宋体" w:eastAsia="宋体" w:cstheme="minorBidi"/>
      <w:bCs w:val="0"/>
      <w:color w:val="000000"/>
      <w:kern w:val="2"/>
      <w:sz w:val="32"/>
      <w:szCs w:val="22"/>
    </w:rPr>
  </w:style>
  <w:style w:type="character" w:customStyle="1" w:styleId="28">
    <w:name w:val="FZ标题2 字符"/>
    <w:basedOn w:val="18"/>
    <w:link w:val="29"/>
    <w:qFormat/>
    <w:locked/>
    <w:uiPriority w:val="0"/>
    <w:rPr>
      <w:rFonts w:eastAsia="黑体"/>
      <w:b/>
      <w:bCs/>
      <w:color w:val="000000"/>
      <w:kern w:val="2"/>
      <w:sz w:val="28"/>
      <w:szCs w:val="44"/>
    </w:rPr>
  </w:style>
  <w:style w:type="paragraph" w:customStyle="1" w:styleId="29">
    <w:name w:val="FZ标题2"/>
    <w:basedOn w:val="4"/>
    <w:link w:val="28"/>
    <w:qFormat/>
    <w:uiPriority w:val="0"/>
    <w:pPr>
      <w:keepNext w:val="0"/>
      <w:keepLines w:val="0"/>
      <w:snapToGrid w:val="0"/>
      <w:spacing w:before="0" w:beforeLines="50" w:after="0" w:line="360" w:lineRule="auto"/>
      <w:ind w:left="1" w:leftChars="1" w:right="1" w:rightChars="1" w:firstLine="1" w:firstLineChars="1"/>
      <w:jc w:val="left"/>
    </w:pPr>
    <w:rPr>
      <w:rFonts w:ascii="宋体" w:hAnsi="宋体" w:eastAsia="黑体" w:cstheme="minorBidi"/>
      <w:color w:val="000000"/>
      <w:sz w:val="28"/>
      <w:szCs w:val="44"/>
    </w:rPr>
  </w:style>
  <w:style w:type="character" w:customStyle="1" w:styleId="30">
    <w:name w:val="FZ标题3 字符"/>
    <w:basedOn w:val="18"/>
    <w:link w:val="31"/>
    <w:qFormat/>
    <w:locked/>
    <w:uiPriority w:val="0"/>
    <w:rPr>
      <w:rFonts w:eastAsia="仿宋_GB2312" w:cstheme="majorBidi"/>
      <w:b/>
      <w:bCs/>
      <w:color w:val="000000"/>
      <w:kern w:val="2"/>
      <w:sz w:val="28"/>
      <w:szCs w:val="32"/>
    </w:rPr>
  </w:style>
  <w:style w:type="paragraph" w:customStyle="1" w:styleId="31">
    <w:name w:val="FZ标题3"/>
    <w:basedOn w:val="2"/>
    <w:link w:val="30"/>
    <w:qFormat/>
    <w:uiPriority w:val="0"/>
    <w:pPr>
      <w:keepNext w:val="0"/>
      <w:keepLines w:val="0"/>
      <w:snapToGrid w:val="0"/>
      <w:spacing w:before="120" w:beforeLines="50" w:after="0" w:line="360" w:lineRule="auto"/>
      <w:ind w:right="3" w:rightChars="1" w:firstLine="281" w:firstLineChars="100"/>
    </w:pPr>
    <w:rPr>
      <w:rFonts w:ascii="宋体" w:hAnsi="宋体" w:eastAsia="仿宋_GB2312" w:cstheme="majorBidi"/>
      <w:color w:val="000000"/>
      <w:sz w:val="28"/>
    </w:rPr>
  </w:style>
  <w:style w:type="character" w:customStyle="1" w:styleId="32">
    <w:name w:val="FZ标题4 字符"/>
    <w:basedOn w:val="18"/>
    <w:link w:val="33"/>
    <w:qFormat/>
    <w:locked/>
    <w:uiPriority w:val="0"/>
    <w:rPr>
      <w:rFonts w:ascii="仿宋_GB2312" w:eastAsia="仿宋_GB2312"/>
      <w:b/>
      <w:bCs/>
      <w:color w:val="000000"/>
      <w:kern w:val="2"/>
      <w:sz w:val="28"/>
      <w:szCs w:val="32"/>
    </w:rPr>
  </w:style>
  <w:style w:type="paragraph" w:customStyle="1" w:styleId="33">
    <w:name w:val="FZ标题4"/>
    <w:basedOn w:val="5"/>
    <w:link w:val="32"/>
    <w:qFormat/>
    <w:uiPriority w:val="0"/>
    <w:pPr>
      <w:keepNext w:val="0"/>
      <w:keepLines w:val="0"/>
      <w:snapToGrid w:val="0"/>
      <w:spacing w:before="120" w:beforeLines="50" w:after="0" w:line="560" w:lineRule="exact"/>
      <w:ind w:firstLine="562" w:firstLineChars="200"/>
      <w:jc w:val="left"/>
    </w:pPr>
    <w:rPr>
      <w:rFonts w:ascii="仿宋_GB2312" w:hAnsi="宋体" w:eastAsia="仿宋_GB2312" w:cstheme="minorBidi"/>
      <w:color w:val="000000"/>
      <w:szCs w:val="32"/>
    </w:rPr>
  </w:style>
  <w:style w:type="character" w:customStyle="1" w:styleId="34">
    <w:name w:val="FZ标题5 字符"/>
    <w:basedOn w:val="18"/>
    <w:link w:val="35"/>
    <w:qFormat/>
    <w:locked/>
    <w:uiPriority w:val="0"/>
    <w:rPr>
      <w:rFonts w:hint="eastAsia" w:ascii="宋体" w:hAnsi="宋体" w:eastAsia="宋体" w:cstheme="majorBidi"/>
      <w:bCs/>
      <w:color w:val="000000"/>
      <w:szCs w:val="28"/>
    </w:rPr>
  </w:style>
  <w:style w:type="paragraph" w:customStyle="1" w:styleId="35">
    <w:name w:val="FZ标题5"/>
    <w:basedOn w:val="6"/>
    <w:link w:val="34"/>
    <w:qFormat/>
    <w:uiPriority w:val="0"/>
    <w:pPr>
      <w:keepNext w:val="0"/>
      <w:keepLines w:val="0"/>
      <w:snapToGrid w:val="0"/>
      <w:spacing w:before="0" w:beforeLines="50" w:after="0" w:line="360" w:lineRule="auto"/>
      <w:ind w:left="1" w:leftChars="1" w:right="1" w:rightChars="1" w:firstLine="200" w:firstLineChars="200"/>
      <w:jc w:val="left"/>
    </w:pPr>
    <w:rPr>
      <w:rFonts w:ascii="宋体" w:hAnsi="宋体" w:eastAsia="宋体" w:cstheme="majorBidi"/>
      <w:b w:val="0"/>
      <w:color w:val="000000"/>
      <w:sz w:val="21"/>
    </w:rPr>
  </w:style>
  <w:style w:type="character" w:customStyle="1" w:styleId="36">
    <w:name w:val="标题 6 Char"/>
    <w:basedOn w:val="18"/>
    <w:link w:val="7"/>
    <w:semiHidden/>
    <w:qFormat/>
    <w:uiPriority w:val="9"/>
    <w:rPr>
      <w:rFonts w:asciiTheme="majorHAnsi" w:hAnsiTheme="majorHAnsi" w:eastAsiaTheme="majorEastAsia" w:cstheme="majorBidi"/>
      <w:b/>
      <w:bCs/>
      <w:kern w:val="2"/>
      <w:sz w:val="24"/>
      <w:szCs w:val="24"/>
    </w:rPr>
  </w:style>
  <w:style w:type="character" w:customStyle="1" w:styleId="37">
    <w:name w:val="FZ标题6 字符"/>
    <w:basedOn w:val="18"/>
    <w:link w:val="38"/>
    <w:qFormat/>
    <w:locked/>
    <w:uiPriority w:val="0"/>
    <w:rPr>
      <w:rFonts w:hint="eastAsia" w:ascii="宋体" w:hAnsi="宋体" w:eastAsia="宋体"/>
      <w:bCs/>
      <w:color w:val="000000"/>
      <w:szCs w:val="28"/>
    </w:rPr>
  </w:style>
  <w:style w:type="paragraph" w:customStyle="1" w:styleId="38">
    <w:name w:val="FZ标题6"/>
    <w:basedOn w:val="7"/>
    <w:link w:val="37"/>
    <w:qFormat/>
    <w:uiPriority w:val="0"/>
    <w:pPr>
      <w:keepNext w:val="0"/>
      <w:keepLines w:val="0"/>
      <w:snapToGrid w:val="0"/>
      <w:spacing w:before="0" w:beforeLines="50" w:after="0" w:line="360" w:lineRule="auto"/>
      <w:ind w:left="1" w:leftChars="1" w:right="1" w:rightChars="1" w:firstLine="200" w:firstLineChars="200"/>
      <w:jc w:val="left"/>
    </w:pPr>
    <w:rPr>
      <w:rFonts w:ascii="宋体" w:hAnsi="宋体" w:eastAsia="宋体" w:cstheme="minorBidi"/>
      <w:b w:val="0"/>
      <w:color w:val="000000"/>
      <w:sz w:val="21"/>
      <w:szCs w:val="28"/>
    </w:rPr>
  </w:style>
  <w:style w:type="character" w:customStyle="1" w:styleId="39">
    <w:name w:val="FZ表格标题行首列 字符"/>
    <w:basedOn w:val="18"/>
    <w:link w:val="40"/>
    <w:qFormat/>
    <w:locked/>
    <w:uiPriority w:val="0"/>
    <w:rPr>
      <w:rFonts w:hint="eastAsia" w:ascii="宋体" w:hAnsi="宋体" w:eastAsia="宋体"/>
      <w:color w:val="000000"/>
      <w:sz w:val="18"/>
    </w:rPr>
  </w:style>
  <w:style w:type="paragraph" w:customStyle="1" w:styleId="40">
    <w:name w:val="FZ表格标题行首列"/>
    <w:basedOn w:val="1"/>
    <w:link w:val="39"/>
    <w:qFormat/>
    <w:uiPriority w:val="0"/>
    <w:pPr>
      <w:snapToGrid w:val="0"/>
      <w:spacing w:before="10" w:after="10"/>
      <w:ind w:left="1" w:leftChars="1" w:right="1" w:rightChars="1" w:firstLine="74" w:firstLineChars="50"/>
      <w:jc w:val="left"/>
    </w:pPr>
    <w:rPr>
      <w:rFonts w:ascii="宋体" w:hAnsi="宋体" w:eastAsia="宋体"/>
      <w:color w:val="000000"/>
      <w:sz w:val="18"/>
    </w:rPr>
  </w:style>
  <w:style w:type="character" w:customStyle="1" w:styleId="41">
    <w:name w:val="FZ表格标题行 字符"/>
    <w:basedOn w:val="18"/>
    <w:link w:val="42"/>
    <w:qFormat/>
    <w:locked/>
    <w:uiPriority w:val="0"/>
    <w:rPr>
      <w:rFonts w:hint="eastAsia" w:ascii="宋体" w:hAnsi="宋体" w:eastAsia="宋体"/>
      <w:color w:val="000000"/>
      <w:sz w:val="18"/>
    </w:rPr>
  </w:style>
  <w:style w:type="paragraph" w:customStyle="1" w:styleId="42">
    <w:name w:val="FZ表格标题行"/>
    <w:basedOn w:val="1"/>
    <w:link w:val="41"/>
    <w:qFormat/>
    <w:uiPriority w:val="0"/>
    <w:pPr>
      <w:snapToGrid w:val="0"/>
      <w:spacing w:before="10" w:after="10"/>
      <w:ind w:left="1" w:leftChars="1" w:right="1" w:rightChars="1" w:firstLine="74" w:firstLineChars="74"/>
      <w:jc w:val="center"/>
    </w:pPr>
    <w:rPr>
      <w:rFonts w:ascii="宋体" w:hAnsi="宋体" w:eastAsia="宋体"/>
      <w:color w:val="000000"/>
      <w:sz w:val="18"/>
    </w:rPr>
  </w:style>
  <w:style w:type="character" w:customStyle="1" w:styleId="43">
    <w:name w:val="FZ表格正文行首列 字符"/>
    <w:basedOn w:val="18"/>
    <w:link w:val="44"/>
    <w:qFormat/>
    <w:locked/>
    <w:uiPriority w:val="0"/>
    <w:rPr>
      <w:rFonts w:hint="eastAsia" w:ascii="宋体" w:hAnsi="宋体" w:eastAsia="宋体"/>
      <w:color w:val="000000"/>
      <w:sz w:val="18"/>
    </w:rPr>
  </w:style>
  <w:style w:type="paragraph" w:customStyle="1" w:styleId="44">
    <w:name w:val="FZ表格正文行首列"/>
    <w:basedOn w:val="1"/>
    <w:link w:val="43"/>
    <w:qFormat/>
    <w:uiPriority w:val="0"/>
    <w:pPr>
      <w:snapToGrid w:val="0"/>
      <w:spacing w:before="10" w:after="10"/>
      <w:ind w:left="1" w:leftChars="1" w:right="1" w:rightChars="1" w:firstLine="50" w:firstLineChars="50"/>
      <w:jc w:val="left"/>
    </w:pPr>
    <w:rPr>
      <w:rFonts w:ascii="宋体" w:hAnsi="宋体" w:eastAsia="宋体"/>
      <w:color w:val="000000"/>
      <w:sz w:val="18"/>
    </w:rPr>
  </w:style>
  <w:style w:type="character" w:customStyle="1" w:styleId="45">
    <w:name w:val="FZ表格正文行 字符"/>
    <w:basedOn w:val="18"/>
    <w:link w:val="46"/>
    <w:qFormat/>
    <w:locked/>
    <w:uiPriority w:val="0"/>
    <w:rPr>
      <w:rFonts w:hint="eastAsia" w:ascii="宋体" w:hAnsi="宋体" w:eastAsia="宋体"/>
      <w:color w:val="000000"/>
      <w:sz w:val="18"/>
    </w:rPr>
  </w:style>
  <w:style w:type="paragraph" w:customStyle="1" w:styleId="46">
    <w:name w:val="FZ表格正文行"/>
    <w:basedOn w:val="1"/>
    <w:link w:val="45"/>
    <w:qFormat/>
    <w:uiPriority w:val="0"/>
    <w:pPr>
      <w:snapToGrid w:val="0"/>
      <w:spacing w:before="10" w:after="10"/>
      <w:ind w:left="1" w:leftChars="1" w:right="1" w:rightChars="50" w:firstLine="74" w:firstLineChars="50"/>
      <w:jc w:val="right"/>
    </w:pPr>
    <w:rPr>
      <w:rFonts w:ascii="Times New Roman" w:hAnsi="Times New Roman" w:eastAsia="宋体"/>
      <w:color w:val="000000"/>
      <w:sz w:val="18"/>
    </w:rPr>
  </w:style>
  <w:style w:type="character" w:customStyle="1" w:styleId="47">
    <w:name w:val="FZ表格合计行首列 字符"/>
    <w:basedOn w:val="18"/>
    <w:link w:val="48"/>
    <w:qFormat/>
    <w:locked/>
    <w:uiPriority w:val="0"/>
    <w:rPr>
      <w:rFonts w:hint="eastAsia" w:ascii="宋体" w:hAnsi="宋体" w:eastAsia="宋体"/>
      <w:color w:val="000000"/>
      <w:sz w:val="18"/>
    </w:rPr>
  </w:style>
  <w:style w:type="paragraph" w:customStyle="1" w:styleId="48">
    <w:name w:val="FZ表格合计行首列"/>
    <w:basedOn w:val="1"/>
    <w:link w:val="47"/>
    <w:qFormat/>
    <w:uiPriority w:val="0"/>
    <w:pPr>
      <w:snapToGrid w:val="0"/>
      <w:spacing w:before="10" w:after="10"/>
      <w:ind w:left="1" w:leftChars="1" w:right="1" w:rightChars="1" w:firstLine="74" w:firstLineChars="74"/>
      <w:jc w:val="center"/>
    </w:pPr>
    <w:rPr>
      <w:rFonts w:ascii="宋体" w:hAnsi="宋体" w:eastAsia="宋体"/>
      <w:color w:val="000000"/>
      <w:sz w:val="18"/>
    </w:rPr>
  </w:style>
  <w:style w:type="character" w:customStyle="1" w:styleId="49">
    <w:name w:val="FZ表格合计行 字符"/>
    <w:basedOn w:val="18"/>
    <w:link w:val="50"/>
    <w:qFormat/>
    <w:locked/>
    <w:uiPriority w:val="0"/>
    <w:rPr>
      <w:rFonts w:hint="eastAsia" w:ascii="宋体" w:hAnsi="宋体" w:eastAsia="宋体"/>
      <w:color w:val="000000"/>
      <w:sz w:val="18"/>
    </w:rPr>
  </w:style>
  <w:style w:type="paragraph" w:customStyle="1" w:styleId="50">
    <w:name w:val="FZ表格合计行"/>
    <w:basedOn w:val="1"/>
    <w:link w:val="49"/>
    <w:qFormat/>
    <w:uiPriority w:val="0"/>
    <w:pPr>
      <w:snapToGrid w:val="0"/>
      <w:spacing w:before="10" w:after="10"/>
      <w:ind w:left="1" w:leftChars="1" w:right="1" w:rightChars="1" w:firstLine="74"/>
      <w:jc w:val="right"/>
    </w:pPr>
    <w:rPr>
      <w:rFonts w:ascii="Times New Roman" w:hAnsi="Times New Roman" w:eastAsia="宋体"/>
      <w:color w:val="000000"/>
      <w:sz w:val="18"/>
    </w:rPr>
  </w:style>
  <w:style w:type="character" w:customStyle="1" w:styleId="51">
    <w:name w:val="FZ正文 字符"/>
    <w:basedOn w:val="18"/>
    <w:link w:val="52"/>
    <w:qFormat/>
    <w:locked/>
    <w:uiPriority w:val="0"/>
    <w:rPr>
      <w:rFonts w:ascii="Times New Roman" w:hAnsi="Times New Roman" w:eastAsia="仿宋_GB2312" w:cs="Times New Roman"/>
      <w:color w:val="000000"/>
      <w:kern w:val="2"/>
      <w:sz w:val="28"/>
      <w:szCs w:val="22"/>
    </w:rPr>
  </w:style>
  <w:style w:type="paragraph" w:customStyle="1" w:styleId="52">
    <w:name w:val="FZ正文"/>
    <w:basedOn w:val="1"/>
    <w:link w:val="51"/>
    <w:qFormat/>
    <w:uiPriority w:val="0"/>
    <w:pPr>
      <w:snapToGrid w:val="0"/>
      <w:spacing w:line="360" w:lineRule="auto"/>
      <w:ind w:left="1" w:leftChars="1" w:right="1" w:rightChars="1" w:firstLine="200" w:firstLineChars="200"/>
    </w:pPr>
    <w:rPr>
      <w:rFonts w:ascii="Times New Roman" w:hAnsi="Times New Roman" w:eastAsia="仿宋_GB2312" w:cs="Times New Roman"/>
      <w:color w:val="000000"/>
      <w:sz w:val="28"/>
    </w:rPr>
  </w:style>
  <w:style w:type="character" w:customStyle="1" w:styleId="53">
    <w:name w:val="FZ副标题 字符"/>
    <w:basedOn w:val="18"/>
    <w:link w:val="54"/>
    <w:qFormat/>
    <w:locked/>
    <w:uiPriority w:val="0"/>
    <w:rPr>
      <w:rFonts w:hint="eastAsia" w:ascii="宋体" w:hAnsi="宋体" w:eastAsia="宋体"/>
      <w:color w:val="000000"/>
    </w:rPr>
  </w:style>
  <w:style w:type="paragraph" w:customStyle="1" w:styleId="54">
    <w:name w:val="FZ副标题"/>
    <w:basedOn w:val="1"/>
    <w:link w:val="53"/>
    <w:qFormat/>
    <w:uiPriority w:val="0"/>
    <w:pPr>
      <w:snapToGrid w:val="0"/>
      <w:spacing w:beforeLines="50"/>
      <w:ind w:left="1" w:leftChars="1" w:right="1" w:rightChars="1" w:firstLine="1" w:firstLineChars="1"/>
      <w:jc w:val="center"/>
    </w:pPr>
    <w:rPr>
      <w:rFonts w:ascii="宋体" w:hAnsi="宋体" w:eastAsia="宋体"/>
      <w:color w:val="000000"/>
    </w:rPr>
  </w:style>
  <w:style w:type="character" w:customStyle="1" w:styleId="55">
    <w:name w:val="FZ落款 字符"/>
    <w:basedOn w:val="18"/>
    <w:link w:val="56"/>
    <w:qFormat/>
    <w:locked/>
    <w:uiPriority w:val="0"/>
    <w:rPr>
      <w:rFonts w:hint="eastAsia" w:ascii="宋体" w:hAnsi="宋体" w:eastAsia="宋体"/>
      <w:color w:val="000000"/>
    </w:rPr>
  </w:style>
  <w:style w:type="paragraph" w:customStyle="1" w:styleId="56">
    <w:name w:val="FZ落款"/>
    <w:basedOn w:val="1"/>
    <w:link w:val="55"/>
    <w:qFormat/>
    <w:uiPriority w:val="0"/>
    <w:pPr>
      <w:snapToGrid w:val="0"/>
      <w:spacing w:beforeLines="50" w:line="360" w:lineRule="auto"/>
      <w:ind w:left="1" w:leftChars="1" w:right="1" w:rightChars="1" w:firstLine="1500" w:firstLineChars="1500"/>
      <w:jc w:val="center"/>
    </w:pPr>
    <w:rPr>
      <w:rFonts w:ascii="宋体" w:hAnsi="宋体" w:eastAsia="宋体"/>
      <w:color w:val="000000"/>
    </w:rPr>
  </w:style>
  <w:style w:type="character" w:customStyle="1" w:styleId="57">
    <w:name w:val="FZ注释 字符"/>
    <w:basedOn w:val="18"/>
    <w:link w:val="58"/>
    <w:qFormat/>
    <w:locked/>
    <w:uiPriority w:val="0"/>
    <w:rPr>
      <w:rFonts w:hint="eastAsia" w:ascii="宋体" w:hAnsi="宋体" w:eastAsia="宋体"/>
      <w:color w:val="000000"/>
      <w:sz w:val="18"/>
    </w:rPr>
  </w:style>
  <w:style w:type="paragraph" w:customStyle="1" w:styleId="58">
    <w:name w:val="FZ注释"/>
    <w:basedOn w:val="1"/>
    <w:link w:val="57"/>
    <w:qFormat/>
    <w:uiPriority w:val="0"/>
    <w:pPr>
      <w:snapToGrid w:val="0"/>
      <w:spacing w:before="10" w:after="10"/>
      <w:ind w:left="1" w:leftChars="1" w:right="1" w:rightChars="1" w:firstLine="74" w:firstLineChars="74"/>
      <w:jc w:val="left"/>
    </w:pPr>
    <w:rPr>
      <w:rFonts w:ascii="宋体" w:hAnsi="宋体" w:eastAsia="宋体"/>
      <w:color w:val="000000"/>
      <w:sz w:val="18"/>
    </w:rPr>
  </w:style>
  <w:style w:type="character" w:customStyle="1" w:styleId="59">
    <w:name w:val="FZ小标题 字符"/>
    <w:basedOn w:val="18"/>
    <w:link w:val="60"/>
    <w:qFormat/>
    <w:locked/>
    <w:uiPriority w:val="0"/>
    <w:rPr>
      <w:rFonts w:hint="eastAsia" w:ascii="宋体" w:hAnsi="宋体" w:eastAsia="宋体"/>
      <w:color w:val="000000"/>
      <w:sz w:val="18"/>
    </w:rPr>
  </w:style>
  <w:style w:type="paragraph" w:customStyle="1" w:styleId="60">
    <w:name w:val="FZ小标题"/>
    <w:basedOn w:val="1"/>
    <w:link w:val="59"/>
    <w:qFormat/>
    <w:uiPriority w:val="0"/>
    <w:pPr>
      <w:snapToGrid w:val="0"/>
      <w:spacing w:before="10" w:after="10"/>
      <w:ind w:left="1" w:leftChars="1" w:right="1" w:rightChars="1" w:firstLine="74" w:firstLineChars="74"/>
      <w:jc w:val="left"/>
    </w:pPr>
    <w:rPr>
      <w:rFonts w:ascii="宋体" w:hAnsi="宋体" w:eastAsia="宋体"/>
      <w:color w:val="000000"/>
      <w:sz w:val="18"/>
    </w:rPr>
  </w:style>
  <w:style w:type="paragraph" w:customStyle="1" w:styleId="61">
    <w:name w:val="tbtd"/>
    <w:basedOn w:val="1"/>
    <w:qFormat/>
    <w:uiPriority w:val="0"/>
    <w:pPr>
      <w:widowControl/>
      <w:pBdr>
        <w:top w:val="single" w:color="000000" w:sz="4" w:space="0"/>
        <w:left w:val="single" w:color="000000" w:sz="4" w:space="0"/>
        <w:bottom w:val="single" w:color="000000" w:sz="4" w:space="0"/>
        <w:right w:val="single" w:color="000000" w:sz="4" w:space="0"/>
      </w:pBdr>
      <w:shd w:val="clear" w:color="auto" w:fill="FFFFFF"/>
      <w:spacing w:before="100" w:beforeAutospacing="1" w:after="100" w:afterAutospacing="1"/>
      <w:textAlignment w:val="center"/>
    </w:pPr>
    <w:rPr>
      <w:rFonts w:ascii="Times New Roman" w:hAnsi="Times New Roman" w:eastAsia="宋体" w:cs="Times New Roman"/>
      <w:color w:val="000000"/>
      <w:kern w:val="0"/>
      <w:sz w:val="18"/>
      <w:szCs w:val="18"/>
    </w:rPr>
  </w:style>
  <w:style w:type="character" w:customStyle="1" w:styleId="62">
    <w:name w:val="标题 7 Char"/>
    <w:basedOn w:val="18"/>
    <w:link w:val="8"/>
    <w:semiHidden/>
    <w:qFormat/>
    <w:uiPriority w:val="9"/>
    <w:rPr>
      <w:rFonts w:asciiTheme="minorHAnsi" w:hAnsiTheme="minorHAnsi" w:eastAsiaTheme="minorEastAsia"/>
      <w:b/>
      <w:bCs/>
      <w:kern w:val="2"/>
      <w:sz w:val="24"/>
      <w:szCs w:val="24"/>
    </w:rPr>
  </w:style>
  <w:style w:type="character" w:customStyle="1" w:styleId="63">
    <w:name w:val="标题 8 Char"/>
    <w:basedOn w:val="18"/>
    <w:link w:val="9"/>
    <w:semiHidden/>
    <w:qFormat/>
    <w:uiPriority w:val="9"/>
    <w:rPr>
      <w:rFonts w:asciiTheme="majorHAnsi" w:hAnsiTheme="majorHAnsi" w:eastAsiaTheme="majorEastAsia" w:cstheme="majorBidi"/>
      <w:kern w:val="2"/>
      <w:sz w:val="24"/>
      <w:szCs w:val="24"/>
    </w:rPr>
  </w:style>
  <w:style w:type="character" w:customStyle="1" w:styleId="64">
    <w:name w:val="标题 9 Char"/>
    <w:basedOn w:val="18"/>
    <w:link w:val="10"/>
    <w:semiHidden/>
    <w:qFormat/>
    <w:uiPriority w:val="9"/>
    <w:rPr>
      <w:rFonts w:asciiTheme="majorHAnsi" w:hAnsiTheme="majorHAnsi" w:eastAsiaTheme="majorEastAsia" w:cstheme="majorBidi"/>
      <w:kern w:val="2"/>
      <w:sz w:val="21"/>
      <w:szCs w:val="21"/>
    </w:rPr>
  </w:style>
  <w:style w:type="character" w:customStyle="1" w:styleId="65">
    <w:name w:val="页眉 Char"/>
    <w:basedOn w:val="18"/>
    <w:link w:val="14"/>
    <w:qFormat/>
    <w:uiPriority w:val="99"/>
    <w:rPr>
      <w:rFonts w:asciiTheme="minorHAnsi" w:hAnsiTheme="minorHAnsi" w:eastAsiaTheme="minorEastAsia"/>
      <w:kern w:val="2"/>
      <w:sz w:val="18"/>
      <w:szCs w:val="18"/>
    </w:rPr>
  </w:style>
  <w:style w:type="character" w:customStyle="1" w:styleId="66">
    <w:name w:val="页脚 Char"/>
    <w:basedOn w:val="18"/>
    <w:link w:val="13"/>
    <w:qFormat/>
    <w:uiPriority w:val="99"/>
    <w:rPr>
      <w:rFonts w:asciiTheme="minorHAnsi" w:hAnsiTheme="minorHAnsi" w:eastAsiaTheme="minorEastAsia"/>
      <w:kern w:val="2"/>
      <w:sz w:val="18"/>
      <w:szCs w:val="18"/>
    </w:rPr>
  </w:style>
  <w:style w:type="character" w:customStyle="1" w:styleId="67">
    <w:name w:val="批注文字 Char"/>
    <w:basedOn w:val="18"/>
    <w:link w:val="11"/>
    <w:semiHidden/>
    <w:qFormat/>
    <w:uiPriority w:val="99"/>
    <w:rPr>
      <w:rFonts w:asciiTheme="minorHAnsi" w:hAnsiTheme="minorHAnsi" w:eastAsiaTheme="minorEastAsia"/>
      <w:kern w:val="2"/>
      <w:sz w:val="21"/>
      <w:szCs w:val="22"/>
    </w:rPr>
  </w:style>
  <w:style w:type="character" w:customStyle="1" w:styleId="68">
    <w:name w:val="批注主题 Char"/>
    <w:basedOn w:val="67"/>
    <w:link w:val="16"/>
    <w:semiHidden/>
    <w:qFormat/>
    <w:uiPriority w:val="99"/>
    <w:rPr>
      <w:rFonts w:asciiTheme="minorHAnsi" w:hAnsiTheme="minorHAnsi" w:eastAsiaTheme="minorEastAsia"/>
      <w:b/>
      <w:bCs/>
      <w:kern w:val="2"/>
      <w:sz w:val="21"/>
      <w:szCs w:val="22"/>
    </w:rPr>
  </w:style>
  <w:style w:type="character" w:customStyle="1" w:styleId="69">
    <w:name w:val="批注框文本 Char"/>
    <w:basedOn w:val="18"/>
    <w:link w:val="12"/>
    <w:semiHidden/>
    <w:qFormat/>
    <w:uiPriority w:val="99"/>
    <w:rPr>
      <w:rFonts w:asciiTheme="minorHAnsi" w:hAnsiTheme="minorHAnsi" w:eastAsiaTheme="minorEastAsia"/>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C9F783-16C6-4687-A9CD-26DA95EC4223}">
  <ds:schemaRefs/>
</ds:datastoreItem>
</file>

<file path=docProps/app.xml><?xml version="1.0" encoding="utf-8"?>
<Properties xmlns="http://schemas.openxmlformats.org/officeDocument/2006/extended-properties" xmlns:vt="http://schemas.openxmlformats.org/officeDocument/2006/docPropsVTypes">
  <Template>Normal.dotm</Template>
  <Pages>13</Pages>
  <Words>5568</Words>
  <Characters>6096</Characters>
  <Lines>52</Lines>
  <Paragraphs>14</Paragraphs>
  <TotalTime>2</TotalTime>
  <ScaleCrop>false</ScaleCrop>
  <LinksUpToDate>false</LinksUpToDate>
  <CharactersWithSpaces>6246</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2022-11-19T08:47:00Z</dcterms:created>
  <dc:creator>Xueyang</dc:creator>
  <cp:lastModifiedBy>七安</cp:lastModifiedBy>
  <cp:lastPrinted>2023-01-08T16:37:00Z</cp:lastPrinted>
  <dcterms:modified xsi:type="dcterms:W3CDTF">2025-06-03T09:20:56Z</dcterms:modified>
  <dc:title>C:\Users\Xueyang\Desktop\170号自评报告\57.艾力西湖镇巴扎（10）村花卉生产基地配套建设项目绩效自评报告.xlsx</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KSOTemplateDocerSaveRecord">
    <vt:lpwstr>eyJoZGlkIjoiY2RlOGExMTJjOWFmYjNiZTJjMWUwNDM2NWFmZTM5NmEiLCJ1c2VySWQiOiIxMTAwNDE5NzU4In0=</vt:lpwstr>
  </property>
  <property fmtid="{D5CDD505-2E9C-101B-9397-08002B2CF9AE}" pid="4" name="ICV">
    <vt:lpwstr>CEBC4C4DB87F4EA2AF98F3C4DDD416D8_12</vt:lpwstr>
  </property>
</Properties>
</file>