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ED03F16">
      <w:pPr>
        <w:spacing w:before="120" w:after="120" w:line="480" w:lineRule="auto"/>
        <w:ind w:firstLine="883" w:firstLineChars="200"/>
        <w:jc w:val="center"/>
        <w:outlineLvl w:val="0"/>
        <w:rPr>
          <w:rFonts w:hint="eastAsia" w:ascii="仿宋_GB2312" w:hAnsi="Arial" w:eastAsia="楷体_GB2312"/>
          <w:b/>
          <w:color w:val="auto"/>
          <w:sz w:val="44"/>
          <w:szCs w:val="44"/>
          <w:highlight w:val="none"/>
          <w:lang w:val="en-US" w:eastAsia="zh-CN"/>
        </w:rPr>
      </w:pPr>
      <w:r>
        <w:rPr>
          <w:rFonts w:hint="eastAsia" w:ascii="仿宋_GB2312" w:hAnsi="Arial"/>
          <w:b/>
          <w:color w:val="auto"/>
          <w:sz w:val="44"/>
          <w:szCs w:val="44"/>
          <w:highlight w:val="none"/>
          <w:lang w:val="en-US" w:eastAsia="zh-CN"/>
        </w:rPr>
        <w:t xml:space="preserve"> </w:t>
      </w:r>
    </w:p>
    <w:p w14:paraId="3BC8CF88">
      <w:pPr>
        <w:jc w:val="center"/>
        <w:rPr>
          <w:rFonts w:ascii="方正大标宋简体" w:hAnsi="华文中宋" w:eastAsia="方正大标宋简体" w:cs="宋体"/>
          <w:color w:val="auto"/>
          <w:kern w:val="0"/>
          <w:sz w:val="52"/>
          <w:szCs w:val="52"/>
          <w:highlight w:val="none"/>
        </w:rPr>
      </w:pPr>
      <w:r>
        <w:rPr>
          <w:rFonts w:hint="eastAsia" w:ascii="方正大标宋简体" w:hAnsi="华文中宋" w:eastAsia="方正大标宋简体" w:cs="宋体"/>
          <w:color w:val="auto"/>
          <w:kern w:val="0"/>
          <w:sz w:val="52"/>
          <w:szCs w:val="52"/>
          <w:highlight w:val="none"/>
        </w:rPr>
        <w:t>和田地区于田县乡村振兴衔接资金项目支出绩效自评报告</w:t>
      </w:r>
    </w:p>
    <w:p w14:paraId="4E4A267B">
      <w:pPr>
        <w:spacing w:line="700" w:lineRule="exact"/>
        <w:ind w:firstLine="1040" w:firstLineChars="200"/>
        <w:jc w:val="center"/>
        <w:rPr>
          <w:rFonts w:ascii="方正大标宋简体" w:hAnsi="华文中宋" w:eastAsia="方正大标宋简体" w:cs="宋体"/>
          <w:color w:val="auto"/>
          <w:kern w:val="0"/>
          <w:sz w:val="52"/>
          <w:szCs w:val="52"/>
          <w:highlight w:val="none"/>
        </w:rPr>
      </w:pPr>
    </w:p>
    <w:p w14:paraId="124AAC7F">
      <w:pPr>
        <w:spacing w:line="540" w:lineRule="exact"/>
        <w:ind w:firstLine="720" w:firstLineChars="200"/>
        <w:jc w:val="center"/>
        <w:rPr>
          <w:rFonts w:hAnsi="宋体" w:cs="宋体"/>
          <w:color w:val="auto"/>
          <w:kern w:val="0"/>
          <w:sz w:val="36"/>
          <w:szCs w:val="36"/>
          <w:highlight w:val="none"/>
        </w:rPr>
      </w:pPr>
      <w:r>
        <w:rPr>
          <w:rFonts w:hint="eastAsia" w:hAnsi="宋体" w:cs="宋体"/>
          <w:color w:val="auto"/>
          <w:kern w:val="0"/>
          <w:sz w:val="36"/>
          <w:szCs w:val="36"/>
          <w:highlight w:val="none"/>
        </w:rPr>
        <w:t>（202</w:t>
      </w:r>
      <w:r>
        <w:rPr>
          <w:rFonts w:hint="eastAsia" w:hAnsi="宋体" w:cs="宋体"/>
          <w:color w:val="auto"/>
          <w:kern w:val="0"/>
          <w:sz w:val="36"/>
          <w:szCs w:val="36"/>
          <w:highlight w:val="none"/>
          <w:lang w:val="en-US" w:eastAsia="zh-CN"/>
        </w:rPr>
        <w:t>4</w:t>
      </w:r>
      <w:r>
        <w:rPr>
          <w:rFonts w:hint="eastAsia" w:hAnsi="宋体" w:cs="宋体"/>
          <w:color w:val="auto"/>
          <w:kern w:val="0"/>
          <w:sz w:val="36"/>
          <w:szCs w:val="36"/>
          <w:highlight w:val="none"/>
        </w:rPr>
        <w:t>年度）</w:t>
      </w:r>
    </w:p>
    <w:p w14:paraId="4EF295BB">
      <w:pPr>
        <w:spacing w:line="540" w:lineRule="exact"/>
        <w:ind w:firstLine="600" w:firstLineChars="200"/>
        <w:jc w:val="center"/>
        <w:rPr>
          <w:rFonts w:hAnsi="宋体" w:cs="宋体"/>
          <w:color w:val="auto"/>
          <w:kern w:val="0"/>
          <w:sz w:val="30"/>
          <w:szCs w:val="30"/>
          <w:highlight w:val="none"/>
        </w:rPr>
      </w:pPr>
    </w:p>
    <w:p w14:paraId="53B26854">
      <w:pPr>
        <w:spacing w:line="540" w:lineRule="exact"/>
        <w:ind w:firstLine="600" w:firstLineChars="200"/>
        <w:jc w:val="center"/>
        <w:rPr>
          <w:rFonts w:hAnsi="宋体" w:cs="宋体"/>
          <w:color w:val="auto"/>
          <w:kern w:val="0"/>
          <w:sz w:val="30"/>
          <w:szCs w:val="30"/>
          <w:highlight w:val="none"/>
        </w:rPr>
      </w:pPr>
    </w:p>
    <w:p w14:paraId="451415BA">
      <w:pPr>
        <w:spacing w:line="540" w:lineRule="exact"/>
        <w:ind w:firstLine="600" w:firstLineChars="200"/>
        <w:jc w:val="center"/>
        <w:rPr>
          <w:rFonts w:hAnsi="宋体" w:cs="宋体"/>
          <w:color w:val="auto"/>
          <w:kern w:val="0"/>
          <w:sz w:val="30"/>
          <w:szCs w:val="30"/>
          <w:highlight w:val="none"/>
        </w:rPr>
      </w:pPr>
    </w:p>
    <w:p w14:paraId="63EEE990">
      <w:pPr>
        <w:spacing w:line="540" w:lineRule="exact"/>
        <w:ind w:firstLine="600" w:firstLineChars="200"/>
        <w:jc w:val="center"/>
        <w:rPr>
          <w:rFonts w:hAnsi="宋体" w:cs="宋体"/>
          <w:color w:val="auto"/>
          <w:kern w:val="0"/>
          <w:sz w:val="30"/>
          <w:szCs w:val="30"/>
          <w:highlight w:val="none"/>
        </w:rPr>
      </w:pPr>
    </w:p>
    <w:p w14:paraId="06C58452">
      <w:pPr>
        <w:spacing w:line="540" w:lineRule="exact"/>
        <w:ind w:firstLine="600" w:firstLineChars="200"/>
        <w:rPr>
          <w:rFonts w:hAnsi="宋体" w:cs="宋体"/>
          <w:color w:val="auto"/>
          <w:kern w:val="0"/>
          <w:sz w:val="30"/>
          <w:szCs w:val="30"/>
          <w:highlight w:val="none"/>
        </w:rPr>
      </w:pPr>
    </w:p>
    <w:p w14:paraId="2181FCA9">
      <w:pPr>
        <w:spacing w:line="540" w:lineRule="exact"/>
        <w:ind w:firstLine="600" w:firstLineChars="200"/>
        <w:rPr>
          <w:rFonts w:hAnsi="宋体" w:cs="宋体"/>
          <w:color w:val="auto"/>
          <w:kern w:val="0"/>
          <w:sz w:val="30"/>
          <w:szCs w:val="30"/>
          <w:highlight w:val="none"/>
        </w:rPr>
      </w:pPr>
    </w:p>
    <w:p w14:paraId="7F1224C2">
      <w:pPr>
        <w:spacing w:line="360" w:lineRule="auto"/>
        <w:ind w:left="640" w:leftChars="200" w:firstLine="640" w:firstLineChars="200"/>
        <w:rPr>
          <w:rFonts w:ascii="仿宋" w:hAnsi="仿宋" w:eastAsia="仿宋" w:cs="仿宋"/>
          <w:color w:val="auto"/>
          <w:szCs w:val="32"/>
          <w:highlight w:val="none"/>
        </w:rPr>
      </w:pPr>
    </w:p>
    <w:p w14:paraId="7CE12D8F">
      <w:pPr>
        <w:spacing w:line="360" w:lineRule="auto"/>
        <w:ind w:left="640" w:leftChars="200" w:firstLine="640" w:firstLineChars="200"/>
        <w:rPr>
          <w:rFonts w:ascii="仿宋" w:hAnsi="仿宋" w:eastAsia="仿宋" w:cs="仿宋"/>
          <w:color w:val="auto"/>
          <w:szCs w:val="32"/>
          <w:highlight w:val="none"/>
        </w:rPr>
      </w:pPr>
    </w:p>
    <w:p w14:paraId="2C5762DB">
      <w:pPr>
        <w:spacing w:line="560" w:lineRule="exact"/>
        <w:ind w:left="640" w:leftChars="200" w:firstLine="640" w:firstLineChars="200"/>
        <w:rPr>
          <w:rFonts w:ascii="仿宋" w:hAnsi="仿宋" w:eastAsia="仿宋" w:cs="仿宋"/>
          <w:color w:val="auto"/>
          <w:szCs w:val="32"/>
          <w:highlight w:val="none"/>
        </w:rPr>
      </w:pPr>
    </w:p>
    <w:p w14:paraId="7EDFA08B">
      <w:pPr>
        <w:spacing w:line="560" w:lineRule="exact"/>
        <w:ind w:left="3200" w:leftChars="200" w:hanging="2560" w:hangingChars="800"/>
        <w:rPr>
          <w:rFonts w:ascii="仿宋" w:hAnsi="仿宋" w:eastAsia="仿宋" w:cs="仿宋"/>
          <w:color w:val="auto"/>
          <w:szCs w:val="32"/>
          <w:highlight w:val="none"/>
        </w:rPr>
      </w:pPr>
      <w:r>
        <w:rPr>
          <w:rFonts w:hint="eastAsia" w:ascii="仿宋" w:hAnsi="仿宋" w:eastAsia="仿宋" w:cs="仿宋"/>
          <w:color w:val="auto"/>
          <w:szCs w:val="32"/>
          <w:highlight w:val="none"/>
        </w:rPr>
        <w:t>项  目  名  称:</w:t>
      </w:r>
      <w:r>
        <w:rPr>
          <w:rFonts w:hint="eastAsia" w:ascii="仿宋" w:hAnsi="仿宋" w:eastAsia="仿宋" w:cs="仿宋"/>
          <w:bCs/>
          <w:color w:val="auto"/>
          <w:kern w:val="0"/>
          <w:highlight w:val="none"/>
        </w:rPr>
        <w:t>于田县斯也克乡夜市改造项目</w:t>
      </w:r>
    </w:p>
    <w:p w14:paraId="637EE59F">
      <w:pPr>
        <w:spacing w:line="560" w:lineRule="exact"/>
        <w:ind w:firstLine="640" w:firstLineChars="200"/>
        <w:rPr>
          <w:rFonts w:hint="eastAsia" w:ascii="仿宋" w:hAnsi="仿宋" w:eastAsia="仿宋" w:cs="仿宋"/>
          <w:color w:val="auto"/>
          <w:szCs w:val="32"/>
          <w:highlight w:val="none"/>
          <w:lang w:eastAsia="zh-CN"/>
        </w:rPr>
      </w:pPr>
      <w:r>
        <w:rPr>
          <w:rFonts w:hint="eastAsia" w:ascii="仿宋" w:hAnsi="仿宋" w:eastAsia="仿宋" w:cs="仿宋"/>
          <w:color w:val="auto"/>
          <w:szCs w:val="32"/>
          <w:highlight w:val="none"/>
        </w:rPr>
        <w:t>实施单位(公章):</w:t>
      </w:r>
      <w:r>
        <w:rPr>
          <w:rFonts w:hint="eastAsia" w:ascii="仿宋" w:hAnsi="仿宋" w:eastAsia="仿宋" w:cs="仿宋"/>
          <w:color w:val="auto"/>
          <w:szCs w:val="32"/>
          <w:highlight w:val="none"/>
          <w:lang w:eastAsia="zh-CN"/>
        </w:rPr>
        <w:t>于田县斯也克乡人民政府</w:t>
      </w:r>
    </w:p>
    <w:p w14:paraId="40AEFB3F">
      <w:pPr>
        <w:spacing w:line="560" w:lineRule="exact"/>
        <w:ind w:firstLine="640" w:firstLineChars="200"/>
        <w:rPr>
          <w:rFonts w:hint="eastAsia" w:ascii="仿宋" w:hAnsi="仿宋" w:eastAsia="仿宋" w:cs="仿宋"/>
          <w:color w:val="auto"/>
          <w:szCs w:val="32"/>
          <w:highlight w:val="none"/>
          <w:lang w:val="en-US" w:eastAsia="zh-CN"/>
        </w:rPr>
      </w:pPr>
      <w:r>
        <w:rPr>
          <w:rFonts w:hint="eastAsia" w:ascii="仿宋" w:hAnsi="仿宋" w:eastAsia="仿宋" w:cs="仿宋"/>
          <w:color w:val="auto"/>
          <w:szCs w:val="32"/>
          <w:highlight w:val="none"/>
        </w:rPr>
        <w:t>主管部门(公章):于田县</w:t>
      </w:r>
      <w:r>
        <w:rPr>
          <w:rFonts w:hint="eastAsia" w:ascii="仿宋" w:hAnsi="仿宋" w:eastAsia="仿宋" w:cs="仿宋"/>
          <w:color w:val="auto"/>
          <w:szCs w:val="32"/>
          <w:highlight w:val="none"/>
          <w:lang w:val="en-US" w:eastAsia="zh-CN"/>
        </w:rPr>
        <w:t>商务和工业信息化局</w:t>
      </w:r>
    </w:p>
    <w:p w14:paraId="40D96168">
      <w:pPr>
        <w:spacing w:line="560" w:lineRule="exact"/>
        <w:ind w:firstLine="640" w:firstLineChars="200"/>
        <w:rPr>
          <w:rFonts w:hint="eastAsia" w:ascii="仿宋" w:hAnsi="仿宋" w:eastAsia="仿宋" w:cs="仿宋"/>
          <w:color w:val="auto"/>
          <w:szCs w:val="32"/>
          <w:highlight w:val="none"/>
          <w:lang w:eastAsia="zh-CN"/>
        </w:rPr>
      </w:pPr>
      <w:r>
        <w:rPr>
          <w:rFonts w:hint="eastAsia" w:ascii="仿宋" w:hAnsi="仿宋" w:eastAsia="仿宋" w:cs="仿宋"/>
          <w:color w:val="auto"/>
          <w:szCs w:val="32"/>
          <w:highlight w:val="none"/>
        </w:rPr>
        <w:t>项目负责人(签章):</w:t>
      </w:r>
      <w:r>
        <w:rPr>
          <w:rFonts w:hint="eastAsia" w:ascii="仿宋" w:hAnsi="仿宋" w:eastAsia="仿宋" w:cs="仿宋"/>
          <w:color w:val="auto"/>
          <w:szCs w:val="32"/>
          <w:highlight w:val="none"/>
          <w:lang w:eastAsia="zh-CN"/>
        </w:rPr>
        <w:t>王立杰</w:t>
      </w:r>
    </w:p>
    <w:p w14:paraId="01F5E41F">
      <w:pPr>
        <w:spacing w:line="560" w:lineRule="exact"/>
        <w:ind w:firstLine="640" w:firstLineChars="200"/>
        <w:rPr>
          <w:color w:val="auto"/>
          <w:highlight w:val="none"/>
        </w:rPr>
      </w:pPr>
      <w:r>
        <w:rPr>
          <w:rFonts w:hint="eastAsia" w:ascii="仿宋" w:hAnsi="仿宋" w:eastAsia="仿宋" w:cs="仿宋"/>
          <w:color w:val="auto"/>
          <w:szCs w:val="32"/>
          <w:highlight w:val="none"/>
        </w:rPr>
        <w:t>填  报  时  间:</w:t>
      </w:r>
      <w:r>
        <w:rPr>
          <w:rFonts w:ascii="仿宋" w:hAnsi="仿宋" w:eastAsia="仿宋" w:cs="仿宋"/>
          <w:color w:val="auto"/>
          <w:szCs w:val="32"/>
          <w:highlight w:val="none"/>
        </w:rPr>
        <w:t>20</w:t>
      </w:r>
      <w:r>
        <w:rPr>
          <w:rFonts w:hint="eastAsia" w:ascii="仿宋" w:hAnsi="仿宋" w:eastAsia="仿宋" w:cs="仿宋"/>
          <w:color w:val="auto"/>
          <w:szCs w:val="32"/>
          <w:highlight w:val="none"/>
        </w:rPr>
        <w:t>2</w:t>
      </w:r>
      <w:r>
        <w:rPr>
          <w:rFonts w:hint="eastAsia" w:ascii="仿宋" w:hAnsi="仿宋" w:eastAsia="仿宋" w:cs="仿宋"/>
          <w:color w:val="auto"/>
          <w:szCs w:val="32"/>
          <w:highlight w:val="none"/>
          <w:lang w:val="en-US" w:eastAsia="zh-CN"/>
        </w:rPr>
        <w:t>5</w:t>
      </w:r>
      <w:r>
        <w:rPr>
          <w:rFonts w:ascii="仿宋" w:hAnsi="仿宋" w:eastAsia="仿宋" w:cs="仿宋"/>
          <w:color w:val="auto"/>
          <w:szCs w:val="32"/>
          <w:highlight w:val="none"/>
        </w:rPr>
        <w:t>年</w:t>
      </w:r>
      <w:r>
        <w:rPr>
          <w:rFonts w:hint="eastAsia" w:ascii="仿宋" w:hAnsi="仿宋" w:eastAsia="仿宋" w:cs="仿宋"/>
          <w:color w:val="auto"/>
          <w:szCs w:val="32"/>
          <w:highlight w:val="none"/>
          <w:lang w:val="en-US" w:eastAsia="zh-CN"/>
        </w:rPr>
        <w:t>2</w:t>
      </w:r>
      <w:r>
        <w:rPr>
          <w:rFonts w:ascii="仿宋" w:hAnsi="仿宋" w:eastAsia="仿宋" w:cs="仿宋"/>
          <w:color w:val="auto"/>
          <w:szCs w:val="32"/>
          <w:highlight w:val="none"/>
        </w:rPr>
        <w:t>月</w:t>
      </w:r>
      <w:r>
        <w:rPr>
          <w:rFonts w:hint="eastAsia" w:ascii="仿宋" w:hAnsi="仿宋" w:eastAsia="仿宋" w:cs="仿宋"/>
          <w:color w:val="auto"/>
          <w:szCs w:val="32"/>
          <w:highlight w:val="none"/>
          <w:lang w:val="en-US" w:eastAsia="zh-CN"/>
        </w:rPr>
        <w:t>23</w:t>
      </w:r>
      <w:r>
        <w:rPr>
          <w:rFonts w:ascii="仿宋" w:hAnsi="仿宋" w:eastAsia="仿宋" w:cs="仿宋"/>
          <w:color w:val="auto"/>
          <w:szCs w:val="32"/>
          <w:highlight w:val="none"/>
        </w:rPr>
        <w:t>日</w:t>
      </w:r>
    </w:p>
    <w:p w14:paraId="2AE42A07">
      <w:pPr>
        <w:spacing w:line="560" w:lineRule="exact"/>
        <w:ind w:firstLine="640" w:firstLineChars="200"/>
        <w:rPr>
          <w:rFonts w:ascii="仿宋_GB2312" w:hAnsi="仿宋_GB2312" w:cs="仿宋_GB2312"/>
          <w:color w:val="auto"/>
          <w:kern w:val="0"/>
          <w:szCs w:val="32"/>
          <w:highlight w:val="none"/>
          <w:lang w:bidi="en-US"/>
        </w:rPr>
      </w:pPr>
    </w:p>
    <w:p w14:paraId="4C63AFA7">
      <w:pPr>
        <w:spacing w:line="560" w:lineRule="exact"/>
        <w:ind w:firstLine="640" w:firstLineChars="200"/>
        <w:rPr>
          <w:rFonts w:ascii="仿宋_GB2312" w:hAnsi="仿宋_GB2312" w:cs="仿宋_GB2312"/>
          <w:color w:val="auto"/>
          <w:kern w:val="0"/>
          <w:szCs w:val="32"/>
          <w:highlight w:val="none"/>
          <w:lang w:bidi="en-US"/>
        </w:rPr>
      </w:pPr>
    </w:p>
    <w:p w14:paraId="297D3880">
      <w:pPr>
        <w:spacing w:line="360" w:lineRule="auto"/>
        <w:ind w:firstLine="627" w:firstLineChars="200"/>
        <w:rPr>
          <w:rStyle w:val="19"/>
          <w:rFonts w:ascii="黑体" w:hAnsi="黑体" w:eastAsia="黑体" w:cs="Times New Roman"/>
          <w:color w:val="auto"/>
          <w:spacing w:val="-4"/>
          <w:szCs w:val="32"/>
          <w:highlight w:val="none"/>
        </w:rPr>
      </w:pPr>
    </w:p>
    <w:p w14:paraId="1603168B">
      <w:pPr>
        <w:spacing w:line="360" w:lineRule="auto"/>
        <w:ind w:firstLine="627" w:firstLineChars="200"/>
        <w:rPr>
          <w:rStyle w:val="19"/>
          <w:rFonts w:ascii="黑体" w:hAnsi="黑体" w:eastAsia="黑体" w:cs="Times New Roman"/>
          <w:color w:val="auto"/>
          <w:spacing w:val="-4"/>
          <w:szCs w:val="32"/>
          <w:highlight w:val="none"/>
        </w:rPr>
      </w:pPr>
      <w:r>
        <w:rPr>
          <w:rStyle w:val="19"/>
          <w:rFonts w:hint="eastAsia" w:ascii="黑体" w:hAnsi="黑体" w:eastAsia="黑体" w:cs="Times New Roman"/>
          <w:color w:val="auto"/>
          <w:spacing w:val="-4"/>
          <w:szCs w:val="32"/>
          <w:highlight w:val="none"/>
        </w:rPr>
        <w:t>一、绩效目标分解下达情况</w:t>
      </w:r>
    </w:p>
    <w:p w14:paraId="3E8C50CE">
      <w:pPr>
        <w:spacing w:line="360" w:lineRule="auto"/>
        <w:ind w:firstLine="546" w:firstLineChars="200"/>
        <w:rPr>
          <w:color w:val="auto"/>
          <w:highlight w:val="none"/>
        </w:rPr>
      </w:pPr>
      <w:r>
        <w:rPr>
          <w:rFonts w:hint="eastAsia" w:ascii="楷体_GB2312" w:hAnsi="楷体" w:cs="Times New Roman"/>
          <w:b/>
          <w:color w:val="auto"/>
          <w:spacing w:val="-4"/>
          <w:sz w:val="28"/>
          <w:szCs w:val="32"/>
          <w:highlight w:val="none"/>
        </w:rPr>
        <w:t>（一）财政专项乡村振兴衔接资金下达预算及项目情况</w:t>
      </w:r>
    </w:p>
    <w:p w14:paraId="22B06744">
      <w:pPr>
        <w:pStyle w:val="52"/>
        <w:ind w:left="3" w:right="3" w:firstLine="562"/>
        <w:rPr>
          <w:rFonts w:ascii="仿宋_GB2312"/>
          <w:b/>
          <w:color w:val="auto"/>
          <w:szCs w:val="32"/>
          <w:highlight w:val="none"/>
        </w:rPr>
      </w:pPr>
      <w:r>
        <w:rPr>
          <w:rFonts w:hint="eastAsia" w:ascii="仿宋_GB2312"/>
          <w:b/>
          <w:color w:val="auto"/>
          <w:szCs w:val="32"/>
          <w:highlight w:val="none"/>
        </w:rPr>
        <w:t>1.下达预算情况</w:t>
      </w:r>
    </w:p>
    <w:p w14:paraId="0D2AFF47">
      <w:pPr>
        <w:pStyle w:val="52"/>
        <w:ind w:left="3" w:right="3" w:firstLine="560"/>
        <w:rPr>
          <w:rFonts w:ascii="仿宋_GB2312"/>
          <w:color w:val="auto"/>
          <w:szCs w:val="32"/>
          <w:highlight w:val="none"/>
        </w:rPr>
      </w:pPr>
      <w:r>
        <w:rPr>
          <w:rFonts w:hint="eastAsia" w:ascii="仿宋_GB2312"/>
          <w:color w:val="auto"/>
          <w:szCs w:val="32"/>
          <w:highlight w:val="none"/>
        </w:rPr>
        <w:t>本项目根据</w:t>
      </w:r>
      <w:bookmarkStart w:id="0" w:name="OLE_LINK1"/>
      <w:bookmarkStart w:id="1" w:name="OLE_LINK2"/>
      <w:r>
        <w:rPr>
          <w:rFonts w:hint="eastAsia" w:ascii="仿宋" w:hAnsi="仿宋" w:eastAsia="仿宋" w:cs="仿宋"/>
          <w:color w:val="auto"/>
          <w:szCs w:val="32"/>
          <w:highlight w:val="none"/>
        </w:rPr>
        <w:t>于田县</w:t>
      </w:r>
      <w:r>
        <w:rPr>
          <w:rFonts w:hint="eastAsia" w:ascii="仿宋" w:hAnsi="仿宋" w:eastAsia="仿宋" w:cs="仿宋"/>
          <w:color w:val="auto"/>
          <w:szCs w:val="32"/>
          <w:highlight w:val="none"/>
          <w:lang w:val="en-US" w:eastAsia="zh-CN"/>
        </w:rPr>
        <w:t>商务和工业信息化局</w:t>
      </w:r>
      <w:bookmarkEnd w:id="0"/>
      <w:r>
        <w:rPr>
          <w:rFonts w:hint="eastAsia" w:ascii="仿宋" w:hAnsi="仿宋" w:eastAsia="仿宋" w:cs="仿宋"/>
          <w:color w:val="auto"/>
          <w:szCs w:val="32"/>
          <w:highlight w:val="none"/>
          <w:lang w:val="en-US" w:eastAsia="zh-CN"/>
        </w:rPr>
        <w:t>和于田县财政局联合下</w:t>
      </w:r>
      <w:r>
        <w:rPr>
          <w:rFonts w:hint="eastAsia" w:ascii="仿宋_GB2312"/>
          <w:color w:val="auto"/>
          <w:szCs w:val="32"/>
          <w:highlight w:val="none"/>
        </w:rPr>
        <w:t>发的《关于对</w:t>
      </w:r>
      <w:r>
        <w:rPr>
          <w:rFonts w:hint="eastAsia" w:ascii="仿宋" w:hAnsi="仿宋" w:eastAsia="仿宋" w:cs="仿宋"/>
          <w:bCs/>
          <w:color w:val="auto"/>
          <w:kern w:val="0"/>
          <w:highlight w:val="none"/>
        </w:rPr>
        <w:t>于田县斯也克乡</w:t>
      </w:r>
      <w:r>
        <w:rPr>
          <w:rFonts w:hint="eastAsia" w:ascii="仿宋" w:hAnsi="仿宋" w:eastAsia="仿宋" w:cs="仿宋"/>
          <w:bCs/>
          <w:color w:val="auto"/>
          <w:kern w:val="0"/>
          <w:highlight w:val="none"/>
          <w:lang w:val="en-US" w:eastAsia="zh-CN"/>
        </w:rPr>
        <w:t>夜市改造项目</w:t>
      </w:r>
      <w:r>
        <w:rPr>
          <w:rFonts w:hint="eastAsia" w:ascii="仿宋_GB2312" w:eastAsia="仿宋"/>
          <w:color w:val="auto"/>
          <w:szCs w:val="32"/>
          <w:highlight w:val="none"/>
          <w:lang w:eastAsia="zh-CN"/>
        </w:rPr>
        <w:t>实施方案</w:t>
      </w:r>
      <w:r>
        <w:rPr>
          <w:rFonts w:hint="eastAsia" w:ascii="仿宋_GB2312"/>
          <w:color w:val="auto"/>
          <w:szCs w:val="32"/>
          <w:highlight w:val="none"/>
        </w:rPr>
        <w:t>的批复》（于</w:t>
      </w:r>
      <w:r>
        <w:rPr>
          <w:rFonts w:hint="eastAsia" w:ascii="仿宋_GB2312"/>
          <w:color w:val="auto"/>
          <w:szCs w:val="32"/>
          <w:highlight w:val="none"/>
          <w:lang w:val="en-US" w:eastAsia="zh-CN"/>
        </w:rPr>
        <w:t>商工办</w:t>
      </w:r>
      <w:r>
        <w:rPr>
          <w:rFonts w:hint="eastAsia" w:ascii="仿宋_GB2312"/>
          <w:color w:val="auto"/>
          <w:szCs w:val="32"/>
          <w:highlight w:val="none"/>
        </w:rPr>
        <w:t>[202</w:t>
      </w:r>
      <w:r>
        <w:rPr>
          <w:rFonts w:hint="eastAsia" w:ascii="仿宋_GB2312"/>
          <w:color w:val="auto"/>
          <w:szCs w:val="32"/>
          <w:highlight w:val="none"/>
          <w:lang w:val="en-US" w:eastAsia="zh-CN"/>
        </w:rPr>
        <w:t>4</w:t>
      </w:r>
      <w:r>
        <w:rPr>
          <w:rFonts w:hint="eastAsia" w:ascii="仿宋_GB2312"/>
          <w:color w:val="auto"/>
          <w:szCs w:val="32"/>
          <w:highlight w:val="none"/>
        </w:rPr>
        <w:t>]</w:t>
      </w:r>
      <w:r>
        <w:rPr>
          <w:rFonts w:hint="eastAsia" w:ascii="仿宋_GB2312"/>
          <w:color w:val="auto"/>
          <w:szCs w:val="32"/>
          <w:highlight w:val="none"/>
          <w:lang w:val="en-US" w:eastAsia="zh-CN"/>
        </w:rPr>
        <w:t>3</w:t>
      </w:r>
      <w:r>
        <w:rPr>
          <w:rFonts w:hint="eastAsia" w:ascii="仿宋_GB2312"/>
          <w:color w:val="auto"/>
          <w:szCs w:val="32"/>
          <w:highlight w:val="none"/>
        </w:rPr>
        <w:t>号）</w:t>
      </w:r>
      <w:bookmarkEnd w:id="1"/>
      <w:r>
        <w:rPr>
          <w:rFonts w:hint="eastAsia" w:ascii="仿宋_GB2312"/>
          <w:color w:val="auto"/>
          <w:szCs w:val="32"/>
          <w:highlight w:val="none"/>
        </w:rPr>
        <w:t>批复实施，</w:t>
      </w:r>
      <w:r>
        <w:rPr>
          <w:rFonts w:hint="eastAsia" w:ascii="仿宋" w:hAnsi="仿宋" w:eastAsia="仿宋" w:cs="仿宋"/>
          <w:bCs/>
          <w:color w:val="auto"/>
          <w:kern w:val="0"/>
          <w:highlight w:val="none"/>
          <w:lang w:eastAsia="zh-CN"/>
        </w:rPr>
        <w:t>于田县斯也克乡夜市改造项目</w:t>
      </w:r>
      <w:r>
        <w:rPr>
          <w:rFonts w:hint="eastAsia" w:ascii="仿宋_GB2312"/>
          <w:color w:val="auto"/>
          <w:szCs w:val="32"/>
          <w:highlight w:val="none"/>
        </w:rPr>
        <w:t>预算安排总额为</w:t>
      </w:r>
      <w:r>
        <w:rPr>
          <w:rFonts w:hint="eastAsia" w:ascii="仿宋_GB2312"/>
          <w:color w:val="auto"/>
          <w:szCs w:val="32"/>
          <w:highlight w:val="none"/>
          <w:lang w:val="en-US" w:eastAsia="zh-CN"/>
        </w:rPr>
        <w:t>300</w:t>
      </w:r>
      <w:r>
        <w:rPr>
          <w:rFonts w:hint="eastAsia" w:ascii="仿宋_GB2312"/>
          <w:color w:val="auto"/>
          <w:szCs w:val="32"/>
          <w:highlight w:val="none"/>
        </w:rPr>
        <w:t>万元，其中：</w:t>
      </w:r>
      <w:r>
        <w:rPr>
          <w:rFonts w:hint="eastAsia" w:ascii="仿宋_GB2312"/>
          <w:color w:val="auto"/>
          <w:szCs w:val="32"/>
          <w:highlight w:val="none"/>
          <w:lang w:val="en-US" w:eastAsia="zh-CN"/>
        </w:rPr>
        <w:t>乡村振兴衔接资金</w:t>
      </w:r>
      <w:r>
        <w:rPr>
          <w:rFonts w:hint="eastAsia" w:ascii="仿宋_GB2312" w:eastAsia="楷体_GB2312"/>
          <w:color w:val="auto"/>
          <w:szCs w:val="32"/>
          <w:highlight w:val="none"/>
          <w:lang w:val="en-US" w:eastAsia="zh-CN"/>
        </w:rPr>
        <w:t>300</w:t>
      </w:r>
      <w:r>
        <w:rPr>
          <w:rFonts w:hint="eastAsia" w:ascii="仿宋_GB2312"/>
          <w:color w:val="auto"/>
          <w:szCs w:val="32"/>
          <w:highlight w:val="none"/>
        </w:rPr>
        <w:t>万元。预算资金到位率为100.00%。</w:t>
      </w:r>
    </w:p>
    <w:p w14:paraId="0AD79C8E">
      <w:pPr>
        <w:pStyle w:val="52"/>
        <w:ind w:left="3" w:right="3" w:firstLine="562"/>
        <w:rPr>
          <w:rFonts w:ascii="仿宋_GB2312"/>
          <w:b/>
          <w:color w:val="auto"/>
          <w:szCs w:val="32"/>
          <w:highlight w:val="none"/>
        </w:rPr>
      </w:pPr>
      <w:r>
        <w:rPr>
          <w:rFonts w:hint="eastAsia" w:ascii="仿宋_GB2312"/>
          <w:b/>
          <w:color w:val="auto"/>
          <w:szCs w:val="32"/>
          <w:highlight w:val="none"/>
        </w:rPr>
        <w:t>2.项目实施背景</w:t>
      </w:r>
    </w:p>
    <w:p w14:paraId="416E5A0F">
      <w:pPr>
        <w:spacing w:line="560" w:lineRule="exact"/>
        <w:ind w:firstLine="560" w:firstLineChars="200"/>
        <w:rPr>
          <w:rFonts w:hint="eastAsia"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rPr>
        <w:t>以习近平同志为核心的党中央</w:t>
      </w:r>
      <w:bookmarkStart w:id="10" w:name="_GoBack"/>
      <w:bookmarkEnd w:id="10"/>
      <w:r>
        <w:rPr>
          <w:rFonts w:hint="eastAsia" w:ascii="仿宋_GB2312" w:hAnsi="Times New Roman" w:eastAsia="仿宋_GB2312" w:cs="Times New Roman"/>
          <w:color w:val="auto"/>
          <w:sz w:val="28"/>
          <w:szCs w:val="32"/>
          <w:highlight w:val="none"/>
        </w:rPr>
        <w:t>始终心系新疆、重视新疆、支持新疆，提出了“依法治疆、团结稳疆、文化润疆、富民兴疆、长期建疆，以推进治理体系和治理能力现代化为保障，多谋长远之策，多行固本之举，努力建设团结和谐繁荣富裕、文明进步、安居乐业、生态良好的新时代中国特色社会主义新疆”总目标，明确了新疆在党和国家战略全局中的重要地位。中央第三次新疆工作座谈会研究部署了进一步推进新疆经济社会展和长治久安工作。</w:t>
      </w:r>
    </w:p>
    <w:p w14:paraId="599E468B">
      <w:pPr>
        <w:spacing w:line="560" w:lineRule="exact"/>
        <w:ind w:firstLine="560" w:firstLineChars="200"/>
        <w:rPr>
          <w:rFonts w:hint="eastAsia"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rPr>
        <w:t>深入贯彻习近平新时代中国特色社会主义思想，深入贯彻党的十九大和十九届历次全会精神，加强党对“三农”工作的全面领导，坚持稳中求进工作总基调,牢固树立新发展理念,落实高质量发展要求，紧紧围绕统筹推进“五位一体”总体布局和协调推进“四个全面战略布局，坚持把解决好“三农”问题作为全党工作重中之重，坚持农业农村优先发展，按照产业兴旺、生态宜居、乡风文明、治理有效、生活富裕的总要求，建立健全城乡融合发展体制机制和政策体系，统筹推进农村经济建设、政治建设、文化建设、社会建设、生态文明建设和党的建设，加快推进多村治理体系和治理能力现代化，加快推进农业农村现代化，走中国特色社会主义乡村振兴道路，让农业成为有奔头的产业，让农民成为有吸引力的职业，让农村成为安居乐业的美丽家园。</w:t>
      </w:r>
    </w:p>
    <w:p w14:paraId="635BE9EB">
      <w:pPr>
        <w:spacing w:line="560" w:lineRule="exact"/>
        <w:ind w:firstLine="560" w:firstLineChars="200"/>
        <w:rPr>
          <w:rFonts w:hint="eastAsia"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rPr>
        <w:t>自改革开放以来，新疆的经济有了较快的发展，但是也不可否认新疆总体上还是较为落后，特别是新疆少数民族地区人口经济落后问题较为突出。究其原因，除了自然条件恶劣、交通不便等原因外，更主要的还有产业结构不合理、传统文化和传统观念的束缚，以及劳动者素质较低等社会因素。为此，应加强基础设施建设、调整产业结构等措施，切实帮助弱劳动力人口较早的走向致富的道路。</w:t>
      </w:r>
    </w:p>
    <w:p w14:paraId="7C6C8A4E">
      <w:pPr>
        <w:spacing w:line="560" w:lineRule="exact"/>
        <w:ind w:firstLine="560" w:firstLineChars="200"/>
        <w:rPr>
          <w:rFonts w:hint="eastAsia"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rPr>
        <w:t>少数民族地区的经济发展，是党和国家高度重视的一项工作,关系到党的民族政策的落实,关系到民族团结、边防巩固,关系到国家的社会稳定和可持续的发展，意义重大。以往政府对经济落后地区的发展思路和措施，尽管也取得了重大成效，但在经济落后严重的少数民族地区和人群中收效相对不大，都没有从根本上改变当地经济的落后的面貌，或者对一些少数民族群众不太产生作用,创业小市场的建立，对于田县全面建设小康社会、建设社会主义新农村无疑也具有重大的意义。</w:t>
      </w:r>
    </w:p>
    <w:p w14:paraId="5153A0F9">
      <w:pPr>
        <w:spacing w:line="560" w:lineRule="exact"/>
        <w:ind w:firstLine="560" w:firstLineChars="200"/>
        <w:rPr>
          <w:rFonts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rPr>
        <w:t>近年来，和田地区遵循“宜农则农、宜养则养、宜加则加、宜商则商”原则，力争实现“现有龙头企业，乡镇有规模企业，村有创业工厂，户有小作坊”，形成产业带动就业、就业促进产业的模式，帮助群众增收。斯也克多为于田县周边乡镇，便于开展小型创业基地。项目的建设将改善斯也克乡产业少的现状，项目建成后通过解决待就业人员，吸纳弱劳动力群众的方式进行运营和生产，在促进发展的同时，有效改善了当地农民的生活条件和经济收入，对推动当地经济发展起到重要作用。</w:t>
      </w:r>
    </w:p>
    <w:p w14:paraId="23F116A2">
      <w:pPr>
        <w:spacing w:line="560" w:lineRule="exact"/>
        <w:ind w:firstLine="562" w:firstLineChars="200"/>
        <w:rPr>
          <w:rFonts w:ascii="仿宋_GB2312" w:hAnsi="Times New Roman" w:eastAsia="仿宋_GB2312" w:cs="Times New Roman"/>
          <w:b/>
          <w:bCs/>
          <w:color w:val="auto"/>
          <w:sz w:val="28"/>
          <w:szCs w:val="32"/>
          <w:highlight w:val="none"/>
        </w:rPr>
      </w:pPr>
      <w:r>
        <w:rPr>
          <w:rFonts w:ascii="仿宋_GB2312" w:hAnsi="Times New Roman" w:eastAsia="仿宋_GB2312" w:cs="Times New Roman"/>
          <w:b/>
          <w:bCs/>
          <w:color w:val="auto"/>
          <w:sz w:val="28"/>
          <w:szCs w:val="32"/>
          <w:highlight w:val="none"/>
        </w:rPr>
        <w:t>3</w:t>
      </w:r>
      <w:r>
        <w:rPr>
          <w:rFonts w:hint="eastAsia" w:ascii="仿宋_GB2312" w:hAnsi="Times New Roman" w:eastAsia="仿宋_GB2312" w:cs="Times New Roman"/>
          <w:b/>
          <w:bCs/>
          <w:color w:val="auto"/>
          <w:sz w:val="28"/>
          <w:szCs w:val="32"/>
          <w:highlight w:val="none"/>
        </w:rPr>
        <w:t>、项目实施依据及范围</w:t>
      </w:r>
    </w:p>
    <w:p w14:paraId="29C5945B">
      <w:pPr>
        <w:spacing w:line="560" w:lineRule="exact"/>
        <w:ind w:firstLine="560" w:firstLineChars="200"/>
        <w:rPr>
          <w:rFonts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lang w:val="en-US" w:eastAsia="zh-CN"/>
        </w:rPr>
        <w:t>于田县斯也克乡夜市改造项目</w:t>
      </w:r>
      <w:r>
        <w:rPr>
          <w:rFonts w:hint="eastAsia" w:ascii="仿宋_GB2312" w:hAnsi="Times New Roman" w:eastAsia="仿宋_GB2312" w:cs="Times New Roman"/>
          <w:color w:val="auto"/>
          <w:sz w:val="28"/>
          <w:szCs w:val="32"/>
          <w:highlight w:val="none"/>
        </w:rPr>
        <w:t>，</w:t>
      </w:r>
      <w:r>
        <w:rPr>
          <w:rFonts w:hint="eastAsia" w:ascii="仿宋_GB2312" w:hAnsi="Times New Roman" w:eastAsia="仿宋_GB2312" w:cs="Times New Roman"/>
          <w:color w:val="auto"/>
          <w:sz w:val="28"/>
          <w:szCs w:val="32"/>
          <w:highlight w:val="none"/>
          <w:lang w:val="en-US" w:eastAsia="zh-CN"/>
        </w:rPr>
        <w:t>于田县商务和工业信息化局和于田县财政局联合下发的《关于对于田县斯也克乡夜市改造项目实施方案的批复》（于商工办[2024]3号）批</w:t>
      </w:r>
      <w:r>
        <w:rPr>
          <w:rFonts w:hint="eastAsia" w:ascii="仿宋_GB2312" w:hAnsi="Times New Roman" w:eastAsia="仿宋_GB2312" w:cs="Times New Roman"/>
          <w:color w:val="auto"/>
          <w:sz w:val="28"/>
          <w:szCs w:val="32"/>
          <w:highlight w:val="none"/>
        </w:rPr>
        <w:t>复实施，</w:t>
      </w:r>
      <w:r>
        <w:rPr>
          <w:rFonts w:hint="eastAsia" w:ascii="仿宋_GB2312" w:hAnsi="Times New Roman" w:eastAsia="仿宋_GB2312" w:cs="Times New Roman"/>
          <w:color w:val="auto"/>
          <w:sz w:val="28"/>
          <w:szCs w:val="32"/>
          <w:highlight w:val="none"/>
          <w:lang w:val="en-US" w:eastAsia="zh-CN"/>
        </w:rPr>
        <w:t>主要建设内容：本项目计划新建商铺1栋，总建筑面积1176.00m'，占地面积1176.00m，地上一层，钢结构，以及配套附属设施:场地平整 4406.40 m;门头: 2 座,成品定制,高度3 米,宽度5 米,主要设置在夜市两个出入口位置;地面硬化:4406.40m，混凝土地面;围墙:133.00m，砖围墙，高度1.8m;路缘石:229.60m，预制混凝土路沿石;餐车:86套，成品购置，规格150*70*190;钢柱建设:305.90m;夜市钢架棚:877.80m:拆除工程:1500.00m，项目区所在位置现状有临时建筑(砖混平房)，需要进行拆除。</w:t>
      </w:r>
    </w:p>
    <w:p w14:paraId="7748F8FF">
      <w:pPr>
        <w:spacing w:line="560" w:lineRule="exact"/>
        <w:ind w:firstLine="562" w:firstLineChars="200"/>
        <w:rPr>
          <w:rFonts w:ascii="仿宋_GB2312" w:hAnsi="Times New Roman" w:eastAsia="仿宋_GB2312" w:cs="Times New Roman"/>
          <w:b/>
          <w:bCs/>
          <w:color w:val="auto"/>
          <w:sz w:val="28"/>
          <w:szCs w:val="32"/>
          <w:highlight w:val="none"/>
        </w:rPr>
      </w:pPr>
      <w:r>
        <w:rPr>
          <w:rFonts w:ascii="仿宋_GB2312" w:hAnsi="Times New Roman" w:eastAsia="仿宋_GB2312" w:cs="Times New Roman"/>
          <w:b/>
          <w:bCs/>
          <w:color w:val="auto"/>
          <w:sz w:val="28"/>
          <w:szCs w:val="32"/>
          <w:highlight w:val="none"/>
        </w:rPr>
        <w:t>4</w:t>
      </w:r>
      <w:r>
        <w:rPr>
          <w:rFonts w:hint="eastAsia" w:ascii="仿宋_GB2312" w:hAnsi="Times New Roman" w:eastAsia="仿宋_GB2312" w:cs="Times New Roman"/>
          <w:b/>
          <w:bCs/>
          <w:color w:val="auto"/>
          <w:sz w:val="28"/>
          <w:szCs w:val="32"/>
          <w:highlight w:val="none"/>
        </w:rPr>
        <w:t>、项目基本性质及类别</w:t>
      </w:r>
    </w:p>
    <w:p w14:paraId="66E74A7F">
      <w:pPr>
        <w:spacing w:line="560" w:lineRule="exact"/>
        <w:ind w:firstLine="560" w:firstLineChars="200"/>
        <w:rPr>
          <w:rFonts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lang w:eastAsia="zh-CN"/>
        </w:rPr>
        <w:t>于田县斯也克乡夜市改造项目</w:t>
      </w:r>
      <w:r>
        <w:rPr>
          <w:rFonts w:hint="eastAsia" w:ascii="仿宋_GB2312" w:hAnsi="Times New Roman" w:eastAsia="仿宋_GB2312" w:cs="Times New Roman"/>
          <w:color w:val="auto"/>
          <w:sz w:val="28"/>
          <w:szCs w:val="32"/>
          <w:highlight w:val="none"/>
        </w:rPr>
        <w:t>属于</w:t>
      </w:r>
      <w:r>
        <w:rPr>
          <w:rFonts w:hint="eastAsia" w:ascii="仿宋_GB2312" w:hAnsi="Times New Roman" w:eastAsia="仿宋_GB2312" w:cs="Times New Roman"/>
          <w:color w:val="auto"/>
          <w:sz w:val="28"/>
          <w:szCs w:val="32"/>
          <w:highlight w:val="none"/>
          <w:lang w:val="en-US" w:eastAsia="zh-CN"/>
        </w:rPr>
        <w:t>乡村振兴</w:t>
      </w:r>
      <w:r>
        <w:rPr>
          <w:rFonts w:hint="eastAsia" w:ascii="仿宋_GB2312" w:hAnsi="Times New Roman" w:eastAsia="仿宋_GB2312" w:cs="Times New Roman"/>
          <w:color w:val="auto"/>
          <w:sz w:val="28"/>
          <w:szCs w:val="32"/>
          <w:highlight w:val="none"/>
        </w:rPr>
        <w:t>项目。</w:t>
      </w:r>
    </w:p>
    <w:p w14:paraId="320D376F">
      <w:pPr>
        <w:spacing w:line="56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（二）财政专项乡村振兴衔接资金项目绩效目标设定情况</w:t>
      </w:r>
    </w:p>
    <w:p w14:paraId="07990B4A">
      <w:pPr>
        <w:spacing w:line="560" w:lineRule="exact"/>
        <w:ind w:firstLine="562" w:firstLineChars="200"/>
        <w:rPr>
          <w:rFonts w:ascii="仿宋_GB2312" w:hAnsi="Times New Roman" w:eastAsia="仿宋_GB2312" w:cs="Times New Roman"/>
          <w:b/>
          <w:bCs/>
          <w:color w:val="auto"/>
          <w:sz w:val="28"/>
          <w:szCs w:val="32"/>
          <w:highlight w:val="none"/>
        </w:rPr>
      </w:pPr>
      <w:r>
        <w:rPr>
          <w:rFonts w:hint="eastAsia" w:ascii="仿宋_GB2312" w:hAnsi="Times New Roman" w:eastAsia="仿宋_GB2312" w:cs="Times New Roman"/>
          <w:b/>
          <w:bCs/>
          <w:color w:val="auto"/>
          <w:sz w:val="28"/>
          <w:szCs w:val="32"/>
          <w:highlight w:val="none"/>
        </w:rPr>
        <w:t>1.项目绩效总体目标</w:t>
      </w:r>
    </w:p>
    <w:p w14:paraId="1CAA0F27">
      <w:pPr>
        <w:pStyle w:val="52"/>
        <w:spacing w:line="560" w:lineRule="exact"/>
        <w:ind w:left="3" w:right="3" w:firstLine="560"/>
        <w:rPr>
          <w:rFonts w:ascii="仿宋_GB2312"/>
          <w:color w:val="auto"/>
          <w:szCs w:val="32"/>
          <w:highlight w:val="none"/>
        </w:rPr>
      </w:pPr>
      <w:r>
        <w:rPr>
          <w:rFonts w:hint="eastAsia" w:ascii="仿宋_GB2312" w:cs="Times New Roman"/>
          <w:color w:val="auto"/>
          <w:sz w:val="28"/>
          <w:szCs w:val="32"/>
          <w:highlight w:val="none"/>
          <w:lang w:eastAsia="zh-CN"/>
        </w:rPr>
        <w:t>于田县斯也克乡夜市改造项目</w:t>
      </w:r>
      <w:r>
        <w:rPr>
          <w:rFonts w:hint="eastAsia" w:ascii="仿宋_GB2312"/>
          <w:color w:val="auto"/>
          <w:szCs w:val="32"/>
          <w:highlight w:val="none"/>
        </w:rPr>
        <w:t>总投资</w:t>
      </w:r>
      <w:r>
        <w:rPr>
          <w:rFonts w:hint="eastAsia" w:ascii="仿宋_GB2312"/>
          <w:color w:val="auto"/>
          <w:szCs w:val="32"/>
          <w:highlight w:val="none"/>
          <w:lang w:val="en-US" w:eastAsia="zh-CN"/>
        </w:rPr>
        <w:t>300万元</w:t>
      </w:r>
      <w:r>
        <w:rPr>
          <w:rFonts w:hint="eastAsia" w:ascii="仿宋_GB2312"/>
          <w:color w:val="auto"/>
          <w:szCs w:val="32"/>
          <w:highlight w:val="none"/>
        </w:rPr>
        <w:t>，全部申请以</w:t>
      </w:r>
      <w:r>
        <w:rPr>
          <w:rFonts w:hint="eastAsia" w:ascii="仿宋_GB2312"/>
          <w:color w:val="auto"/>
          <w:szCs w:val="32"/>
          <w:highlight w:val="none"/>
          <w:lang w:val="en-US" w:eastAsia="zh-CN"/>
        </w:rPr>
        <w:t>乡村振兴衔接</w:t>
      </w:r>
      <w:r>
        <w:rPr>
          <w:rFonts w:hint="eastAsia" w:ascii="仿宋_GB2312"/>
          <w:color w:val="auto"/>
          <w:szCs w:val="32"/>
          <w:highlight w:val="none"/>
          <w:lang w:eastAsia="zh-CN"/>
        </w:rPr>
        <w:t>资金</w:t>
      </w:r>
      <w:r>
        <w:rPr>
          <w:rFonts w:hint="eastAsia" w:ascii="仿宋_GB2312"/>
          <w:color w:val="auto"/>
          <w:szCs w:val="32"/>
          <w:highlight w:val="none"/>
        </w:rPr>
        <w:t>。主要内容为：</w:t>
      </w:r>
      <w:r>
        <w:rPr>
          <w:rFonts w:hint="eastAsia" w:ascii="仿宋_GB2312" w:hAnsi="Times New Roman" w:eastAsia="仿宋_GB2312" w:cs="Times New Roman"/>
          <w:color w:val="auto"/>
          <w:sz w:val="28"/>
          <w:szCs w:val="32"/>
          <w:highlight w:val="none"/>
          <w:lang w:val="en-US" w:eastAsia="zh-CN"/>
        </w:rPr>
        <w:t>本项目计划新建商铺1栋，总建筑面积1176.00m'，占地面积1176.00m，地上一层，钢结构，以及配套附属设施:场地平整 4406.40 m;门头: 2 座,成品定制,高度3 米,宽度5 米,主要设置在夜市两个出入口位置;地面硬化:4406.40m，混凝土地面;围墙:133.00m，砖围墙，高度1.8m;路缘石:229.60m，预制混凝土路沿石;餐车:86套，成品购置，规格150*70*190;钢柱建设:305.90m;夜市钢架棚:877.80m:拆除工程:1500.00m，项目区所在位置现状有临时建筑(砖混平房)，需要进行拆除。</w:t>
      </w:r>
    </w:p>
    <w:p w14:paraId="2E4F5355">
      <w:pPr>
        <w:pStyle w:val="52"/>
        <w:spacing w:line="560" w:lineRule="exact"/>
        <w:ind w:left="3" w:right="3" w:firstLine="560"/>
        <w:rPr>
          <w:rFonts w:hint="eastAsia" w:ascii="仿宋_GB2312" w:hAnsi="Times New Roman" w:eastAsia="仿宋_GB2312" w:cs="Times New Roman"/>
          <w:color w:val="auto"/>
          <w:sz w:val="28"/>
          <w:szCs w:val="32"/>
          <w:highlight w:val="none"/>
        </w:rPr>
      </w:pPr>
      <w:r>
        <w:rPr>
          <w:rFonts w:hint="eastAsia" w:ascii="仿宋_GB2312"/>
          <w:color w:val="auto"/>
          <w:szCs w:val="32"/>
          <w:highlight w:val="none"/>
          <w:lang w:val="en-US" w:eastAsia="zh-CN"/>
        </w:rPr>
        <w:t>项目的实施</w:t>
      </w:r>
      <w:r>
        <w:rPr>
          <w:rFonts w:hint="eastAsia" w:ascii="仿宋_GB2312"/>
          <w:color w:val="auto"/>
          <w:szCs w:val="32"/>
          <w:highlight w:val="none"/>
        </w:rPr>
        <w:t>商铺采取出租的方式，建筑总面积为 1176.00平方米，可以产生租金收入，同时还可以带动就业20人，人均工资2000元/月，年收入共计 48 万元，经济可行，效益可观。通过该项目的实施，实现当地经济发展，有效并长期确保当地弱劳动力人群增收</w:t>
      </w:r>
      <w:r>
        <w:rPr>
          <w:rFonts w:hint="eastAsia" w:ascii="仿宋_GB2312" w:hAnsi="Times New Roman" w:eastAsia="仿宋_GB2312" w:cs="Times New Roman"/>
          <w:color w:val="auto"/>
          <w:sz w:val="28"/>
          <w:szCs w:val="32"/>
          <w:highlight w:val="none"/>
        </w:rPr>
        <w:t>。</w:t>
      </w:r>
    </w:p>
    <w:p w14:paraId="045E4024">
      <w:pPr>
        <w:pStyle w:val="52"/>
        <w:spacing w:line="560" w:lineRule="exact"/>
        <w:ind w:left="3" w:right="3" w:firstLine="562"/>
        <w:rPr>
          <w:rFonts w:ascii="仿宋_GB2312"/>
          <w:b/>
          <w:bCs/>
          <w:color w:val="auto"/>
          <w:szCs w:val="32"/>
          <w:highlight w:val="none"/>
        </w:rPr>
      </w:pPr>
      <w:r>
        <w:rPr>
          <w:rFonts w:hint="eastAsia" w:ascii="仿宋_GB2312"/>
          <w:b/>
          <w:bCs/>
          <w:color w:val="auto"/>
          <w:szCs w:val="32"/>
          <w:highlight w:val="none"/>
        </w:rPr>
        <w:t>2.具体绩效指标</w:t>
      </w:r>
    </w:p>
    <w:p w14:paraId="79C646AE">
      <w:pPr>
        <w:pStyle w:val="52"/>
        <w:spacing w:line="560" w:lineRule="exact"/>
        <w:ind w:left="3" w:right="3" w:firstLine="560"/>
        <w:rPr>
          <w:rFonts w:ascii="仿宋_GB2312"/>
          <w:color w:val="auto"/>
          <w:szCs w:val="32"/>
          <w:highlight w:val="none"/>
        </w:rPr>
      </w:pPr>
      <w:r>
        <w:rPr>
          <w:rFonts w:ascii="仿宋_GB2312"/>
          <w:color w:val="auto"/>
          <w:szCs w:val="32"/>
          <w:highlight w:val="none"/>
        </w:rPr>
        <w:t>根据《自治区财政专项扶贫资金绩效管理操作指南》（新财预〔2019〕170号）的规定，结合项目具体情况，</w:t>
      </w:r>
      <w:r>
        <w:rPr>
          <w:rFonts w:hint="eastAsia" w:ascii="仿宋_GB2312"/>
          <w:color w:val="auto"/>
          <w:szCs w:val="32"/>
          <w:highlight w:val="none"/>
        </w:rPr>
        <w:t>本项目共设置一级指标3个，二级指标</w:t>
      </w:r>
      <w:r>
        <w:rPr>
          <w:rFonts w:hint="eastAsia" w:ascii="仿宋_GB2312"/>
          <w:color w:val="auto"/>
          <w:szCs w:val="32"/>
          <w:highlight w:val="none"/>
          <w:lang w:val="en-US" w:eastAsia="zh-CN"/>
        </w:rPr>
        <w:t>8</w:t>
      </w:r>
      <w:r>
        <w:rPr>
          <w:rFonts w:hint="eastAsia" w:ascii="仿宋_GB2312"/>
          <w:color w:val="auto"/>
          <w:szCs w:val="32"/>
          <w:highlight w:val="none"/>
        </w:rPr>
        <w:t>个，三级指标1</w:t>
      </w:r>
      <w:r>
        <w:rPr>
          <w:rFonts w:hint="eastAsia" w:ascii="仿宋_GB2312"/>
          <w:color w:val="auto"/>
          <w:szCs w:val="32"/>
          <w:highlight w:val="none"/>
          <w:lang w:val="en-US" w:eastAsia="zh-CN"/>
        </w:rPr>
        <w:t>8</w:t>
      </w:r>
      <w:r>
        <w:rPr>
          <w:rFonts w:hint="eastAsia" w:ascii="仿宋_GB2312"/>
          <w:color w:val="auto"/>
          <w:szCs w:val="32"/>
          <w:highlight w:val="none"/>
        </w:rPr>
        <w:t>个。</w:t>
      </w:r>
    </w:p>
    <w:p w14:paraId="54FE59E8">
      <w:pPr>
        <w:pStyle w:val="29"/>
        <w:spacing w:before="120"/>
        <w:ind w:left="0" w:leftChars="0" w:right="3" w:firstLine="562" w:firstLineChars="200"/>
        <w:rPr>
          <w:rFonts w:eastAsia="宋体"/>
          <w:color w:val="auto"/>
          <w:sz w:val="21"/>
          <w:highlight w:val="none"/>
        </w:rPr>
      </w:pPr>
      <w:r>
        <w:rPr>
          <w:rFonts w:hint="eastAsia"/>
          <w:color w:val="auto"/>
          <w:highlight w:val="none"/>
        </w:rPr>
        <w:t>二、绩效自评工作开展情况</w:t>
      </w:r>
    </w:p>
    <w:p w14:paraId="7B99E734">
      <w:pPr>
        <w:spacing w:line="56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（一）绩效自评工作开展范围</w:t>
      </w:r>
    </w:p>
    <w:p w14:paraId="7F2C0871">
      <w:pPr>
        <w:pStyle w:val="52"/>
        <w:spacing w:line="560" w:lineRule="exact"/>
        <w:ind w:left="3" w:right="3" w:firstLine="560"/>
        <w:rPr>
          <w:color w:val="auto"/>
          <w:highlight w:val="none"/>
        </w:rPr>
      </w:pPr>
      <w:r>
        <w:rPr>
          <w:color w:val="auto"/>
          <w:highlight w:val="none"/>
        </w:rPr>
        <w:t>本次自评范围涵盖项目总体绩效目标、各项绩效指标完成情况以及预算执行情况。</w:t>
      </w:r>
    </w:p>
    <w:p w14:paraId="79F6412F">
      <w:pPr>
        <w:spacing w:line="56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（二）绩效自评工作对象</w:t>
      </w:r>
    </w:p>
    <w:p w14:paraId="1AD702B3">
      <w:pPr>
        <w:pStyle w:val="52"/>
        <w:spacing w:line="560" w:lineRule="exact"/>
        <w:ind w:left="3" w:right="3" w:firstLine="560"/>
        <w:rPr>
          <w:color w:val="auto"/>
          <w:highlight w:val="none"/>
        </w:rPr>
      </w:pPr>
      <w:r>
        <w:rPr>
          <w:color w:val="auto"/>
          <w:highlight w:val="none"/>
        </w:rP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w:t>
      </w:r>
      <w:r>
        <w:rPr>
          <w:rFonts w:hint="eastAsia" w:ascii="仿宋_GB2312" w:cs="Times New Roman"/>
          <w:color w:val="auto"/>
          <w:sz w:val="28"/>
          <w:szCs w:val="32"/>
          <w:highlight w:val="none"/>
          <w:lang w:eastAsia="zh-CN"/>
        </w:rPr>
        <w:t>于田县斯也克乡夜市改造项目</w:t>
      </w:r>
      <w:r>
        <w:rPr>
          <w:color w:val="auto"/>
          <w:highlight w:val="none"/>
        </w:rPr>
        <w:t>资金的使用管理、项目产出、综合效益等进行评价。</w:t>
      </w:r>
    </w:p>
    <w:p w14:paraId="2E6E5024">
      <w:pPr>
        <w:spacing w:line="56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（三）绩效自评工作方式</w:t>
      </w:r>
    </w:p>
    <w:p w14:paraId="5BDA76B4">
      <w:pPr>
        <w:pStyle w:val="33"/>
        <w:rPr>
          <w:color w:val="auto"/>
          <w:highlight w:val="none"/>
        </w:rPr>
      </w:pPr>
      <w:r>
        <w:rPr>
          <w:rFonts w:hint="eastAsia"/>
          <w:color w:val="auto"/>
          <w:highlight w:val="none"/>
        </w:rPr>
        <w:t>1.前期准备</w:t>
      </w:r>
    </w:p>
    <w:p w14:paraId="177901F6">
      <w:pPr>
        <w:pStyle w:val="52"/>
        <w:spacing w:line="560" w:lineRule="exact"/>
        <w:ind w:left="3" w:right="0" w:rightChars="0" w:firstLine="560"/>
        <w:rPr>
          <w:color w:val="auto"/>
          <w:highlight w:val="none"/>
        </w:rPr>
      </w:pPr>
      <w:r>
        <w:rPr>
          <w:color w:val="auto"/>
          <w:highlight w:val="none"/>
        </w:rPr>
        <w:t>202</w:t>
      </w:r>
      <w:r>
        <w:rPr>
          <w:rFonts w:hint="eastAsia"/>
          <w:color w:val="auto"/>
          <w:highlight w:val="none"/>
          <w:lang w:val="en-US" w:eastAsia="zh-CN"/>
        </w:rPr>
        <w:t>4</w:t>
      </w:r>
      <w:r>
        <w:rPr>
          <w:color w:val="auto"/>
          <w:highlight w:val="none"/>
        </w:rPr>
        <w:t>年，认真学习相关要求与规定，成立绩效自评工作组，作为绩效自评工作具体实施机构。成员构成如下：</w:t>
      </w:r>
    </w:p>
    <w:p w14:paraId="0FB3938B">
      <w:pPr>
        <w:pStyle w:val="52"/>
        <w:spacing w:line="560" w:lineRule="exact"/>
        <w:ind w:left="3" w:right="3" w:firstLine="560"/>
        <w:rPr>
          <w:rFonts w:hint="eastAsia" w:eastAsia="仿宋_GB2312"/>
          <w:color w:val="auto"/>
          <w:highlight w:val="none"/>
          <w:lang w:eastAsia="zh-CN"/>
        </w:rPr>
      </w:pPr>
      <w:r>
        <w:rPr>
          <w:rFonts w:hint="eastAsia"/>
          <w:color w:val="auto"/>
          <w:highlight w:val="none"/>
        </w:rPr>
        <w:t>组  长：</w:t>
      </w:r>
      <w:r>
        <w:rPr>
          <w:rFonts w:hint="eastAsia"/>
          <w:color w:val="auto"/>
          <w:highlight w:val="none"/>
          <w:lang w:val="en-US" w:eastAsia="zh-CN"/>
        </w:rPr>
        <w:t xml:space="preserve"> 郭小龙</w:t>
      </w:r>
      <w:r>
        <w:rPr>
          <w:rFonts w:hint="eastAsia"/>
          <w:color w:val="auto"/>
          <w:highlight w:val="none"/>
        </w:rPr>
        <w:t xml:space="preserve">                 </w:t>
      </w:r>
      <w:r>
        <w:rPr>
          <w:color w:val="auto"/>
          <w:highlight w:val="none"/>
        </w:rPr>
        <w:t xml:space="preserve">               </w:t>
      </w:r>
      <w:r>
        <w:rPr>
          <w:rFonts w:hint="eastAsia"/>
          <w:color w:val="auto"/>
          <w:highlight w:val="none"/>
          <w:lang w:eastAsia="zh-CN"/>
        </w:rPr>
        <w:t>乡党委书记</w:t>
      </w:r>
    </w:p>
    <w:p w14:paraId="16A05A80">
      <w:pPr>
        <w:pStyle w:val="52"/>
        <w:spacing w:line="560" w:lineRule="exact"/>
        <w:ind w:left="3" w:right="3" w:firstLine="1680" w:firstLineChars="600"/>
        <w:rPr>
          <w:color w:val="auto"/>
          <w:highlight w:val="none"/>
        </w:rPr>
      </w:pPr>
      <w:r>
        <w:rPr>
          <w:rFonts w:hint="eastAsia"/>
          <w:color w:val="auto"/>
          <w:highlight w:val="none"/>
          <w:lang w:eastAsia="zh-CN"/>
        </w:rPr>
        <w:t>阿不都艾尼</w:t>
      </w:r>
      <w:r>
        <w:rPr>
          <w:rFonts w:hint="eastAsia"/>
          <w:color w:val="auto"/>
          <w:highlight w:val="none"/>
          <w:lang w:val="en-US" w:eastAsia="zh-CN"/>
        </w:rPr>
        <w:t>·买买提明</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 xml:space="preserve"> </w:t>
      </w:r>
      <w:r>
        <w:rPr>
          <w:rFonts w:hint="eastAsia"/>
          <w:color w:val="auto"/>
          <w:highlight w:val="none"/>
          <w:lang w:eastAsia="zh-CN"/>
        </w:rPr>
        <w:t>乡党委副书记、乡长</w:t>
      </w:r>
    </w:p>
    <w:p w14:paraId="59F19F8E">
      <w:pPr>
        <w:pStyle w:val="52"/>
        <w:spacing w:line="560" w:lineRule="exact"/>
        <w:ind w:left="3" w:right="3" w:firstLine="560"/>
        <w:rPr>
          <w:rFonts w:hint="default" w:eastAsia="仿宋_GB2312"/>
          <w:color w:val="auto"/>
          <w:highlight w:val="none"/>
          <w:lang w:val="en-US" w:eastAsia="zh-CN"/>
        </w:rPr>
      </w:pPr>
      <w:r>
        <w:rPr>
          <w:rFonts w:hint="eastAsia"/>
          <w:color w:val="auto"/>
          <w:highlight w:val="none"/>
        </w:rPr>
        <w:t>副组长：</w:t>
      </w:r>
      <w:r>
        <w:rPr>
          <w:rFonts w:hint="eastAsia"/>
          <w:color w:val="auto"/>
          <w:highlight w:val="none"/>
          <w:lang w:eastAsia="zh-CN"/>
        </w:rPr>
        <w:t>王立杰</w:t>
      </w:r>
      <w:r>
        <w:rPr>
          <w:rFonts w:hint="eastAsia"/>
          <w:color w:val="auto"/>
          <w:highlight w:val="none"/>
          <w:lang w:val="en-US" w:eastAsia="zh-CN"/>
        </w:rPr>
        <w:t xml:space="preserve">                               副乡长</w:t>
      </w:r>
    </w:p>
    <w:p w14:paraId="068B58D6">
      <w:pPr>
        <w:pStyle w:val="52"/>
        <w:spacing w:line="560" w:lineRule="exact"/>
        <w:ind w:left="0" w:leftChars="0" w:right="3" w:firstLine="560" w:firstLineChars="200"/>
        <w:rPr>
          <w:rFonts w:hint="eastAsia" w:eastAsia="仿宋_GB2312"/>
          <w:color w:val="auto"/>
          <w:highlight w:val="none"/>
          <w:lang w:eastAsia="zh-CN"/>
        </w:rPr>
      </w:pPr>
      <w:r>
        <w:rPr>
          <w:rFonts w:hint="eastAsia"/>
          <w:color w:val="auto"/>
          <w:highlight w:val="none"/>
        </w:rPr>
        <w:t xml:space="preserve">成  </w:t>
      </w:r>
      <w:r>
        <w:rPr>
          <w:rFonts w:hint="eastAsia"/>
          <w:color w:val="auto"/>
          <w:highlight w:val="none"/>
          <w:lang w:val="en-US" w:eastAsia="zh-CN"/>
        </w:rPr>
        <w:t xml:space="preserve">  </w:t>
      </w:r>
      <w:r>
        <w:rPr>
          <w:rFonts w:hint="eastAsia"/>
          <w:color w:val="auto"/>
          <w:highlight w:val="none"/>
        </w:rPr>
        <w:t>员：</w:t>
      </w:r>
      <w:r>
        <w:rPr>
          <w:rFonts w:hint="eastAsia"/>
          <w:color w:val="auto"/>
          <w:highlight w:val="none"/>
          <w:lang w:eastAsia="zh-CN"/>
        </w:rPr>
        <w:t>肖德泉</w:t>
      </w:r>
      <w:r>
        <w:rPr>
          <w:rFonts w:hint="eastAsia"/>
          <w:color w:val="auto"/>
          <w:highlight w:val="none"/>
        </w:rPr>
        <w:t xml:space="preserve">             </w:t>
      </w:r>
      <w:r>
        <w:rPr>
          <w:color w:val="auto"/>
          <w:highlight w:val="none"/>
        </w:rPr>
        <w:t xml:space="preserve">                 </w:t>
      </w:r>
      <w:r>
        <w:rPr>
          <w:rFonts w:hint="eastAsia"/>
          <w:color w:val="auto"/>
          <w:highlight w:val="none"/>
        </w:rPr>
        <w:t xml:space="preserve"> </w:t>
      </w:r>
      <w:r>
        <w:rPr>
          <w:rFonts w:hint="eastAsia"/>
          <w:color w:val="auto"/>
          <w:highlight w:val="none"/>
          <w:lang w:eastAsia="zh-CN"/>
        </w:rPr>
        <w:t>乡村振兴办干部</w:t>
      </w:r>
    </w:p>
    <w:p w14:paraId="2CD69457">
      <w:pPr>
        <w:pStyle w:val="52"/>
        <w:spacing w:line="560" w:lineRule="exact"/>
        <w:ind w:right="3" w:firstLine="1680" w:firstLineChars="600"/>
        <w:rPr>
          <w:color w:val="auto"/>
          <w:highlight w:val="none"/>
        </w:rPr>
      </w:pPr>
      <w:r>
        <w:rPr>
          <w:rFonts w:hint="eastAsia"/>
          <w:color w:val="auto"/>
          <w:highlight w:val="none"/>
          <w:lang w:eastAsia="zh-CN"/>
        </w:rPr>
        <w:t>但</w:t>
      </w:r>
      <w:r>
        <w:rPr>
          <w:rFonts w:hint="eastAsia"/>
          <w:color w:val="auto"/>
          <w:highlight w:val="none"/>
          <w:lang w:val="en-US" w:eastAsia="zh-CN"/>
        </w:rPr>
        <w:t xml:space="preserve">   </w:t>
      </w:r>
      <w:r>
        <w:rPr>
          <w:rFonts w:hint="eastAsia"/>
          <w:color w:val="auto"/>
          <w:highlight w:val="none"/>
          <w:lang w:eastAsia="zh-CN"/>
        </w:rPr>
        <w:t>银</w:t>
      </w:r>
      <w:r>
        <w:rPr>
          <w:rFonts w:hint="eastAsia"/>
          <w:color w:val="auto"/>
          <w:highlight w:val="none"/>
        </w:rPr>
        <w:t xml:space="preserve">           </w:t>
      </w:r>
      <w:r>
        <w:rPr>
          <w:color w:val="auto"/>
          <w:highlight w:val="none"/>
        </w:rPr>
        <w:t xml:space="preserve">                     </w:t>
      </w:r>
      <w:r>
        <w:rPr>
          <w:rFonts w:hint="eastAsia"/>
          <w:color w:val="auto"/>
          <w:highlight w:val="none"/>
          <w:lang w:eastAsia="zh-CN"/>
        </w:rPr>
        <w:t>乡村振兴办干部</w:t>
      </w:r>
    </w:p>
    <w:p w14:paraId="5B5E9C16">
      <w:pPr>
        <w:pStyle w:val="52"/>
        <w:spacing w:line="560" w:lineRule="exact"/>
        <w:ind w:left="3" w:right="3" w:firstLine="1680" w:firstLineChars="600"/>
        <w:rPr>
          <w:color w:val="auto"/>
          <w:highlight w:val="none"/>
        </w:rPr>
      </w:pPr>
      <w:r>
        <w:rPr>
          <w:rFonts w:hint="eastAsia"/>
          <w:color w:val="auto"/>
          <w:highlight w:val="none"/>
          <w:lang w:eastAsia="zh-CN"/>
        </w:rPr>
        <w:t>吾加阿西木</w:t>
      </w:r>
      <w:r>
        <w:rPr>
          <w:rFonts w:hint="eastAsia"/>
          <w:color w:val="auto"/>
          <w:highlight w:val="none"/>
          <w:lang w:val="en-US" w:eastAsia="zh-CN"/>
        </w:rPr>
        <w:t>·艾山</w:t>
      </w:r>
      <w:r>
        <w:rPr>
          <w:rFonts w:hint="eastAsia"/>
          <w:color w:val="auto"/>
          <w:highlight w:val="none"/>
        </w:rPr>
        <w:t xml:space="preserve">          </w:t>
      </w:r>
      <w:r>
        <w:rPr>
          <w:color w:val="auto"/>
          <w:highlight w:val="none"/>
        </w:rPr>
        <w:t xml:space="preserve">   </w:t>
      </w:r>
      <w:r>
        <w:rPr>
          <w:rFonts w:hint="eastAsia"/>
          <w:color w:val="auto"/>
          <w:highlight w:val="none"/>
          <w:lang w:eastAsia="zh-CN"/>
        </w:rPr>
        <w:t>乡财政所所长</w:t>
      </w:r>
    </w:p>
    <w:p w14:paraId="4E031500">
      <w:pPr>
        <w:pStyle w:val="52"/>
        <w:spacing w:line="560" w:lineRule="exact"/>
        <w:ind w:left="3" w:right="3" w:firstLine="560"/>
        <w:rPr>
          <w:color w:val="auto"/>
          <w:highlight w:val="none"/>
        </w:rPr>
      </w:pPr>
      <w:r>
        <w:rPr>
          <w:rFonts w:hint="eastAsia"/>
          <w:color w:val="auto"/>
          <w:highlight w:val="none"/>
        </w:rPr>
        <w:t>办公室负责项目的计划制定、实施，督查、指导相关单位共同做好项目管理工作。切实把该项目作为</w:t>
      </w:r>
      <w:r>
        <w:rPr>
          <w:rFonts w:hint="eastAsia"/>
          <w:color w:val="auto"/>
          <w:highlight w:val="none"/>
          <w:lang w:eastAsia="zh-CN"/>
        </w:rPr>
        <w:t>农村人居环境</w:t>
      </w:r>
      <w:r>
        <w:rPr>
          <w:rFonts w:hint="eastAsia"/>
          <w:color w:val="auto"/>
          <w:highlight w:val="none"/>
        </w:rPr>
        <w:t>建设的重要举措来抓，加强领导，明确分工，落实责任，密切配合，形成合力，推动该项目顺利实施。由</w:t>
      </w:r>
      <w:r>
        <w:rPr>
          <w:rFonts w:hint="eastAsia"/>
          <w:color w:val="auto"/>
          <w:highlight w:val="none"/>
          <w:lang w:eastAsia="zh-CN"/>
        </w:rPr>
        <w:t>于田县斯也克乡人民政府</w:t>
      </w:r>
      <w:r>
        <w:rPr>
          <w:rFonts w:hint="eastAsia"/>
          <w:color w:val="auto"/>
          <w:highlight w:val="none"/>
        </w:rPr>
        <w:t>牵头，负责整个项目的统筹安排和经费使用管理工作，实现分级管理制度。</w:t>
      </w:r>
    </w:p>
    <w:p w14:paraId="63882D61">
      <w:pPr>
        <w:pStyle w:val="33"/>
        <w:spacing w:before="0" w:beforeLines="0"/>
        <w:rPr>
          <w:color w:val="auto"/>
          <w:highlight w:val="none"/>
        </w:rPr>
      </w:pPr>
      <w:r>
        <w:rPr>
          <w:rFonts w:hint="eastAsia"/>
          <w:color w:val="auto"/>
          <w:highlight w:val="none"/>
        </w:rPr>
        <w:t>2.组织实施</w:t>
      </w:r>
    </w:p>
    <w:p w14:paraId="4A662137">
      <w:pPr>
        <w:pStyle w:val="52"/>
        <w:spacing w:line="560" w:lineRule="exact"/>
        <w:ind w:left="3" w:right="3" w:firstLine="560"/>
        <w:rPr>
          <w:color w:val="auto"/>
          <w:highlight w:val="none"/>
        </w:rPr>
      </w:pPr>
      <w:r>
        <w:rPr>
          <w:color w:val="auto"/>
          <w:highlight w:val="none"/>
        </w:rPr>
        <w:t>成立绩效自评工作组后，经评价组通过实地调研等方式，采用综合分析法对项目的决策、管理、绩效进行的综合评价分析。</w:t>
      </w:r>
    </w:p>
    <w:p w14:paraId="626D430D">
      <w:pPr>
        <w:pStyle w:val="33"/>
        <w:spacing w:before="0" w:beforeLines="0"/>
        <w:rPr>
          <w:color w:val="auto"/>
          <w:highlight w:val="none"/>
        </w:rPr>
      </w:pPr>
      <w:r>
        <w:rPr>
          <w:rFonts w:hint="eastAsia"/>
          <w:color w:val="auto"/>
          <w:highlight w:val="none"/>
        </w:rPr>
        <w:t>3.分析评价。</w:t>
      </w:r>
    </w:p>
    <w:p w14:paraId="60DE9728">
      <w:pPr>
        <w:pStyle w:val="52"/>
        <w:spacing w:line="560" w:lineRule="exact"/>
        <w:ind w:left="3" w:right="3" w:firstLine="560"/>
        <w:rPr>
          <w:color w:val="auto"/>
          <w:highlight w:val="none"/>
        </w:rPr>
      </w:pPr>
      <w:r>
        <w:rPr>
          <w:color w:val="auto"/>
          <w:highlight w:val="none"/>
        </w:rPr>
        <w:t>首先按照指标体系进行定量、定性分析。其次开展量化打分、综合评价工作，形成初步评价结论。最后归纳整体项目情况与存在问题，撰写绩效自评报告。</w:t>
      </w:r>
    </w:p>
    <w:p w14:paraId="43BE3330">
      <w:pPr>
        <w:pStyle w:val="52"/>
        <w:spacing w:line="560" w:lineRule="exact"/>
        <w:ind w:left="3" w:right="3" w:firstLine="560"/>
        <w:rPr>
          <w:color w:val="auto"/>
          <w:highlight w:val="none"/>
        </w:rPr>
      </w:pPr>
      <w:r>
        <w:rPr>
          <w:color w:val="auto"/>
          <w:highlight w:val="none"/>
        </w:rPr>
        <w:t>（1）绩效自评指标体系</w:t>
      </w:r>
    </w:p>
    <w:p w14:paraId="293A4950">
      <w:pPr>
        <w:pStyle w:val="52"/>
        <w:spacing w:line="560" w:lineRule="exact"/>
        <w:ind w:left="3" w:right="3" w:firstLine="560"/>
        <w:rPr>
          <w:color w:val="auto"/>
          <w:highlight w:val="none"/>
        </w:rPr>
      </w:pPr>
      <w:r>
        <w:rPr>
          <w:color w:val="auto"/>
          <w:highlight w:val="none"/>
        </w:rPr>
        <w:t>按照《自治区财政专项扶贫资金绩效管理操作指南》（新财预〔2019〕170号）文件要求，并根据项目各项指标重要程度确定二级指标的分值，并对核心指标赋予更高的权重。其中：数量指标</w:t>
      </w:r>
      <w:r>
        <w:rPr>
          <w:rFonts w:hint="eastAsia"/>
          <w:color w:val="auto"/>
          <w:highlight w:val="none"/>
          <w:lang w:val="en-US" w:eastAsia="zh-CN"/>
        </w:rPr>
        <w:t>36</w:t>
      </w:r>
      <w:r>
        <w:rPr>
          <w:color w:val="auto"/>
          <w:highlight w:val="none"/>
        </w:rPr>
        <w:t>分、质量指标</w:t>
      </w:r>
      <w:r>
        <w:rPr>
          <w:rFonts w:hint="eastAsia"/>
          <w:color w:val="auto"/>
          <w:highlight w:val="none"/>
          <w:lang w:val="en-US" w:eastAsia="zh-CN"/>
        </w:rPr>
        <w:t>2</w:t>
      </w:r>
      <w:r>
        <w:rPr>
          <w:color w:val="auto"/>
          <w:highlight w:val="none"/>
        </w:rPr>
        <w:t>分，时效指标</w:t>
      </w:r>
      <w:r>
        <w:rPr>
          <w:rFonts w:hint="eastAsia"/>
          <w:color w:val="auto"/>
          <w:highlight w:val="none"/>
          <w:lang w:val="en-US" w:eastAsia="zh-CN"/>
        </w:rPr>
        <w:t>4</w:t>
      </w:r>
      <w:r>
        <w:rPr>
          <w:color w:val="auto"/>
          <w:highlight w:val="none"/>
        </w:rPr>
        <w:t>分、成本指标</w:t>
      </w:r>
      <w:r>
        <w:rPr>
          <w:rFonts w:hint="eastAsia"/>
          <w:color w:val="auto"/>
          <w:highlight w:val="none"/>
          <w:lang w:val="en-US" w:eastAsia="zh-CN"/>
        </w:rPr>
        <w:t>8</w:t>
      </w:r>
      <w:r>
        <w:rPr>
          <w:color w:val="auto"/>
          <w:highlight w:val="none"/>
        </w:rPr>
        <w:t>分、经济效益指标</w:t>
      </w:r>
      <w:r>
        <w:rPr>
          <w:rFonts w:hint="eastAsia"/>
          <w:color w:val="auto"/>
          <w:highlight w:val="none"/>
          <w:lang w:val="en-US" w:eastAsia="zh-CN"/>
        </w:rPr>
        <w:t>1</w:t>
      </w:r>
      <w:r>
        <w:rPr>
          <w:color w:val="auto"/>
          <w:highlight w:val="none"/>
        </w:rPr>
        <w:t>0分、社会效益指标1</w:t>
      </w:r>
      <w:r>
        <w:rPr>
          <w:rFonts w:hint="eastAsia"/>
          <w:color w:val="auto"/>
          <w:highlight w:val="none"/>
          <w:lang w:val="en-US" w:eastAsia="zh-CN"/>
        </w:rPr>
        <w:t>0</w:t>
      </w:r>
      <w:r>
        <w:rPr>
          <w:color w:val="auto"/>
          <w:highlight w:val="none"/>
        </w:rPr>
        <w:t>分、</w:t>
      </w:r>
      <w:r>
        <w:rPr>
          <w:rFonts w:hint="eastAsia"/>
          <w:color w:val="auto"/>
          <w:highlight w:val="none"/>
        </w:rPr>
        <w:t>生态效益</w:t>
      </w:r>
      <w:r>
        <w:rPr>
          <w:color w:val="auto"/>
          <w:highlight w:val="none"/>
        </w:rPr>
        <w:t>指标</w:t>
      </w:r>
      <w:r>
        <w:rPr>
          <w:rFonts w:hint="eastAsia"/>
          <w:color w:val="auto"/>
          <w:highlight w:val="none"/>
          <w:lang w:val="en-US" w:eastAsia="zh-CN"/>
        </w:rPr>
        <w:t>0</w:t>
      </w:r>
      <w:r>
        <w:rPr>
          <w:color w:val="auto"/>
          <w:highlight w:val="none"/>
        </w:rPr>
        <w:t>分、可持续影响指标</w:t>
      </w:r>
      <w:r>
        <w:rPr>
          <w:rFonts w:hint="eastAsia"/>
          <w:color w:val="auto"/>
          <w:highlight w:val="none"/>
          <w:lang w:val="en-US" w:eastAsia="zh-CN"/>
        </w:rPr>
        <w:t>10</w:t>
      </w:r>
      <w:r>
        <w:rPr>
          <w:color w:val="auto"/>
          <w:highlight w:val="none"/>
        </w:rPr>
        <w:t>分、满意度指标10分、预算资金执行率10分，满分100分。</w:t>
      </w:r>
    </w:p>
    <w:p w14:paraId="1E8D2167">
      <w:pPr>
        <w:pStyle w:val="52"/>
        <w:spacing w:line="560" w:lineRule="exact"/>
        <w:ind w:left="3" w:right="3" w:firstLine="560"/>
        <w:rPr>
          <w:color w:val="auto"/>
          <w:highlight w:val="none"/>
        </w:rPr>
      </w:pPr>
      <w:r>
        <w:rPr>
          <w:color w:val="auto"/>
          <w:highlight w:val="none"/>
        </w:rPr>
        <w:t>（2）绩效自评方法</w:t>
      </w:r>
    </w:p>
    <w:p w14:paraId="64B0E939">
      <w:pPr>
        <w:pStyle w:val="52"/>
        <w:spacing w:line="560" w:lineRule="exact"/>
        <w:ind w:left="3" w:right="3" w:firstLine="560"/>
        <w:rPr>
          <w:color w:val="auto"/>
          <w:highlight w:val="none"/>
        </w:rPr>
      </w:pPr>
      <w:r>
        <w:rPr>
          <w:color w:val="auto"/>
          <w:highlight w:val="none"/>
        </w:rPr>
        <w:t>本次绩效自评采用比较法和综合分析法对项目资金的使用管理、项目产出、综合效益等进行评价。</w:t>
      </w:r>
    </w:p>
    <w:p w14:paraId="5715B9B2">
      <w:pPr>
        <w:pStyle w:val="52"/>
        <w:spacing w:line="560" w:lineRule="exact"/>
        <w:ind w:left="3" w:right="3" w:firstLine="560"/>
        <w:rPr>
          <w:color w:val="auto"/>
          <w:highlight w:val="none"/>
        </w:rPr>
      </w:pPr>
      <w:r>
        <w:rPr>
          <w:color w:val="auto"/>
          <w:highlight w:val="none"/>
        </w:rPr>
        <w:t>（3）绩效自评标准</w:t>
      </w:r>
    </w:p>
    <w:p w14:paraId="256ED7E6">
      <w:pPr>
        <w:pStyle w:val="52"/>
        <w:spacing w:line="560" w:lineRule="exact"/>
        <w:ind w:left="3" w:right="3" w:firstLine="560"/>
        <w:rPr>
          <w:color w:val="auto"/>
          <w:highlight w:val="none"/>
        </w:rPr>
      </w:pPr>
      <w:r>
        <w:rPr>
          <w:color w:val="auto"/>
          <w:highlight w:val="none"/>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685CBC49">
      <w:pPr>
        <w:pStyle w:val="52"/>
        <w:spacing w:line="560" w:lineRule="exact"/>
        <w:ind w:left="3" w:right="3" w:firstLine="560"/>
        <w:rPr>
          <w:color w:val="auto"/>
          <w:highlight w:val="none"/>
        </w:rPr>
      </w:pPr>
      <w:r>
        <w:rPr>
          <w:color w:val="auto"/>
          <w:highlight w:val="none"/>
        </w:rPr>
        <w:t>（4）绩效自评等级</w:t>
      </w:r>
    </w:p>
    <w:p w14:paraId="5CBCFEAD">
      <w:pPr>
        <w:pStyle w:val="52"/>
        <w:spacing w:line="560" w:lineRule="exact"/>
        <w:ind w:left="3" w:right="3" w:firstLine="560"/>
        <w:rPr>
          <w:color w:val="auto"/>
          <w:highlight w:val="none"/>
        </w:rPr>
      </w:pPr>
      <w:r>
        <w:rPr>
          <w:color w:val="auto"/>
          <w:highlight w:val="none"/>
        </w:rPr>
        <w:t>绩效自评总分值100分，根据评分结果，90（含）-100分为优、80（含）-90分为良、60（含）-80分为中、60分以下为差。</w:t>
      </w:r>
    </w:p>
    <w:p w14:paraId="237EF8CD">
      <w:pPr>
        <w:pStyle w:val="29"/>
        <w:spacing w:before="120"/>
        <w:ind w:leftChars="0" w:right="3" w:firstLine="562" w:firstLineChars="200"/>
        <w:rPr>
          <w:color w:val="auto"/>
          <w:highlight w:val="none"/>
        </w:rPr>
      </w:pPr>
      <w:r>
        <w:rPr>
          <w:rFonts w:hint="eastAsia"/>
          <w:color w:val="auto"/>
          <w:highlight w:val="none"/>
        </w:rPr>
        <w:t>三、绩效目标自评完成情况分析</w:t>
      </w:r>
    </w:p>
    <w:p w14:paraId="12DE1389">
      <w:pPr>
        <w:spacing w:line="56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（一）资金投入情况分析</w:t>
      </w:r>
    </w:p>
    <w:p w14:paraId="02CDC343">
      <w:pPr>
        <w:pStyle w:val="33"/>
        <w:rPr>
          <w:color w:val="auto"/>
          <w:highlight w:val="none"/>
        </w:rPr>
      </w:pPr>
      <w:r>
        <w:rPr>
          <w:rFonts w:hint="eastAsia"/>
          <w:color w:val="auto"/>
          <w:highlight w:val="none"/>
        </w:rPr>
        <w:t>1.项目资金到位情况分析</w:t>
      </w:r>
    </w:p>
    <w:p w14:paraId="16D66EE6">
      <w:pPr>
        <w:pStyle w:val="52"/>
        <w:spacing w:line="560" w:lineRule="exact"/>
        <w:ind w:left="0" w:leftChars="0" w:right="3" w:firstLine="560"/>
        <w:rPr>
          <w:color w:val="auto"/>
          <w:highlight w:val="none"/>
        </w:rPr>
      </w:pPr>
      <w:r>
        <w:rPr>
          <w:rFonts w:hint="eastAsia"/>
          <w:color w:val="auto"/>
          <w:highlight w:val="none"/>
          <w:lang w:eastAsia="zh-CN"/>
        </w:rPr>
        <w:t>于田县斯也克乡夜市改造项目</w:t>
      </w:r>
      <w:r>
        <w:rPr>
          <w:rFonts w:hint="eastAsia"/>
          <w:color w:val="auto"/>
          <w:highlight w:val="none"/>
        </w:rPr>
        <w:t>预算安排总额为</w:t>
      </w:r>
      <w:r>
        <w:rPr>
          <w:rFonts w:hint="eastAsia"/>
          <w:color w:val="auto"/>
          <w:highlight w:val="none"/>
          <w:lang w:val="en-US" w:eastAsia="zh-CN"/>
        </w:rPr>
        <w:t>300</w:t>
      </w:r>
      <w:r>
        <w:rPr>
          <w:rFonts w:hint="eastAsia"/>
          <w:color w:val="auto"/>
          <w:highlight w:val="none"/>
        </w:rPr>
        <w:t>万元，其中：</w:t>
      </w:r>
      <w:r>
        <w:rPr>
          <w:rFonts w:hint="eastAsia"/>
          <w:color w:val="auto"/>
          <w:highlight w:val="none"/>
          <w:lang w:val="en-US" w:eastAsia="zh-CN"/>
        </w:rPr>
        <w:t>乡村振兴衔接</w:t>
      </w:r>
      <w:r>
        <w:rPr>
          <w:rFonts w:hint="eastAsia"/>
          <w:color w:val="auto"/>
          <w:highlight w:val="none"/>
        </w:rPr>
        <w:t>资金</w:t>
      </w:r>
      <w:r>
        <w:rPr>
          <w:rFonts w:hint="eastAsia" w:cs="Times New Roman"/>
          <w:color w:val="auto"/>
          <w:highlight w:val="none"/>
          <w:lang w:val="en-US" w:eastAsia="zh-CN"/>
        </w:rPr>
        <w:t>300</w:t>
      </w:r>
      <w:r>
        <w:rPr>
          <w:rFonts w:hint="eastAsia"/>
          <w:color w:val="auto"/>
          <w:highlight w:val="none"/>
        </w:rPr>
        <w:t>万元。预算资金到位率为</w:t>
      </w:r>
      <w:r>
        <w:rPr>
          <w:rFonts w:hint="eastAsia"/>
          <w:color w:val="auto"/>
          <w:highlight w:val="none"/>
          <w:lang w:val="en-US" w:eastAsia="zh-CN"/>
        </w:rPr>
        <w:t>100</w:t>
      </w:r>
      <w:r>
        <w:rPr>
          <w:rFonts w:hint="eastAsia"/>
          <w:color w:val="auto"/>
          <w:highlight w:val="none"/>
        </w:rPr>
        <w:t>%。</w:t>
      </w:r>
    </w:p>
    <w:p w14:paraId="46C3D081">
      <w:pPr>
        <w:pStyle w:val="52"/>
        <w:spacing w:line="560" w:lineRule="exact"/>
        <w:ind w:left="0" w:leftChars="0" w:right="3" w:firstLine="562"/>
        <w:rPr>
          <w:b/>
          <w:color w:val="auto"/>
          <w:highlight w:val="none"/>
        </w:rPr>
      </w:pPr>
      <w:r>
        <w:rPr>
          <w:rFonts w:hint="eastAsia"/>
          <w:b/>
          <w:color w:val="auto"/>
          <w:highlight w:val="none"/>
        </w:rPr>
        <w:t>2.项目资金执行情况分析</w:t>
      </w:r>
    </w:p>
    <w:p w14:paraId="15459348">
      <w:pPr>
        <w:pStyle w:val="52"/>
        <w:spacing w:line="560" w:lineRule="exact"/>
        <w:ind w:left="0" w:leftChars="0" w:right="3" w:firstLine="560"/>
        <w:rPr>
          <w:color w:val="auto"/>
          <w:highlight w:val="none"/>
        </w:rPr>
      </w:pPr>
      <w:r>
        <w:rPr>
          <w:rFonts w:hint="eastAsia"/>
          <w:color w:val="auto"/>
          <w:highlight w:val="none"/>
          <w:lang w:eastAsia="zh-CN"/>
        </w:rPr>
        <w:t>于田县斯也克乡夜市改造项目</w:t>
      </w:r>
      <w:r>
        <w:rPr>
          <w:rFonts w:hint="eastAsia"/>
          <w:color w:val="auto"/>
          <w:highlight w:val="none"/>
        </w:rPr>
        <w:t>预算投入资金</w:t>
      </w:r>
      <w:r>
        <w:rPr>
          <w:rFonts w:hint="eastAsia"/>
          <w:color w:val="auto"/>
          <w:highlight w:val="none"/>
          <w:lang w:val="en-US" w:eastAsia="zh-CN"/>
        </w:rPr>
        <w:t>300</w:t>
      </w:r>
      <w:r>
        <w:rPr>
          <w:rFonts w:hint="eastAsia"/>
          <w:color w:val="auto"/>
          <w:highlight w:val="none"/>
        </w:rPr>
        <w:t>万元，实际合同价共支付</w:t>
      </w:r>
      <w:r>
        <w:rPr>
          <w:rFonts w:hint="eastAsia"/>
          <w:color w:val="auto"/>
          <w:highlight w:val="none"/>
          <w:lang w:val="en-US" w:eastAsia="zh-CN"/>
        </w:rPr>
        <w:t>192.31</w:t>
      </w:r>
      <w:r>
        <w:rPr>
          <w:rFonts w:hint="eastAsia"/>
          <w:color w:val="auto"/>
          <w:highlight w:val="none"/>
        </w:rPr>
        <w:t>万元，其中：建筑投资</w:t>
      </w:r>
      <w:r>
        <w:rPr>
          <w:rFonts w:hint="eastAsia"/>
          <w:color w:val="auto"/>
          <w:highlight w:val="none"/>
          <w:lang w:val="en-US" w:eastAsia="zh-CN"/>
        </w:rPr>
        <w:t>185.04</w:t>
      </w:r>
      <w:r>
        <w:rPr>
          <w:rFonts w:hint="eastAsia"/>
          <w:color w:val="auto"/>
          <w:highlight w:val="none"/>
        </w:rPr>
        <w:t>万元</w:t>
      </w:r>
      <w:r>
        <w:rPr>
          <w:rFonts w:hint="eastAsia"/>
          <w:color w:val="auto"/>
          <w:highlight w:val="none"/>
          <w:lang w:val="en-US" w:eastAsia="zh-CN"/>
        </w:rPr>
        <w:t>,</w:t>
      </w:r>
      <w:r>
        <w:rPr>
          <w:rFonts w:hint="eastAsia"/>
          <w:color w:val="auto"/>
          <w:highlight w:val="none"/>
        </w:rPr>
        <w:t>其他待摊投资</w:t>
      </w:r>
      <w:r>
        <w:rPr>
          <w:rFonts w:hint="eastAsia"/>
          <w:color w:val="auto"/>
          <w:highlight w:val="none"/>
          <w:lang w:val="en-US" w:eastAsia="zh-CN"/>
        </w:rPr>
        <w:t>7.27</w:t>
      </w:r>
      <w:r>
        <w:rPr>
          <w:rFonts w:hint="eastAsia"/>
          <w:color w:val="auto"/>
          <w:highlight w:val="none"/>
        </w:rPr>
        <w:t>万元。</w:t>
      </w:r>
      <w:r>
        <w:rPr>
          <w:rFonts w:hint="eastAsia"/>
          <w:color w:val="auto"/>
          <w:highlight w:val="none"/>
          <w:lang w:val="en-US" w:eastAsia="zh-CN"/>
        </w:rPr>
        <w:t>截止2024年12月31日，</w:t>
      </w:r>
      <w:r>
        <w:rPr>
          <w:rFonts w:hint="eastAsia"/>
          <w:color w:val="auto"/>
          <w:highlight w:val="none"/>
        </w:rPr>
        <w:t>实际支出</w:t>
      </w:r>
      <w:r>
        <w:rPr>
          <w:rFonts w:hint="eastAsia"/>
          <w:color w:val="auto"/>
          <w:highlight w:val="none"/>
          <w:lang w:val="en-US" w:eastAsia="zh-CN"/>
        </w:rPr>
        <w:t>192.31万元，尚有应付款为22.92万元</w:t>
      </w:r>
      <w:r>
        <w:rPr>
          <w:rFonts w:hint="eastAsia"/>
          <w:color w:val="auto"/>
          <w:highlight w:val="none"/>
        </w:rPr>
        <w:t>，预算资金执行率</w:t>
      </w:r>
      <w:r>
        <w:rPr>
          <w:rFonts w:hint="eastAsia"/>
          <w:color w:val="auto"/>
          <w:highlight w:val="none"/>
          <w:lang w:val="en-US" w:eastAsia="zh-CN"/>
        </w:rPr>
        <w:t>64.1</w:t>
      </w:r>
      <w:r>
        <w:rPr>
          <w:rFonts w:hint="eastAsia"/>
          <w:color w:val="auto"/>
          <w:highlight w:val="none"/>
        </w:rPr>
        <w:t>0%。</w:t>
      </w:r>
    </w:p>
    <w:p w14:paraId="54C8AB92">
      <w:pPr>
        <w:pStyle w:val="33"/>
        <w:rPr>
          <w:color w:val="auto"/>
          <w:highlight w:val="none"/>
        </w:rPr>
      </w:pPr>
      <w:r>
        <w:rPr>
          <w:rFonts w:hint="eastAsia"/>
          <w:color w:val="auto"/>
          <w:highlight w:val="none"/>
        </w:rPr>
        <w:t>3.项目资金管理情况分析</w:t>
      </w:r>
    </w:p>
    <w:p w14:paraId="1032D33A">
      <w:pPr>
        <w:pStyle w:val="52"/>
        <w:spacing w:line="560" w:lineRule="exact"/>
        <w:ind w:left="0" w:leftChars="0" w:right="3" w:firstLine="560"/>
        <w:rPr>
          <w:color w:val="auto"/>
          <w:highlight w:val="none"/>
        </w:rPr>
      </w:pPr>
      <w:r>
        <w:rPr>
          <w:color w:val="auto"/>
          <w:highlight w:val="none"/>
        </w:rP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7700CD7A">
      <w:pPr>
        <w:pStyle w:val="52"/>
        <w:spacing w:line="560" w:lineRule="exact"/>
        <w:ind w:leftChars="0" w:right="3" w:firstLine="562"/>
        <w:rPr>
          <w:b/>
          <w:color w:val="auto"/>
          <w:highlight w:val="none"/>
        </w:rPr>
      </w:pPr>
      <w:r>
        <w:rPr>
          <w:rFonts w:hint="eastAsia"/>
          <w:b/>
          <w:color w:val="auto"/>
          <w:highlight w:val="none"/>
        </w:rPr>
        <w:t>4.项目管理情况分析</w:t>
      </w:r>
    </w:p>
    <w:p w14:paraId="39A81678">
      <w:pPr>
        <w:pStyle w:val="52"/>
        <w:spacing w:line="580" w:lineRule="exact"/>
        <w:ind w:left="0" w:leftChars="0" w:right="3" w:firstLine="560"/>
        <w:rPr>
          <w:color w:val="auto"/>
          <w:highlight w:val="none"/>
        </w:rPr>
      </w:pPr>
      <w:r>
        <w:rPr>
          <w:rFonts w:hint="eastAsia"/>
          <w:color w:val="auto"/>
          <w:highlight w:val="none"/>
        </w:rPr>
        <w:t>在项目实施中，</w:t>
      </w:r>
      <w:r>
        <w:rPr>
          <w:rFonts w:hint="eastAsia"/>
          <w:color w:val="auto"/>
          <w:highlight w:val="none"/>
          <w:lang w:eastAsia="zh-CN"/>
        </w:rPr>
        <w:t>于田县斯也克乡人民政府</w:t>
      </w:r>
      <w:r>
        <w:rPr>
          <w:rFonts w:hint="eastAsia"/>
          <w:color w:val="auto"/>
          <w:highlight w:val="none"/>
        </w:rPr>
        <w:t>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1628836A">
      <w:pPr>
        <w:spacing w:line="58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（二）绩效目标完成情况分析</w:t>
      </w:r>
    </w:p>
    <w:p w14:paraId="22E4C513">
      <w:pPr>
        <w:pStyle w:val="52"/>
        <w:spacing w:line="580" w:lineRule="exact"/>
        <w:ind w:left="3" w:right="3" w:firstLine="560"/>
        <w:rPr>
          <w:rFonts w:hint="eastAsia" w:eastAsia="仿宋_GB2312"/>
          <w:color w:val="auto"/>
          <w:highlight w:val="none"/>
          <w:lang w:val="en-US" w:eastAsia="zh-CN"/>
        </w:rPr>
      </w:pPr>
      <w:r>
        <w:rPr>
          <w:rFonts w:hint="eastAsia"/>
          <w:color w:val="auto"/>
          <w:highlight w:val="none"/>
          <w:lang w:val="en-US" w:eastAsia="zh-CN"/>
        </w:rPr>
        <w:t>截止12月底，</w:t>
      </w:r>
      <w:r>
        <w:rPr>
          <w:rFonts w:hint="eastAsia"/>
          <w:color w:val="auto"/>
          <w:highlight w:val="none"/>
        </w:rPr>
        <w:t>项目已完成拆除工程面积1500平方米，采购餐车数量56套，场地平整、地面硬化面积3999.64平方米，新建门数量2个，围墙长度116.59米，夜市钢架棚面积1726.3平方米。项目的实施，实现当地经济发展，有效并长期确保当地弱劳动力人群增收</w:t>
      </w:r>
      <w:r>
        <w:rPr>
          <w:rFonts w:hint="eastAsia"/>
          <w:color w:val="auto"/>
          <w:highlight w:val="none"/>
          <w:lang w:val="en-US" w:eastAsia="zh-CN"/>
        </w:rPr>
        <w:t>。</w:t>
      </w:r>
    </w:p>
    <w:p w14:paraId="1C75F7F6">
      <w:pPr>
        <w:pStyle w:val="52"/>
        <w:ind w:left="0" w:leftChars="0" w:right="0" w:rightChars="0" w:firstLine="560"/>
        <w:rPr>
          <w:color w:val="auto"/>
          <w:highlight w:val="none"/>
        </w:rPr>
      </w:pPr>
      <w:r>
        <w:rPr>
          <w:color w:val="auto"/>
          <w:highlight w:val="none"/>
        </w:rPr>
        <w:t>本</w:t>
      </w:r>
      <w:r>
        <w:rPr>
          <w:rFonts w:hint="eastAsia"/>
          <w:color w:val="auto"/>
          <w:highlight w:val="none"/>
        </w:rPr>
        <w:t>项目共设置</w:t>
      </w:r>
      <w:r>
        <w:rPr>
          <w:rFonts w:hint="eastAsia" w:ascii="仿宋_GB2312"/>
          <w:color w:val="auto"/>
          <w:szCs w:val="32"/>
          <w:highlight w:val="none"/>
        </w:rPr>
        <w:t>本项目共设置一级指标3个，二级指标</w:t>
      </w:r>
      <w:r>
        <w:rPr>
          <w:rFonts w:hint="eastAsia" w:ascii="仿宋_GB2312"/>
          <w:color w:val="auto"/>
          <w:szCs w:val="32"/>
          <w:highlight w:val="none"/>
          <w:lang w:val="en-US" w:eastAsia="zh-CN"/>
        </w:rPr>
        <w:t>8</w:t>
      </w:r>
      <w:r>
        <w:rPr>
          <w:rFonts w:hint="eastAsia" w:ascii="仿宋_GB2312"/>
          <w:color w:val="auto"/>
          <w:szCs w:val="32"/>
          <w:highlight w:val="none"/>
        </w:rPr>
        <w:t>个，三级指标1</w:t>
      </w:r>
      <w:r>
        <w:rPr>
          <w:rFonts w:hint="eastAsia" w:ascii="仿宋_GB2312"/>
          <w:color w:val="auto"/>
          <w:szCs w:val="32"/>
          <w:highlight w:val="none"/>
          <w:lang w:val="en-US" w:eastAsia="zh-CN"/>
        </w:rPr>
        <w:t>8</w:t>
      </w:r>
      <w:r>
        <w:rPr>
          <w:rFonts w:hint="eastAsia" w:ascii="仿宋_GB2312"/>
          <w:color w:val="auto"/>
          <w:szCs w:val="32"/>
          <w:highlight w:val="none"/>
        </w:rPr>
        <w:t>个</w:t>
      </w:r>
      <w:r>
        <w:rPr>
          <w:rFonts w:hint="eastAsia" w:ascii="仿宋_GB2312"/>
          <w:color w:val="auto"/>
          <w:szCs w:val="32"/>
          <w:highlight w:val="none"/>
          <w:lang w:eastAsia="zh-CN"/>
        </w:rPr>
        <w:t>，</w:t>
      </w:r>
      <w:r>
        <w:rPr>
          <w:rFonts w:hint="eastAsia"/>
          <w:color w:val="auto"/>
          <w:highlight w:val="none"/>
        </w:rPr>
        <w:t>指标完成率为</w:t>
      </w:r>
      <w:r>
        <w:rPr>
          <w:rFonts w:hint="eastAsia"/>
          <w:color w:val="auto"/>
          <w:highlight w:val="none"/>
          <w:lang w:val="en-US" w:eastAsia="zh-CN"/>
        </w:rPr>
        <w:t>38.89</w:t>
      </w:r>
      <w:r>
        <w:rPr>
          <w:rFonts w:hint="eastAsia"/>
          <w:color w:val="auto"/>
          <w:highlight w:val="none"/>
        </w:rPr>
        <w:t>%，指标完成情况分析如下：</w:t>
      </w:r>
    </w:p>
    <w:p w14:paraId="73F94453">
      <w:pPr>
        <w:pStyle w:val="52"/>
        <w:ind w:left="0" w:leftChars="0" w:right="0" w:rightChars="0" w:firstLine="560"/>
        <w:rPr>
          <w:rFonts w:hint="eastAsia" w:ascii="仿宋_GB2312" w:hAnsi="Times New Roman" w:cs="Times New Roman"/>
          <w:color w:val="auto"/>
          <w:szCs w:val="32"/>
          <w:highlight w:val="none"/>
        </w:rPr>
      </w:pPr>
      <w:r>
        <w:rPr>
          <w:rFonts w:hint="eastAsia" w:ascii="仿宋_GB2312" w:hAnsi="Times New Roman" w:cs="Times New Roman"/>
          <w:color w:val="auto"/>
          <w:szCs w:val="32"/>
          <w:highlight w:val="none"/>
        </w:rPr>
        <w:t>1.产出指标完成情况分析</w:t>
      </w:r>
    </w:p>
    <w:p w14:paraId="743008B5">
      <w:pPr>
        <w:pStyle w:val="52"/>
        <w:ind w:left="0" w:leftChars="0" w:right="0" w:rightChars="0" w:firstLine="560"/>
        <w:rPr>
          <w:rFonts w:hint="eastAsia" w:ascii="仿宋_GB2312" w:hAnsi="Times New Roman" w:cs="Times New Roman"/>
          <w:color w:val="auto"/>
          <w:szCs w:val="32"/>
          <w:highlight w:val="none"/>
        </w:rPr>
      </w:pPr>
      <w:r>
        <w:rPr>
          <w:rFonts w:hint="eastAsia" w:ascii="仿宋_GB2312" w:hAnsi="Times New Roman" w:cs="Times New Roman"/>
          <w:color w:val="auto"/>
          <w:szCs w:val="32"/>
          <w:highlight w:val="none"/>
        </w:rPr>
        <w:t>1.1项目完成数量</w:t>
      </w:r>
    </w:p>
    <w:p w14:paraId="4FA39DD0">
      <w:pPr>
        <w:pStyle w:val="52"/>
        <w:ind w:left="0" w:leftChars="0" w:right="0" w:rightChars="0" w:firstLine="560"/>
        <w:rPr>
          <w:rFonts w:hint="eastAsia" w:ascii="仿宋_GB2312" w:hAnsi="Times New Roman" w:cs="Times New Roman"/>
          <w:color w:val="auto"/>
          <w:szCs w:val="32"/>
          <w:highlight w:val="none"/>
        </w:rPr>
      </w:pPr>
      <w:bookmarkStart w:id="2" w:name="OLE_LINK5"/>
      <w:r>
        <w:rPr>
          <w:rFonts w:hint="eastAsia" w:ascii="仿宋_GB2312" w:hAnsi="Times New Roman" w:cs="Times New Roman"/>
          <w:color w:val="auto"/>
          <w:szCs w:val="32"/>
          <w:highlight w:val="none"/>
        </w:rPr>
        <w:t>“</w:t>
      </w:r>
      <w:r>
        <w:rPr>
          <w:rFonts w:hint="eastAsia" w:ascii="仿宋_GB2312" w:hAnsi="Times New Roman" w:cs="Times New Roman"/>
          <w:color w:val="auto"/>
          <w:szCs w:val="32"/>
          <w:highlight w:val="none"/>
          <w:lang w:eastAsia="zh-CN"/>
        </w:rPr>
        <w:t>新建商铺数量</w:t>
      </w:r>
      <w:r>
        <w:rPr>
          <w:rFonts w:hint="eastAsia" w:ascii="仿宋_GB2312" w:hAnsi="Times New Roman" w:cs="Times New Roman"/>
          <w:color w:val="auto"/>
          <w:szCs w:val="32"/>
          <w:highlight w:val="none"/>
        </w:rPr>
        <w:t>”指标，预期指标值为</w:t>
      </w:r>
      <w:r>
        <w:rPr>
          <w:rFonts w:hint="eastAsia" w:ascii="仿宋_GB2312" w:cs="Times New Roman"/>
          <w:color w:val="auto"/>
          <w:szCs w:val="32"/>
          <w:highlight w:val="none"/>
          <w:lang w:val="en-US" w:eastAsia="zh-CN"/>
        </w:rPr>
        <w:t>等于</w:t>
      </w:r>
      <w:r>
        <w:rPr>
          <w:rFonts w:hint="eastAsia" w:ascii="仿宋_GB2312" w:hAnsi="Times New Roman" w:cs="Times New Roman"/>
          <w:color w:val="auto"/>
          <w:szCs w:val="32"/>
          <w:highlight w:val="none"/>
          <w:lang w:val="en-US" w:eastAsia="zh-CN"/>
        </w:rPr>
        <w:t>1栋</w:t>
      </w:r>
      <w:r>
        <w:rPr>
          <w:rFonts w:hint="eastAsia" w:ascii="仿宋_GB2312" w:hAnsi="Times New Roman" w:cs="Times New Roman"/>
          <w:color w:val="auto"/>
          <w:szCs w:val="32"/>
          <w:highlight w:val="none"/>
        </w:rPr>
        <w:t>,全年实际值为</w:t>
      </w:r>
      <w:r>
        <w:rPr>
          <w:rFonts w:hint="eastAsia" w:ascii="仿宋_GB2312" w:cs="Times New Roman"/>
          <w:color w:val="auto"/>
          <w:szCs w:val="32"/>
          <w:highlight w:val="none"/>
          <w:lang w:val="en-US" w:eastAsia="zh-CN"/>
        </w:rPr>
        <w:t>0</w:t>
      </w:r>
      <w:r>
        <w:rPr>
          <w:rFonts w:hint="eastAsia" w:ascii="仿宋_GB2312" w:hAnsi="Times New Roman" w:cs="Times New Roman"/>
          <w:color w:val="auto"/>
          <w:szCs w:val="32"/>
          <w:highlight w:val="none"/>
        </w:rPr>
        <w:t>，指标完成率为0%。所设分值</w:t>
      </w:r>
      <w:r>
        <w:rPr>
          <w:rFonts w:hint="eastAsia" w:ascii="仿宋_GB2312" w:cs="Times New Roman"/>
          <w:color w:val="auto"/>
          <w:szCs w:val="32"/>
          <w:highlight w:val="none"/>
          <w:lang w:val="en-US" w:eastAsia="zh-CN"/>
        </w:rPr>
        <w:t>4</w:t>
      </w:r>
      <w:r>
        <w:rPr>
          <w:rFonts w:hint="eastAsia" w:ascii="仿宋_GB2312" w:hAnsi="Times New Roman" w:cs="Times New Roman"/>
          <w:color w:val="auto"/>
          <w:szCs w:val="32"/>
          <w:highlight w:val="none"/>
        </w:rPr>
        <w:t>分，实际得分</w:t>
      </w:r>
      <w:r>
        <w:rPr>
          <w:rFonts w:hint="eastAsia" w:ascii="仿宋_GB2312" w:cs="Times New Roman"/>
          <w:color w:val="auto"/>
          <w:szCs w:val="32"/>
          <w:highlight w:val="none"/>
          <w:lang w:val="en-US" w:eastAsia="zh-CN"/>
        </w:rPr>
        <w:t>0</w:t>
      </w:r>
      <w:r>
        <w:rPr>
          <w:rFonts w:hint="eastAsia" w:ascii="仿宋_GB2312" w:hAnsi="Times New Roman" w:cs="Times New Roman"/>
          <w:color w:val="auto"/>
          <w:szCs w:val="32"/>
          <w:highlight w:val="none"/>
        </w:rPr>
        <w:t>分。偏差原因：项目由于用地手续未审批通过，暂未实施。改进措施：加强项目管理</w:t>
      </w:r>
      <w:bookmarkEnd w:id="2"/>
      <w:r>
        <w:rPr>
          <w:rFonts w:hint="eastAsia" w:ascii="仿宋_GB2312" w:hAnsi="Times New Roman" w:cs="Times New Roman"/>
          <w:color w:val="auto"/>
          <w:szCs w:val="32"/>
          <w:highlight w:val="none"/>
        </w:rPr>
        <w:t xml:space="preserve">。              </w:t>
      </w:r>
    </w:p>
    <w:p w14:paraId="61D5F34A">
      <w:pPr>
        <w:pStyle w:val="52"/>
        <w:ind w:left="0" w:leftChars="0" w:right="0" w:rightChars="0" w:firstLine="560"/>
        <w:rPr>
          <w:rFonts w:hint="eastAsia" w:ascii="仿宋_GB2312" w:hAnsi="Times New Roman" w:cs="Times New Roman"/>
          <w:color w:val="auto"/>
          <w:szCs w:val="32"/>
          <w:highlight w:val="none"/>
        </w:rPr>
      </w:pPr>
      <w:bookmarkStart w:id="3" w:name="OLE_LINK8"/>
      <w:r>
        <w:rPr>
          <w:rFonts w:hint="eastAsia" w:ascii="仿宋_GB2312" w:hAnsi="Times New Roman" w:cs="Times New Roman"/>
          <w:color w:val="auto"/>
          <w:szCs w:val="32"/>
          <w:highlight w:val="none"/>
        </w:rPr>
        <w:t>“</w:t>
      </w:r>
      <w:r>
        <w:rPr>
          <w:rFonts w:hint="eastAsia" w:ascii="仿宋_GB2312" w:hAnsi="Times New Roman" w:cs="Times New Roman"/>
          <w:color w:val="auto"/>
          <w:szCs w:val="32"/>
          <w:highlight w:val="none"/>
          <w:lang w:eastAsia="zh-CN"/>
        </w:rPr>
        <w:t>商铺总建筑面积</w:t>
      </w:r>
      <w:r>
        <w:rPr>
          <w:rFonts w:hint="eastAsia" w:ascii="仿宋_GB2312" w:hAnsi="Times New Roman" w:cs="Times New Roman"/>
          <w:color w:val="auto"/>
          <w:szCs w:val="32"/>
          <w:highlight w:val="none"/>
        </w:rPr>
        <w:t>”指标，预期指标值为</w:t>
      </w:r>
      <w:r>
        <w:rPr>
          <w:rFonts w:hint="eastAsia" w:ascii="仿宋_GB2312" w:cs="Times New Roman"/>
          <w:color w:val="auto"/>
          <w:szCs w:val="32"/>
          <w:highlight w:val="none"/>
          <w:lang w:val="en-US" w:eastAsia="zh-CN"/>
        </w:rPr>
        <w:t>大于等于</w:t>
      </w:r>
      <w:r>
        <w:rPr>
          <w:rFonts w:hint="eastAsia" w:ascii="仿宋_GB2312" w:hAnsi="Times New Roman" w:cs="Times New Roman"/>
          <w:color w:val="auto"/>
          <w:szCs w:val="32"/>
          <w:highlight w:val="none"/>
          <w:lang w:val="en-US" w:eastAsia="zh-CN"/>
        </w:rPr>
        <w:t>1176平方米</w:t>
      </w:r>
      <w:r>
        <w:rPr>
          <w:rFonts w:hint="eastAsia" w:ascii="仿宋_GB2312" w:hAnsi="Times New Roman" w:cs="Times New Roman"/>
          <w:color w:val="auto"/>
          <w:szCs w:val="32"/>
          <w:highlight w:val="none"/>
        </w:rPr>
        <w:t>,全年实际值为</w:t>
      </w:r>
      <w:r>
        <w:rPr>
          <w:rFonts w:hint="eastAsia" w:ascii="仿宋_GB2312" w:cs="Times New Roman"/>
          <w:color w:val="auto"/>
          <w:szCs w:val="32"/>
          <w:highlight w:val="none"/>
          <w:lang w:val="en-US" w:eastAsia="zh-CN"/>
        </w:rPr>
        <w:t>0</w:t>
      </w:r>
      <w:r>
        <w:rPr>
          <w:rFonts w:hint="eastAsia" w:ascii="仿宋_GB2312" w:hAnsi="Times New Roman" w:cs="Times New Roman"/>
          <w:color w:val="auto"/>
          <w:szCs w:val="32"/>
          <w:highlight w:val="none"/>
          <w:lang w:val="en-US" w:eastAsia="zh-CN"/>
        </w:rPr>
        <w:t>平方米</w:t>
      </w:r>
      <w:r>
        <w:rPr>
          <w:rFonts w:hint="eastAsia" w:ascii="仿宋_GB2312" w:hAnsi="Times New Roman" w:cs="Times New Roman"/>
          <w:color w:val="auto"/>
          <w:szCs w:val="32"/>
          <w:highlight w:val="none"/>
        </w:rPr>
        <w:t>，指标完成率为0%。所设分值</w:t>
      </w:r>
      <w:r>
        <w:rPr>
          <w:rFonts w:hint="eastAsia" w:ascii="仿宋_GB2312" w:cs="Times New Roman"/>
          <w:color w:val="auto"/>
          <w:szCs w:val="32"/>
          <w:highlight w:val="none"/>
          <w:lang w:val="en-US" w:eastAsia="zh-CN"/>
        </w:rPr>
        <w:t>4</w:t>
      </w:r>
      <w:r>
        <w:rPr>
          <w:rFonts w:hint="eastAsia" w:ascii="仿宋_GB2312" w:hAnsi="Times New Roman" w:cs="Times New Roman"/>
          <w:color w:val="auto"/>
          <w:szCs w:val="32"/>
          <w:highlight w:val="none"/>
        </w:rPr>
        <w:t>分，实际得分</w:t>
      </w:r>
      <w:r>
        <w:rPr>
          <w:rFonts w:hint="eastAsia" w:ascii="仿宋_GB2312" w:cs="Times New Roman"/>
          <w:color w:val="auto"/>
          <w:szCs w:val="32"/>
          <w:highlight w:val="none"/>
          <w:lang w:val="en-US" w:eastAsia="zh-CN"/>
        </w:rPr>
        <w:t>0</w:t>
      </w:r>
      <w:r>
        <w:rPr>
          <w:rFonts w:hint="eastAsia" w:ascii="仿宋_GB2312" w:hAnsi="Times New Roman" w:cs="Times New Roman"/>
          <w:color w:val="auto"/>
          <w:szCs w:val="32"/>
          <w:highlight w:val="none"/>
        </w:rPr>
        <w:t>分。偏差原因：项目由于用地手续未审批通过，暂未实施。改进措施：加强项目管理。</w:t>
      </w:r>
    </w:p>
    <w:bookmarkEnd w:id="3"/>
    <w:p w14:paraId="7488A45B">
      <w:pPr>
        <w:pStyle w:val="52"/>
        <w:ind w:left="0" w:leftChars="0" w:right="0" w:rightChars="0" w:firstLine="560"/>
        <w:rPr>
          <w:rFonts w:hint="eastAsia" w:ascii="仿宋_GB2312" w:hAnsi="Times New Roman" w:cs="Times New Roman"/>
          <w:color w:val="auto"/>
          <w:szCs w:val="32"/>
          <w:highlight w:val="none"/>
        </w:rPr>
      </w:pPr>
      <w:r>
        <w:rPr>
          <w:rFonts w:hint="eastAsia" w:ascii="仿宋_GB2312" w:hAnsi="Times New Roman" w:cs="Times New Roman"/>
          <w:color w:val="auto"/>
          <w:szCs w:val="32"/>
          <w:highlight w:val="none"/>
        </w:rPr>
        <w:t>“</w:t>
      </w:r>
      <w:r>
        <w:rPr>
          <w:rFonts w:hint="eastAsia" w:ascii="仿宋_GB2312" w:hAnsi="Times New Roman" w:cs="Times New Roman"/>
          <w:color w:val="auto"/>
          <w:szCs w:val="32"/>
          <w:highlight w:val="none"/>
          <w:lang w:eastAsia="zh-CN"/>
        </w:rPr>
        <w:t>拆除工程面积</w:t>
      </w:r>
      <w:r>
        <w:rPr>
          <w:rFonts w:hint="eastAsia" w:ascii="仿宋_GB2312" w:hAnsi="Times New Roman" w:cs="Times New Roman"/>
          <w:color w:val="auto"/>
          <w:szCs w:val="32"/>
          <w:highlight w:val="none"/>
        </w:rPr>
        <w:t>”指标，预期指标值为</w:t>
      </w:r>
      <w:r>
        <w:rPr>
          <w:rFonts w:hint="eastAsia" w:ascii="仿宋_GB2312" w:cs="Times New Roman"/>
          <w:color w:val="auto"/>
          <w:szCs w:val="32"/>
          <w:highlight w:val="none"/>
          <w:lang w:val="en-US" w:eastAsia="zh-CN"/>
        </w:rPr>
        <w:t>大于等于</w:t>
      </w:r>
      <w:r>
        <w:rPr>
          <w:rFonts w:hint="eastAsia" w:ascii="仿宋_GB2312" w:hAnsi="Times New Roman" w:cs="Times New Roman"/>
          <w:color w:val="auto"/>
          <w:szCs w:val="32"/>
          <w:highlight w:val="none"/>
          <w:lang w:val="en-US" w:eastAsia="zh-CN"/>
        </w:rPr>
        <w:t>1500平方米</w:t>
      </w:r>
      <w:r>
        <w:rPr>
          <w:rFonts w:hint="eastAsia" w:ascii="仿宋_GB2312" w:hAnsi="Times New Roman" w:cs="Times New Roman"/>
          <w:color w:val="auto"/>
          <w:szCs w:val="32"/>
          <w:highlight w:val="none"/>
        </w:rPr>
        <w:t>,全年实际值为</w:t>
      </w:r>
      <w:r>
        <w:rPr>
          <w:rFonts w:hint="eastAsia" w:ascii="仿宋_GB2312" w:hAnsi="Times New Roman" w:cs="Times New Roman"/>
          <w:color w:val="auto"/>
          <w:szCs w:val="32"/>
          <w:highlight w:val="none"/>
          <w:lang w:val="en-US" w:eastAsia="zh-CN"/>
        </w:rPr>
        <w:t>1500平方米</w:t>
      </w:r>
      <w:r>
        <w:rPr>
          <w:rFonts w:hint="eastAsia" w:ascii="仿宋_GB2312" w:hAnsi="Times New Roman" w:cs="Times New Roman"/>
          <w:color w:val="auto"/>
          <w:szCs w:val="32"/>
          <w:highlight w:val="none"/>
        </w:rPr>
        <w:t>，指标完成率为100.00%。所设分值</w:t>
      </w:r>
      <w:r>
        <w:rPr>
          <w:rFonts w:hint="eastAsia" w:ascii="仿宋_GB2312" w:cs="Times New Roman"/>
          <w:color w:val="auto"/>
          <w:szCs w:val="32"/>
          <w:highlight w:val="none"/>
          <w:lang w:val="en-US" w:eastAsia="zh-CN"/>
        </w:rPr>
        <w:t>4</w:t>
      </w:r>
      <w:r>
        <w:rPr>
          <w:rFonts w:hint="eastAsia" w:ascii="仿宋_GB2312" w:hAnsi="Times New Roman" w:cs="Times New Roman"/>
          <w:color w:val="auto"/>
          <w:szCs w:val="32"/>
          <w:highlight w:val="none"/>
        </w:rPr>
        <w:t>分，实际得分</w:t>
      </w:r>
      <w:r>
        <w:rPr>
          <w:rFonts w:hint="eastAsia" w:ascii="仿宋_GB2312" w:cs="Times New Roman"/>
          <w:color w:val="auto"/>
          <w:szCs w:val="32"/>
          <w:highlight w:val="none"/>
          <w:lang w:val="en-US" w:eastAsia="zh-CN"/>
        </w:rPr>
        <w:t>4</w:t>
      </w:r>
      <w:r>
        <w:rPr>
          <w:rFonts w:hint="eastAsia" w:ascii="仿宋_GB2312" w:hAnsi="Times New Roman" w:cs="Times New Roman"/>
          <w:color w:val="auto"/>
          <w:szCs w:val="32"/>
          <w:highlight w:val="none"/>
        </w:rPr>
        <w:t>分。</w:t>
      </w:r>
    </w:p>
    <w:p w14:paraId="15F71E34">
      <w:pPr>
        <w:pStyle w:val="52"/>
        <w:ind w:left="0" w:leftChars="0" w:right="0" w:rightChars="0" w:firstLine="560"/>
        <w:rPr>
          <w:rFonts w:hint="eastAsia" w:ascii="仿宋_GB2312" w:hAnsi="Times New Roman" w:cs="Times New Roman"/>
          <w:color w:val="auto"/>
          <w:szCs w:val="32"/>
          <w:highlight w:val="none"/>
        </w:rPr>
      </w:pPr>
      <w:bookmarkStart w:id="4" w:name="OLE_LINK6"/>
      <w:r>
        <w:rPr>
          <w:rFonts w:hint="eastAsia" w:ascii="仿宋_GB2312" w:hAnsi="Times New Roman" w:cs="Times New Roman"/>
          <w:color w:val="auto"/>
          <w:szCs w:val="32"/>
          <w:highlight w:val="none"/>
        </w:rPr>
        <w:t>“</w:t>
      </w:r>
      <w:r>
        <w:rPr>
          <w:rFonts w:hint="eastAsia" w:ascii="仿宋_GB2312" w:hAnsi="Times New Roman" w:cs="Times New Roman"/>
          <w:color w:val="auto"/>
          <w:szCs w:val="32"/>
          <w:highlight w:val="none"/>
          <w:lang w:eastAsia="zh-CN"/>
        </w:rPr>
        <w:t>采购餐车数量</w:t>
      </w:r>
      <w:r>
        <w:rPr>
          <w:rFonts w:hint="eastAsia" w:ascii="仿宋_GB2312" w:hAnsi="Times New Roman" w:cs="Times New Roman"/>
          <w:color w:val="auto"/>
          <w:szCs w:val="32"/>
          <w:highlight w:val="none"/>
        </w:rPr>
        <w:t>”指标，预期指标值为</w:t>
      </w:r>
      <w:r>
        <w:rPr>
          <w:rFonts w:hint="eastAsia" w:ascii="仿宋_GB2312" w:cs="Times New Roman"/>
          <w:color w:val="auto"/>
          <w:szCs w:val="32"/>
          <w:highlight w:val="none"/>
          <w:lang w:val="en-US" w:eastAsia="zh-CN"/>
        </w:rPr>
        <w:t>大于等于</w:t>
      </w:r>
      <w:r>
        <w:rPr>
          <w:rFonts w:hint="eastAsia" w:ascii="仿宋_GB2312" w:hAnsi="Times New Roman" w:cs="Times New Roman"/>
          <w:color w:val="auto"/>
          <w:szCs w:val="32"/>
          <w:highlight w:val="none"/>
          <w:lang w:val="en-US" w:eastAsia="zh-CN"/>
        </w:rPr>
        <w:t>86套</w:t>
      </w:r>
      <w:r>
        <w:rPr>
          <w:rFonts w:hint="eastAsia" w:ascii="仿宋_GB2312" w:hAnsi="Times New Roman" w:cs="Times New Roman"/>
          <w:color w:val="auto"/>
          <w:szCs w:val="32"/>
          <w:highlight w:val="none"/>
        </w:rPr>
        <w:t>,全年实际值为</w:t>
      </w:r>
      <w:r>
        <w:rPr>
          <w:rFonts w:hint="eastAsia" w:ascii="仿宋_GB2312" w:cs="Times New Roman"/>
          <w:color w:val="auto"/>
          <w:szCs w:val="32"/>
          <w:highlight w:val="none"/>
          <w:lang w:val="en-US" w:eastAsia="zh-CN"/>
        </w:rPr>
        <w:t>56套</w:t>
      </w:r>
      <w:r>
        <w:rPr>
          <w:rFonts w:hint="eastAsia" w:ascii="仿宋_GB2312" w:hAnsi="Times New Roman" w:cs="Times New Roman"/>
          <w:color w:val="auto"/>
          <w:szCs w:val="32"/>
          <w:highlight w:val="none"/>
        </w:rPr>
        <w:t>，指标完成率为</w:t>
      </w:r>
      <w:r>
        <w:rPr>
          <w:rFonts w:hint="eastAsia" w:ascii="仿宋_GB2312" w:cs="Times New Roman"/>
          <w:color w:val="auto"/>
          <w:szCs w:val="32"/>
          <w:highlight w:val="none"/>
          <w:lang w:val="en-US" w:eastAsia="zh-CN"/>
        </w:rPr>
        <w:t>65.12</w:t>
      </w:r>
      <w:r>
        <w:rPr>
          <w:rFonts w:hint="eastAsia" w:ascii="仿宋_GB2312" w:hAnsi="Times New Roman" w:cs="Times New Roman"/>
          <w:color w:val="auto"/>
          <w:szCs w:val="32"/>
          <w:highlight w:val="none"/>
        </w:rPr>
        <w:t>%。所设分值</w:t>
      </w:r>
      <w:r>
        <w:rPr>
          <w:rFonts w:hint="eastAsia" w:ascii="仿宋_GB2312" w:hAnsi="Times New Roman" w:cs="Times New Roman"/>
          <w:color w:val="auto"/>
          <w:szCs w:val="32"/>
          <w:highlight w:val="none"/>
          <w:lang w:val="en-US" w:eastAsia="zh-CN"/>
        </w:rPr>
        <w:t>4</w:t>
      </w:r>
      <w:r>
        <w:rPr>
          <w:rFonts w:hint="eastAsia" w:ascii="仿宋_GB2312" w:hAnsi="Times New Roman" w:cs="Times New Roman"/>
          <w:color w:val="auto"/>
          <w:szCs w:val="32"/>
          <w:highlight w:val="none"/>
        </w:rPr>
        <w:t>分，实际得分</w:t>
      </w:r>
      <w:r>
        <w:rPr>
          <w:rFonts w:hint="eastAsia" w:ascii="仿宋_GB2312" w:cs="Times New Roman"/>
          <w:color w:val="auto"/>
          <w:szCs w:val="32"/>
          <w:highlight w:val="none"/>
          <w:lang w:val="en-US" w:eastAsia="zh-CN"/>
        </w:rPr>
        <w:t>2.6</w:t>
      </w:r>
      <w:r>
        <w:rPr>
          <w:rFonts w:hint="eastAsia" w:ascii="仿宋_GB2312" w:hAnsi="Times New Roman" w:cs="Times New Roman"/>
          <w:color w:val="auto"/>
          <w:szCs w:val="32"/>
          <w:highlight w:val="none"/>
        </w:rPr>
        <w:t>分。偏差原因：根据实际工程需求，数量减少。改进措施：加强项目管理</w:t>
      </w:r>
      <w:bookmarkEnd w:id="4"/>
      <w:r>
        <w:rPr>
          <w:rFonts w:hint="eastAsia" w:ascii="仿宋_GB2312" w:hAnsi="Times New Roman" w:cs="Times New Roman"/>
          <w:color w:val="auto"/>
          <w:szCs w:val="32"/>
          <w:highlight w:val="none"/>
        </w:rPr>
        <w:t>。</w:t>
      </w:r>
    </w:p>
    <w:p w14:paraId="5324FAFD">
      <w:pPr>
        <w:pStyle w:val="52"/>
        <w:ind w:left="0" w:leftChars="0" w:right="0" w:rightChars="0" w:firstLine="560"/>
        <w:rPr>
          <w:rFonts w:hint="eastAsia" w:ascii="仿宋_GB2312" w:hAnsi="Times New Roman" w:cs="Times New Roman"/>
          <w:color w:val="auto"/>
          <w:szCs w:val="32"/>
          <w:highlight w:val="none"/>
        </w:rPr>
      </w:pPr>
      <w:bookmarkStart w:id="5" w:name="OLE_LINK9"/>
      <w:r>
        <w:rPr>
          <w:rFonts w:hint="eastAsia" w:ascii="仿宋_GB2312" w:hAnsi="Times New Roman" w:cs="Times New Roman"/>
          <w:color w:val="auto"/>
          <w:szCs w:val="32"/>
          <w:highlight w:val="none"/>
        </w:rPr>
        <w:t>“</w:t>
      </w:r>
      <w:r>
        <w:rPr>
          <w:rFonts w:hint="eastAsia" w:ascii="仿宋_GB2312" w:hAnsi="Times New Roman" w:cs="Times New Roman"/>
          <w:color w:val="auto"/>
          <w:szCs w:val="32"/>
          <w:highlight w:val="none"/>
          <w:lang w:eastAsia="zh-CN"/>
        </w:rPr>
        <w:t>场地平整、地面硬化面积</w:t>
      </w:r>
      <w:r>
        <w:rPr>
          <w:rFonts w:hint="eastAsia" w:ascii="仿宋_GB2312" w:hAnsi="Times New Roman" w:cs="Times New Roman"/>
          <w:color w:val="auto"/>
          <w:szCs w:val="32"/>
          <w:highlight w:val="none"/>
        </w:rPr>
        <w:t>”指标，预期指标值为</w:t>
      </w:r>
      <w:r>
        <w:rPr>
          <w:rFonts w:hint="eastAsia" w:ascii="仿宋_GB2312" w:cs="Times New Roman"/>
          <w:color w:val="auto"/>
          <w:szCs w:val="32"/>
          <w:highlight w:val="none"/>
          <w:lang w:val="en-US" w:eastAsia="zh-CN"/>
        </w:rPr>
        <w:t>大于等于</w:t>
      </w:r>
      <w:r>
        <w:rPr>
          <w:rFonts w:hint="eastAsia" w:ascii="仿宋_GB2312" w:hAnsi="Times New Roman" w:cs="Times New Roman"/>
          <w:color w:val="auto"/>
          <w:szCs w:val="32"/>
          <w:highlight w:val="none"/>
          <w:lang w:val="en-US" w:eastAsia="zh-CN"/>
        </w:rPr>
        <w:t>4406.40平方米</w:t>
      </w:r>
      <w:r>
        <w:rPr>
          <w:rFonts w:hint="eastAsia" w:ascii="仿宋_GB2312" w:hAnsi="Times New Roman" w:cs="Times New Roman"/>
          <w:color w:val="auto"/>
          <w:szCs w:val="32"/>
          <w:highlight w:val="none"/>
        </w:rPr>
        <w:t>,全年实际值为</w:t>
      </w:r>
      <w:r>
        <w:rPr>
          <w:rFonts w:hint="eastAsia" w:ascii="仿宋_GB2312" w:hAnsi="Times New Roman" w:cs="Times New Roman"/>
          <w:color w:val="auto"/>
          <w:szCs w:val="32"/>
          <w:highlight w:val="none"/>
          <w:lang w:val="en-US" w:eastAsia="zh-CN"/>
        </w:rPr>
        <w:t>3999.64平方米</w:t>
      </w:r>
      <w:r>
        <w:rPr>
          <w:rFonts w:hint="eastAsia" w:ascii="仿宋_GB2312" w:hAnsi="Times New Roman" w:cs="Times New Roman"/>
          <w:color w:val="auto"/>
          <w:szCs w:val="32"/>
          <w:highlight w:val="none"/>
        </w:rPr>
        <w:t>，指标完成率为</w:t>
      </w:r>
      <w:r>
        <w:rPr>
          <w:rFonts w:hint="eastAsia" w:ascii="仿宋_GB2312" w:cs="Times New Roman"/>
          <w:color w:val="auto"/>
          <w:szCs w:val="32"/>
          <w:highlight w:val="none"/>
          <w:lang w:val="en-US" w:eastAsia="zh-CN"/>
        </w:rPr>
        <w:t>90.77</w:t>
      </w:r>
      <w:r>
        <w:rPr>
          <w:rFonts w:hint="eastAsia" w:ascii="仿宋_GB2312" w:hAnsi="Times New Roman" w:cs="Times New Roman"/>
          <w:color w:val="auto"/>
          <w:szCs w:val="32"/>
          <w:highlight w:val="none"/>
        </w:rPr>
        <w:t>%。所设分值</w:t>
      </w:r>
      <w:r>
        <w:rPr>
          <w:rFonts w:hint="eastAsia" w:ascii="仿宋_GB2312" w:hAnsi="Times New Roman" w:cs="Times New Roman"/>
          <w:color w:val="auto"/>
          <w:szCs w:val="32"/>
          <w:highlight w:val="none"/>
          <w:lang w:val="en-US" w:eastAsia="zh-CN"/>
        </w:rPr>
        <w:t>4</w:t>
      </w:r>
      <w:r>
        <w:rPr>
          <w:rFonts w:hint="eastAsia" w:ascii="仿宋_GB2312" w:hAnsi="Times New Roman" w:cs="Times New Roman"/>
          <w:color w:val="auto"/>
          <w:szCs w:val="32"/>
          <w:highlight w:val="none"/>
        </w:rPr>
        <w:t>分，实际得分</w:t>
      </w:r>
      <w:r>
        <w:rPr>
          <w:rFonts w:hint="eastAsia" w:ascii="仿宋_GB2312" w:cs="Times New Roman"/>
          <w:color w:val="auto"/>
          <w:szCs w:val="32"/>
          <w:highlight w:val="none"/>
          <w:lang w:val="en-US" w:eastAsia="zh-CN"/>
        </w:rPr>
        <w:t>3.6</w:t>
      </w:r>
      <w:r>
        <w:rPr>
          <w:rFonts w:hint="eastAsia" w:ascii="仿宋_GB2312" w:hAnsi="Times New Roman" w:cs="Times New Roman"/>
          <w:color w:val="auto"/>
          <w:szCs w:val="32"/>
          <w:highlight w:val="none"/>
        </w:rPr>
        <w:t>分。偏差原因：根据实际工程需求，数量减少。改进措施：加强项目管理。</w:t>
      </w:r>
    </w:p>
    <w:bookmarkEnd w:id="5"/>
    <w:p w14:paraId="014BB87B">
      <w:pPr>
        <w:pStyle w:val="52"/>
        <w:ind w:left="0" w:leftChars="0" w:right="0" w:rightChars="0" w:firstLine="560"/>
        <w:rPr>
          <w:rFonts w:hint="eastAsia" w:ascii="仿宋_GB2312" w:hAnsi="Times New Roman" w:cs="Times New Roman"/>
          <w:color w:val="auto"/>
          <w:szCs w:val="32"/>
          <w:highlight w:val="none"/>
        </w:rPr>
      </w:pPr>
      <w:r>
        <w:rPr>
          <w:rFonts w:hint="eastAsia" w:ascii="仿宋_GB2312" w:hAnsi="Times New Roman" w:cs="Times New Roman"/>
          <w:color w:val="auto"/>
          <w:szCs w:val="32"/>
          <w:highlight w:val="none"/>
        </w:rPr>
        <w:t>“</w:t>
      </w:r>
      <w:r>
        <w:rPr>
          <w:rFonts w:hint="eastAsia" w:ascii="仿宋_GB2312" w:hAnsi="Times New Roman" w:cs="Times New Roman"/>
          <w:color w:val="auto"/>
          <w:szCs w:val="32"/>
          <w:highlight w:val="none"/>
          <w:lang w:eastAsia="zh-CN"/>
        </w:rPr>
        <w:t>新建门数量</w:t>
      </w:r>
      <w:r>
        <w:rPr>
          <w:rFonts w:hint="eastAsia" w:ascii="仿宋_GB2312" w:hAnsi="Times New Roman" w:cs="Times New Roman"/>
          <w:color w:val="auto"/>
          <w:szCs w:val="32"/>
          <w:highlight w:val="none"/>
        </w:rPr>
        <w:t>”指标，预期指标值为</w:t>
      </w:r>
      <w:r>
        <w:rPr>
          <w:rFonts w:hint="eastAsia" w:ascii="仿宋_GB2312" w:cs="Times New Roman"/>
          <w:color w:val="auto"/>
          <w:szCs w:val="32"/>
          <w:highlight w:val="none"/>
          <w:lang w:val="en-US" w:eastAsia="zh-CN"/>
        </w:rPr>
        <w:t>大于等于</w:t>
      </w:r>
      <w:r>
        <w:rPr>
          <w:rFonts w:hint="eastAsia" w:ascii="仿宋_GB2312" w:hAnsi="Times New Roman" w:cs="Times New Roman"/>
          <w:color w:val="auto"/>
          <w:szCs w:val="32"/>
          <w:highlight w:val="none"/>
          <w:lang w:val="en-US" w:eastAsia="zh-CN"/>
        </w:rPr>
        <w:t>2个</w:t>
      </w:r>
      <w:r>
        <w:rPr>
          <w:rFonts w:hint="eastAsia" w:ascii="仿宋_GB2312" w:hAnsi="Times New Roman" w:cs="Times New Roman"/>
          <w:color w:val="auto"/>
          <w:szCs w:val="32"/>
          <w:highlight w:val="none"/>
        </w:rPr>
        <w:t>,全年实际值为</w:t>
      </w:r>
      <w:r>
        <w:rPr>
          <w:rFonts w:hint="eastAsia" w:ascii="仿宋_GB2312" w:hAnsi="Times New Roman" w:cs="Times New Roman"/>
          <w:color w:val="auto"/>
          <w:szCs w:val="32"/>
          <w:highlight w:val="none"/>
          <w:lang w:val="en-US" w:eastAsia="zh-CN"/>
        </w:rPr>
        <w:t>2个</w:t>
      </w:r>
      <w:r>
        <w:rPr>
          <w:rFonts w:hint="eastAsia" w:ascii="仿宋_GB2312" w:hAnsi="Times New Roman" w:cs="Times New Roman"/>
          <w:color w:val="auto"/>
          <w:szCs w:val="32"/>
          <w:highlight w:val="none"/>
        </w:rPr>
        <w:t>，指标完成率为100.00%。所设分值</w:t>
      </w:r>
      <w:r>
        <w:rPr>
          <w:rFonts w:hint="eastAsia" w:ascii="仿宋_GB2312" w:hAnsi="Times New Roman" w:cs="Times New Roman"/>
          <w:color w:val="auto"/>
          <w:szCs w:val="32"/>
          <w:highlight w:val="none"/>
          <w:lang w:val="en-US" w:eastAsia="zh-CN"/>
        </w:rPr>
        <w:t>4</w:t>
      </w:r>
      <w:r>
        <w:rPr>
          <w:rFonts w:hint="eastAsia" w:ascii="仿宋_GB2312" w:hAnsi="Times New Roman" w:cs="Times New Roman"/>
          <w:color w:val="auto"/>
          <w:szCs w:val="32"/>
          <w:highlight w:val="none"/>
        </w:rPr>
        <w:t>分，实际得分</w:t>
      </w:r>
      <w:r>
        <w:rPr>
          <w:rFonts w:hint="eastAsia" w:ascii="仿宋_GB2312" w:hAnsi="Times New Roman" w:cs="Times New Roman"/>
          <w:color w:val="auto"/>
          <w:szCs w:val="32"/>
          <w:highlight w:val="none"/>
          <w:lang w:val="en-US" w:eastAsia="zh-CN"/>
        </w:rPr>
        <w:t>4</w:t>
      </w:r>
      <w:r>
        <w:rPr>
          <w:rFonts w:hint="eastAsia" w:ascii="仿宋_GB2312" w:hAnsi="Times New Roman" w:cs="Times New Roman"/>
          <w:color w:val="auto"/>
          <w:szCs w:val="32"/>
          <w:highlight w:val="none"/>
        </w:rPr>
        <w:t>分。</w:t>
      </w:r>
    </w:p>
    <w:p w14:paraId="472CD699">
      <w:pPr>
        <w:pStyle w:val="52"/>
        <w:ind w:left="0" w:leftChars="0" w:right="0" w:rightChars="0" w:firstLine="560"/>
        <w:rPr>
          <w:rFonts w:hint="eastAsia" w:ascii="仿宋_GB2312" w:hAnsi="Times New Roman" w:cs="Times New Roman"/>
          <w:color w:val="auto"/>
          <w:szCs w:val="32"/>
          <w:highlight w:val="none"/>
        </w:rPr>
      </w:pPr>
      <w:r>
        <w:rPr>
          <w:rFonts w:hint="eastAsia" w:ascii="仿宋_GB2312" w:hAnsi="Times New Roman" w:cs="Times New Roman"/>
          <w:color w:val="auto"/>
          <w:szCs w:val="32"/>
          <w:highlight w:val="none"/>
        </w:rPr>
        <w:t>“</w:t>
      </w:r>
      <w:r>
        <w:rPr>
          <w:rFonts w:hint="eastAsia" w:ascii="仿宋_GB2312" w:hAnsi="Times New Roman" w:cs="Times New Roman"/>
          <w:color w:val="auto"/>
          <w:szCs w:val="32"/>
          <w:highlight w:val="none"/>
          <w:lang w:eastAsia="zh-CN"/>
        </w:rPr>
        <w:t>围墙长度</w:t>
      </w:r>
      <w:r>
        <w:rPr>
          <w:rFonts w:hint="eastAsia" w:ascii="仿宋_GB2312" w:hAnsi="Times New Roman" w:cs="Times New Roman"/>
          <w:color w:val="auto"/>
          <w:szCs w:val="32"/>
          <w:highlight w:val="none"/>
        </w:rPr>
        <w:t>”指标，预期指标值为</w:t>
      </w:r>
      <w:r>
        <w:rPr>
          <w:rFonts w:hint="eastAsia" w:ascii="仿宋_GB2312" w:cs="Times New Roman"/>
          <w:color w:val="auto"/>
          <w:szCs w:val="32"/>
          <w:highlight w:val="none"/>
          <w:lang w:val="en-US" w:eastAsia="zh-CN"/>
        </w:rPr>
        <w:t>大于等于</w:t>
      </w:r>
      <w:r>
        <w:rPr>
          <w:rFonts w:hint="eastAsia" w:ascii="仿宋_GB2312" w:hAnsi="Times New Roman" w:cs="Times New Roman"/>
          <w:color w:val="auto"/>
          <w:szCs w:val="32"/>
          <w:highlight w:val="none"/>
          <w:lang w:val="en-US" w:eastAsia="zh-CN"/>
        </w:rPr>
        <w:t>133米</w:t>
      </w:r>
      <w:r>
        <w:rPr>
          <w:rFonts w:hint="eastAsia" w:ascii="仿宋_GB2312" w:hAnsi="Times New Roman" w:cs="Times New Roman"/>
          <w:color w:val="auto"/>
          <w:szCs w:val="32"/>
          <w:highlight w:val="none"/>
        </w:rPr>
        <w:t>,全年实际值为</w:t>
      </w:r>
      <w:r>
        <w:rPr>
          <w:rFonts w:hint="eastAsia" w:ascii="仿宋_GB2312" w:hAnsi="Times New Roman" w:cs="Times New Roman"/>
          <w:color w:val="auto"/>
          <w:szCs w:val="32"/>
          <w:highlight w:val="none"/>
          <w:lang w:val="en-US" w:eastAsia="zh-CN"/>
        </w:rPr>
        <w:t>116.59米</w:t>
      </w:r>
      <w:r>
        <w:rPr>
          <w:rFonts w:hint="eastAsia" w:ascii="仿宋_GB2312" w:hAnsi="Times New Roman" w:cs="Times New Roman"/>
          <w:color w:val="auto"/>
          <w:szCs w:val="32"/>
          <w:highlight w:val="none"/>
        </w:rPr>
        <w:t>，指标完成率为</w:t>
      </w:r>
      <w:r>
        <w:rPr>
          <w:rFonts w:hint="eastAsia" w:ascii="仿宋_GB2312" w:cs="Times New Roman"/>
          <w:color w:val="auto"/>
          <w:szCs w:val="32"/>
          <w:highlight w:val="none"/>
          <w:lang w:val="en-US" w:eastAsia="zh-CN"/>
        </w:rPr>
        <w:t>87.66</w:t>
      </w:r>
      <w:r>
        <w:rPr>
          <w:rFonts w:hint="eastAsia" w:ascii="仿宋_GB2312" w:hAnsi="Times New Roman" w:cs="Times New Roman"/>
          <w:color w:val="auto"/>
          <w:szCs w:val="32"/>
          <w:highlight w:val="none"/>
        </w:rPr>
        <w:t>%。所设分值</w:t>
      </w:r>
      <w:r>
        <w:rPr>
          <w:rFonts w:hint="eastAsia" w:ascii="仿宋_GB2312" w:cs="Times New Roman"/>
          <w:color w:val="auto"/>
          <w:szCs w:val="32"/>
          <w:highlight w:val="none"/>
          <w:lang w:val="en-US" w:eastAsia="zh-CN"/>
        </w:rPr>
        <w:t>4</w:t>
      </w:r>
      <w:r>
        <w:rPr>
          <w:rFonts w:hint="eastAsia" w:ascii="仿宋_GB2312" w:hAnsi="Times New Roman" w:cs="Times New Roman"/>
          <w:color w:val="auto"/>
          <w:szCs w:val="32"/>
          <w:highlight w:val="none"/>
        </w:rPr>
        <w:t>分，实际得分</w:t>
      </w:r>
      <w:r>
        <w:rPr>
          <w:rFonts w:hint="eastAsia" w:ascii="仿宋_GB2312" w:hAnsi="Times New Roman" w:cs="Times New Roman"/>
          <w:color w:val="auto"/>
          <w:szCs w:val="32"/>
          <w:highlight w:val="none"/>
          <w:lang w:val="en-US" w:eastAsia="zh-CN"/>
        </w:rPr>
        <w:t>3</w:t>
      </w:r>
      <w:r>
        <w:rPr>
          <w:rFonts w:hint="eastAsia" w:ascii="仿宋_GB2312" w:cs="Times New Roman"/>
          <w:color w:val="auto"/>
          <w:szCs w:val="32"/>
          <w:highlight w:val="none"/>
          <w:lang w:val="en-US" w:eastAsia="zh-CN"/>
        </w:rPr>
        <w:t>.5</w:t>
      </w:r>
      <w:r>
        <w:rPr>
          <w:rFonts w:hint="eastAsia" w:ascii="仿宋_GB2312" w:hAnsi="Times New Roman" w:cs="Times New Roman"/>
          <w:color w:val="auto"/>
          <w:szCs w:val="32"/>
          <w:highlight w:val="none"/>
        </w:rPr>
        <w:t>分。偏差原因：根据实际工程需求，数量减少。改进措施：加强项目管理。</w:t>
      </w:r>
    </w:p>
    <w:p w14:paraId="1BBC437C">
      <w:pPr>
        <w:pStyle w:val="52"/>
        <w:ind w:left="0" w:leftChars="0" w:right="0" w:rightChars="0" w:firstLine="560"/>
        <w:rPr>
          <w:rFonts w:hint="eastAsia" w:ascii="仿宋_GB2312" w:hAnsi="Times New Roman" w:cs="Times New Roman"/>
          <w:color w:val="auto"/>
          <w:szCs w:val="32"/>
          <w:highlight w:val="none"/>
        </w:rPr>
      </w:pPr>
      <w:bookmarkStart w:id="6" w:name="OLE_LINK10"/>
      <w:r>
        <w:rPr>
          <w:rFonts w:hint="eastAsia" w:ascii="仿宋_GB2312" w:hAnsi="Times New Roman" w:cs="Times New Roman"/>
          <w:color w:val="auto"/>
          <w:szCs w:val="32"/>
          <w:highlight w:val="none"/>
        </w:rPr>
        <w:t>“</w:t>
      </w:r>
      <w:r>
        <w:rPr>
          <w:rFonts w:hint="eastAsia" w:ascii="仿宋_GB2312" w:hAnsi="Times New Roman" w:cs="Times New Roman"/>
          <w:color w:val="auto"/>
          <w:szCs w:val="32"/>
          <w:highlight w:val="none"/>
          <w:lang w:eastAsia="zh-CN"/>
        </w:rPr>
        <w:t>立柱亮化长度</w:t>
      </w:r>
      <w:r>
        <w:rPr>
          <w:rFonts w:hint="eastAsia" w:ascii="仿宋_GB2312" w:hAnsi="Times New Roman" w:cs="Times New Roman"/>
          <w:color w:val="auto"/>
          <w:szCs w:val="32"/>
          <w:highlight w:val="none"/>
        </w:rPr>
        <w:t>”指标，预期指标值为</w:t>
      </w:r>
      <w:r>
        <w:rPr>
          <w:rFonts w:hint="eastAsia" w:ascii="仿宋_GB2312" w:cs="Times New Roman"/>
          <w:color w:val="auto"/>
          <w:szCs w:val="32"/>
          <w:highlight w:val="none"/>
          <w:lang w:val="en-US" w:eastAsia="zh-CN"/>
        </w:rPr>
        <w:t>大于等于</w:t>
      </w:r>
      <w:r>
        <w:rPr>
          <w:rFonts w:hint="eastAsia" w:ascii="仿宋_GB2312" w:hAnsi="Times New Roman" w:cs="Times New Roman"/>
          <w:color w:val="auto"/>
          <w:szCs w:val="32"/>
          <w:highlight w:val="none"/>
          <w:lang w:val="en-US" w:eastAsia="zh-CN"/>
        </w:rPr>
        <w:t>305.90米</w:t>
      </w:r>
      <w:r>
        <w:rPr>
          <w:rFonts w:hint="eastAsia" w:ascii="仿宋_GB2312" w:hAnsi="Times New Roman" w:cs="Times New Roman"/>
          <w:color w:val="auto"/>
          <w:szCs w:val="32"/>
          <w:highlight w:val="none"/>
        </w:rPr>
        <w:t>,全年实际值为</w:t>
      </w:r>
      <w:r>
        <w:rPr>
          <w:rFonts w:hint="eastAsia" w:ascii="仿宋_GB2312" w:hAnsi="Times New Roman" w:cs="Times New Roman"/>
          <w:color w:val="auto"/>
          <w:szCs w:val="32"/>
          <w:highlight w:val="none"/>
          <w:lang w:val="en-US" w:eastAsia="zh-CN"/>
        </w:rPr>
        <w:t>305.90米</w:t>
      </w:r>
      <w:r>
        <w:rPr>
          <w:rFonts w:hint="eastAsia" w:ascii="仿宋_GB2312" w:hAnsi="Times New Roman" w:cs="Times New Roman"/>
          <w:color w:val="auto"/>
          <w:szCs w:val="32"/>
          <w:highlight w:val="none"/>
        </w:rPr>
        <w:t>，指标完成率为0%。所设分值</w:t>
      </w:r>
      <w:r>
        <w:rPr>
          <w:rFonts w:hint="eastAsia" w:ascii="仿宋_GB2312" w:cs="Times New Roman"/>
          <w:color w:val="auto"/>
          <w:szCs w:val="32"/>
          <w:highlight w:val="none"/>
          <w:lang w:val="en-US" w:eastAsia="zh-CN"/>
        </w:rPr>
        <w:t>4</w:t>
      </w:r>
      <w:r>
        <w:rPr>
          <w:rFonts w:hint="eastAsia" w:ascii="仿宋_GB2312" w:hAnsi="Times New Roman" w:cs="Times New Roman"/>
          <w:color w:val="auto"/>
          <w:szCs w:val="32"/>
          <w:highlight w:val="none"/>
        </w:rPr>
        <w:t>分，实际得分</w:t>
      </w:r>
      <w:r>
        <w:rPr>
          <w:rFonts w:hint="eastAsia" w:ascii="仿宋_GB2312" w:hAnsi="Times New Roman" w:cs="Times New Roman"/>
          <w:color w:val="auto"/>
          <w:szCs w:val="32"/>
          <w:highlight w:val="none"/>
          <w:lang w:val="en-US" w:eastAsia="zh-CN"/>
        </w:rPr>
        <w:t>0</w:t>
      </w:r>
      <w:r>
        <w:rPr>
          <w:rFonts w:hint="eastAsia" w:ascii="仿宋_GB2312" w:hAnsi="Times New Roman" w:cs="Times New Roman"/>
          <w:color w:val="auto"/>
          <w:szCs w:val="32"/>
          <w:highlight w:val="none"/>
        </w:rPr>
        <w:t>分。偏差原因：项目由于用地手续未审批通过，暂未实施。改进措施：加强项目管理。</w:t>
      </w:r>
    </w:p>
    <w:bookmarkEnd w:id="6"/>
    <w:p w14:paraId="074F2EBA">
      <w:pPr>
        <w:pStyle w:val="52"/>
        <w:ind w:left="0" w:leftChars="0" w:right="0" w:rightChars="0" w:firstLine="560"/>
        <w:rPr>
          <w:rFonts w:hint="eastAsia" w:ascii="仿宋_GB2312" w:hAnsi="Times New Roman" w:cs="Times New Roman"/>
          <w:color w:val="auto"/>
          <w:szCs w:val="32"/>
          <w:highlight w:val="none"/>
        </w:rPr>
      </w:pPr>
      <w:r>
        <w:rPr>
          <w:rFonts w:hint="eastAsia" w:ascii="仿宋_GB2312" w:hAnsi="Times New Roman" w:cs="Times New Roman"/>
          <w:color w:val="auto"/>
          <w:szCs w:val="32"/>
          <w:highlight w:val="none"/>
        </w:rPr>
        <w:t>“</w:t>
      </w:r>
      <w:r>
        <w:rPr>
          <w:rFonts w:hint="eastAsia" w:ascii="仿宋_GB2312" w:hAnsi="Times New Roman" w:cs="Times New Roman"/>
          <w:color w:val="auto"/>
          <w:szCs w:val="32"/>
          <w:highlight w:val="none"/>
          <w:lang w:eastAsia="zh-CN"/>
        </w:rPr>
        <w:t>夜市钢架棚面积</w:t>
      </w:r>
      <w:r>
        <w:rPr>
          <w:rFonts w:hint="eastAsia" w:ascii="仿宋_GB2312" w:hAnsi="Times New Roman" w:cs="Times New Roman"/>
          <w:color w:val="auto"/>
          <w:szCs w:val="32"/>
          <w:highlight w:val="none"/>
        </w:rPr>
        <w:t>”指标，预期指标值为</w:t>
      </w:r>
      <w:r>
        <w:rPr>
          <w:rFonts w:hint="eastAsia" w:ascii="仿宋_GB2312" w:cs="Times New Roman"/>
          <w:color w:val="auto"/>
          <w:szCs w:val="32"/>
          <w:highlight w:val="none"/>
          <w:lang w:val="en-US" w:eastAsia="zh-CN"/>
        </w:rPr>
        <w:t>大于等于</w:t>
      </w:r>
      <w:r>
        <w:rPr>
          <w:rFonts w:hint="eastAsia" w:ascii="仿宋_GB2312" w:hAnsi="Times New Roman" w:cs="Times New Roman"/>
          <w:color w:val="auto"/>
          <w:szCs w:val="32"/>
          <w:highlight w:val="none"/>
          <w:lang w:val="en-US" w:eastAsia="zh-CN"/>
        </w:rPr>
        <w:t>877.80平方米</w:t>
      </w:r>
      <w:r>
        <w:rPr>
          <w:rFonts w:hint="eastAsia" w:ascii="仿宋_GB2312" w:hAnsi="Times New Roman" w:cs="Times New Roman"/>
          <w:color w:val="auto"/>
          <w:szCs w:val="32"/>
          <w:highlight w:val="none"/>
        </w:rPr>
        <w:t>,全年实际值为</w:t>
      </w:r>
      <w:r>
        <w:rPr>
          <w:rFonts w:hint="eastAsia" w:ascii="仿宋_GB2312" w:hAnsi="Times New Roman" w:cs="Times New Roman"/>
          <w:color w:val="auto"/>
          <w:szCs w:val="32"/>
          <w:highlight w:val="none"/>
          <w:lang w:val="en-US" w:eastAsia="zh-CN"/>
        </w:rPr>
        <w:t>1726.3平方米</w:t>
      </w:r>
      <w:r>
        <w:rPr>
          <w:rFonts w:hint="eastAsia" w:ascii="仿宋_GB2312" w:hAnsi="Times New Roman" w:cs="Times New Roman"/>
          <w:color w:val="auto"/>
          <w:szCs w:val="32"/>
          <w:highlight w:val="none"/>
        </w:rPr>
        <w:t>，指标完成率为</w:t>
      </w:r>
      <w:r>
        <w:rPr>
          <w:rFonts w:hint="eastAsia" w:ascii="仿宋_GB2312" w:cs="Times New Roman"/>
          <w:color w:val="auto"/>
          <w:szCs w:val="32"/>
          <w:highlight w:val="none"/>
          <w:lang w:val="en-US" w:eastAsia="zh-CN"/>
        </w:rPr>
        <w:t>95</w:t>
      </w:r>
      <w:r>
        <w:rPr>
          <w:rFonts w:hint="eastAsia" w:ascii="仿宋_GB2312" w:hAnsi="Times New Roman" w:cs="Times New Roman"/>
          <w:color w:val="auto"/>
          <w:szCs w:val="32"/>
          <w:highlight w:val="none"/>
        </w:rPr>
        <w:t>%。所设分值</w:t>
      </w:r>
      <w:r>
        <w:rPr>
          <w:rFonts w:hint="eastAsia" w:ascii="仿宋_GB2312" w:cs="Times New Roman"/>
          <w:color w:val="auto"/>
          <w:szCs w:val="32"/>
          <w:highlight w:val="none"/>
          <w:lang w:val="en-US" w:eastAsia="zh-CN"/>
        </w:rPr>
        <w:t>4</w:t>
      </w:r>
      <w:r>
        <w:rPr>
          <w:rFonts w:hint="eastAsia" w:ascii="仿宋_GB2312" w:hAnsi="Times New Roman" w:cs="Times New Roman"/>
          <w:color w:val="auto"/>
          <w:szCs w:val="32"/>
          <w:highlight w:val="none"/>
        </w:rPr>
        <w:t>分，实际得分</w:t>
      </w:r>
      <w:r>
        <w:rPr>
          <w:rFonts w:hint="eastAsia" w:ascii="仿宋_GB2312" w:hAnsi="Times New Roman" w:cs="Times New Roman"/>
          <w:color w:val="auto"/>
          <w:szCs w:val="32"/>
          <w:highlight w:val="none"/>
          <w:lang w:val="en-US" w:eastAsia="zh-CN"/>
        </w:rPr>
        <w:t>3</w:t>
      </w:r>
      <w:r>
        <w:rPr>
          <w:rFonts w:hint="eastAsia" w:ascii="仿宋_GB2312" w:cs="Times New Roman"/>
          <w:color w:val="auto"/>
          <w:szCs w:val="32"/>
          <w:highlight w:val="none"/>
          <w:lang w:val="en-US" w:eastAsia="zh-CN"/>
        </w:rPr>
        <w:t>.5</w:t>
      </w:r>
      <w:r>
        <w:rPr>
          <w:rFonts w:hint="eastAsia" w:ascii="仿宋_GB2312" w:hAnsi="Times New Roman" w:cs="Times New Roman"/>
          <w:color w:val="auto"/>
          <w:szCs w:val="32"/>
          <w:highlight w:val="none"/>
        </w:rPr>
        <w:t>分。偏差原因：根据实际工程需求，数量增加。改进措施：加强项目管理。</w:t>
      </w:r>
    </w:p>
    <w:p w14:paraId="5C3119B5">
      <w:pPr>
        <w:pStyle w:val="52"/>
        <w:ind w:left="0" w:leftChars="0" w:right="0" w:rightChars="0" w:firstLine="560"/>
        <w:rPr>
          <w:rFonts w:hint="eastAsia" w:ascii="仿宋_GB2312" w:hAnsi="Times New Roman" w:cs="Times New Roman"/>
          <w:color w:val="auto"/>
          <w:szCs w:val="32"/>
          <w:highlight w:val="none"/>
        </w:rPr>
      </w:pPr>
      <w:r>
        <w:rPr>
          <w:rFonts w:hint="eastAsia" w:ascii="仿宋_GB2312" w:hAnsi="Times New Roman" w:cs="Times New Roman"/>
          <w:color w:val="auto"/>
          <w:szCs w:val="32"/>
          <w:highlight w:val="none"/>
        </w:rPr>
        <w:t>1.2项目完成质量</w:t>
      </w:r>
    </w:p>
    <w:p w14:paraId="007A0872">
      <w:pPr>
        <w:pStyle w:val="52"/>
        <w:ind w:left="0" w:leftChars="0" w:right="0" w:rightChars="0" w:firstLine="560"/>
        <w:rPr>
          <w:rFonts w:hint="eastAsia" w:ascii="仿宋_GB2312" w:hAnsi="Times New Roman" w:cs="Times New Roman"/>
          <w:color w:val="auto"/>
          <w:szCs w:val="32"/>
          <w:highlight w:val="none"/>
        </w:rPr>
      </w:pPr>
      <w:r>
        <w:rPr>
          <w:rFonts w:hint="eastAsia" w:ascii="仿宋_GB2312" w:hAnsi="Times New Roman" w:cs="Times New Roman"/>
          <w:color w:val="auto"/>
          <w:szCs w:val="32"/>
          <w:highlight w:val="none"/>
        </w:rPr>
        <w:t>“工程验收合格率”指标，预期指标值为</w:t>
      </w:r>
      <w:r>
        <w:rPr>
          <w:rFonts w:hint="eastAsia" w:ascii="仿宋_GB2312" w:cs="Times New Roman"/>
          <w:color w:val="auto"/>
          <w:szCs w:val="32"/>
          <w:highlight w:val="none"/>
          <w:lang w:eastAsia="zh-CN"/>
        </w:rPr>
        <w:t>等于</w:t>
      </w:r>
      <w:r>
        <w:rPr>
          <w:rFonts w:hint="eastAsia" w:ascii="仿宋_GB2312" w:hAnsi="Times New Roman" w:cs="Times New Roman"/>
          <w:color w:val="auto"/>
          <w:szCs w:val="32"/>
          <w:highlight w:val="none"/>
        </w:rPr>
        <w:t>100.00%,全年实际值为100.00%，指标完成率为100.00%。所设分值</w:t>
      </w:r>
      <w:r>
        <w:rPr>
          <w:rFonts w:hint="eastAsia" w:ascii="仿宋_GB2312" w:cs="Times New Roman"/>
          <w:color w:val="auto"/>
          <w:szCs w:val="32"/>
          <w:highlight w:val="none"/>
          <w:lang w:val="en-US" w:eastAsia="zh-CN"/>
        </w:rPr>
        <w:t>2</w:t>
      </w:r>
      <w:r>
        <w:rPr>
          <w:rFonts w:hint="eastAsia" w:ascii="仿宋_GB2312" w:hAnsi="Times New Roman" w:cs="Times New Roman"/>
          <w:color w:val="auto"/>
          <w:szCs w:val="32"/>
          <w:highlight w:val="none"/>
        </w:rPr>
        <w:t>分，实际得分</w:t>
      </w:r>
      <w:r>
        <w:rPr>
          <w:rFonts w:hint="eastAsia" w:ascii="仿宋_GB2312" w:cs="Times New Roman"/>
          <w:color w:val="auto"/>
          <w:szCs w:val="32"/>
          <w:highlight w:val="none"/>
          <w:lang w:val="en-US" w:eastAsia="zh-CN"/>
        </w:rPr>
        <w:t>2</w:t>
      </w:r>
      <w:r>
        <w:rPr>
          <w:rFonts w:hint="eastAsia" w:ascii="仿宋_GB2312" w:hAnsi="Times New Roman" w:cs="Times New Roman"/>
          <w:color w:val="auto"/>
          <w:szCs w:val="32"/>
          <w:highlight w:val="none"/>
        </w:rPr>
        <w:t>分。</w:t>
      </w:r>
    </w:p>
    <w:p w14:paraId="407A7E71">
      <w:pPr>
        <w:pStyle w:val="52"/>
        <w:ind w:left="0" w:leftChars="0" w:right="0" w:rightChars="0" w:firstLine="560"/>
        <w:rPr>
          <w:rFonts w:hint="eastAsia" w:ascii="仿宋_GB2312" w:hAnsi="Times New Roman" w:cs="Times New Roman"/>
          <w:color w:val="auto"/>
          <w:szCs w:val="32"/>
          <w:highlight w:val="none"/>
        </w:rPr>
      </w:pPr>
      <w:r>
        <w:rPr>
          <w:rFonts w:hint="eastAsia" w:ascii="仿宋_GB2312" w:hAnsi="Times New Roman" w:cs="Times New Roman"/>
          <w:color w:val="auto"/>
          <w:szCs w:val="32"/>
          <w:highlight w:val="none"/>
        </w:rPr>
        <w:t>1.3项目完成时效</w:t>
      </w:r>
    </w:p>
    <w:p w14:paraId="045A11F7">
      <w:pPr>
        <w:pStyle w:val="52"/>
        <w:ind w:left="0" w:leftChars="0" w:right="0" w:rightChars="0" w:firstLine="560"/>
        <w:rPr>
          <w:rFonts w:hint="eastAsia" w:ascii="仿宋_GB2312" w:hAnsi="Times New Roman" w:cs="Times New Roman"/>
          <w:color w:val="auto"/>
          <w:szCs w:val="32"/>
          <w:highlight w:val="none"/>
        </w:rPr>
      </w:pPr>
      <w:r>
        <w:rPr>
          <w:rFonts w:hint="eastAsia" w:ascii="仿宋_GB2312" w:hAnsi="Times New Roman" w:cs="Times New Roman"/>
          <w:color w:val="auto"/>
          <w:szCs w:val="32"/>
          <w:highlight w:val="none"/>
        </w:rPr>
        <w:t>“项目开工时间”指标，预期指标值为</w:t>
      </w:r>
      <w:r>
        <w:rPr>
          <w:rFonts w:hint="eastAsia" w:ascii="仿宋_GB2312" w:cs="Times New Roman"/>
          <w:color w:val="auto"/>
          <w:szCs w:val="32"/>
          <w:highlight w:val="none"/>
          <w:lang w:val="en-US" w:eastAsia="zh-CN"/>
        </w:rPr>
        <w:t>2024年1月</w:t>
      </w:r>
      <w:r>
        <w:rPr>
          <w:rFonts w:hint="eastAsia" w:ascii="仿宋_GB2312" w:hAnsi="Times New Roman" w:cs="Times New Roman"/>
          <w:color w:val="auto"/>
          <w:szCs w:val="32"/>
          <w:highlight w:val="none"/>
        </w:rPr>
        <w:t>,全年实际值为</w:t>
      </w:r>
      <w:r>
        <w:rPr>
          <w:rFonts w:hint="eastAsia" w:ascii="仿宋_GB2312" w:hAnsi="Times New Roman" w:cs="Times New Roman"/>
          <w:color w:val="auto"/>
          <w:szCs w:val="32"/>
          <w:highlight w:val="none"/>
          <w:lang w:val="en-US" w:eastAsia="zh-CN"/>
        </w:rPr>
        <w:t>2022年</w:t>
      </w:r>
      <w:r>
        <w:rPr>
          <w:rFonts w:hint="eastAsia" w:ascii="仿宋_GB2312" w:cs="Times New Roman"/>
          <w:color w:val="auto"/>
          <w:szCs w:val="32"/>
          <w:highlight w:val="none"/>
          <w:lang w:val="en-US" w:eastAsia="zh-CN"/>
        </w:rPr>
        <w:t>3</w:t>
      </w:r>
      <w:r>
        <w:rPr>
          <w:rFonts w:hint="eastAsia" w:ascii="仿宋_GB2312" w:hAnsi="Times New Roman" w:cs="Times New Roman"/>
          <w:color w:val="auto"/>
          <w:szCs w:val="32"/>
          <w:highlight w:val="none"/>
          <w:lang w:val="en-US" w:eastAsia="zh-CN"/>
        </w:rPr>
        <w:t>月</w:t>
      </w:r>
      <w:r>
        <w:rPr>
          <w:rFonts w:hint="eastAsia" w:ascii="仿宋_GB2312" w:hAnsi="Times New Roman" w:cs="Times New Roman"/>
          <w:color w:val="auto"/>
          <w:szCs w:val="32"/>
          <w:highlight w:val="none"/>
        </w:rPr>
        <w:t>，指标完成率为</w:t>
      </w:r>
      <w:r>
        <w:rPr>
          <w:rFonts w:hint="eastAsia" w:ascii="仿宋_GB2312" w:cs="Times New Roman"/>
          <w:color w:val="auto"/>
          <w:szCs w:val="32"/>
          <w:highlight w:val="none"/>
          <w:lang w:val="en-US" w:eastAsia="zh-CN"/>
        </w:rPr>
        <w:t>9</w:t>
      </w:r>
      <w:r>
        <w:rPr>
          <w:rFonts w:hint="eastAsia" w:ascii="仿宋_GB2312" w:hAnsi="Times New Roman" w:cs="Times New Roman"/>
          <w:color w:val="auto"/>
          <w:szCs w:val="32"/>
          <w:highlight w:val="none"/>
        </w:rPr>
        <w:t>0%。所设分值</w:t>
      </w:r>
      <w:r>
        <w:rPr>
          <w:rFonts w:hint="eastAsia" w:ascii="仿宋_GB2312" w:cs="Times New Roman"/>
          <w:color w:val="auto"/>
          <w:szCs w:val="32"/>
          <w:highlight w:val="none"/>
          <w:lang w:val="en-US" w:eastAsia="zh-CN"/>
        </w:rPr>
        <w:t>2</w:t>
      </w:r>
      <w:r>
        <w:rPr>
          <w:rFonts w:hint="eastAsia" w:ascii="仿宋_GB2312" w:hAnsi="Times New Roman" w:cs="Times New Roman"/>
          <w:color w:val="auto"/>
          <w:szCs w:val="32"/>
          <w:highlight w:val="none"/>
        </w:rPr>
        <w:t>分，实际得分</w:t>
      </w:r>
      <w:r>
        <w:rPr>
          <w:rFonts w:hint="eastAsia" w:ascii="仿宋_GB2312" w:cs="Times New Roman"/>
          <w:color w:val="auto"/>
          <w:szCs w:val="32"/>
          <w:highlight w:val="none"/>
          <w:lang w:val="en-US" w:eastAsia="zh-CN"/>
        </w:rPr>
        <w:t>1</w:t>
      </w:r>
      <w:r>
        <w:rPr>
          <w:rFonts w:hint="eastAsia" w:ascii="仿宋_GB2312" w:hAnsi="Times New Roman" w:cs="Times New Roman"/>
          <w:color w:val="auto"/>
          <w:szCs w:val="32"/>
          <w:highlight w:val="none"/>
        </w:rPr>
        <w:t>分。偏差原因：项目由于前期手续办理缓慢，导致开工延迟。改进措施：加强项目管理。</w:t>
      </w:r>
    </w:p>
    <w:p w14:paraId="0BE83E88">
      <w:pPr>
        <w:pStyle w:val="52"/>
        <w:ind w:left="0" w:leftChars="0" w:right="0" w:rightChars="0" w:firstLine="560"/>
        <w:rPr>
          <w:rFonts w:hint="eastAsia" w:ascii="仿宋_GB2312" w:hAnsi="Times New Roman" w:cs="Times New Roman"/>
          <w:color w:val="auto"/>
          <w:szCs w:val="32"/>
          <w:highlight w:val="none"/>
        </w:rPr>
      </w:pPr>
      <w:r>
        <w:rPr>
          <w:rFonts w:hint="eastAsia" w:ascii="仿宋_GB2312" w:hAnsi="Times New Roman" w:cs="Times New Roman"/>
          <w:color w:val="auto"/>
          <w:szCs w:val="32"/>
          <w:highlight w:val="none"/>
        </w:rPr>
        <w:t>“项目完工时间”指标，预期指标值为202</w:t>
      </w:r>
      <w:r>
        <w:rPr>
          <w:rFonts w:hint="eastAsia" w:ascii="仿宋_GB2312" w:cs="Times New Roman"/>
          <w:color w:val="auto"/>
          <w:szCs w:val="32"/>
          <w:highlight w:val="none"/>
          <w:lang w:val="en-US" w:eastAsia="zh-CN"/>
        </w:rPr>
        <w:t>4</w:t>
      </w:r>
      <w:r>
        <w:rPr>
          <w:rFonts w:hint="eastAsia" w:ascii="仿宋_GB2312" w:hAnsi="Times New Roman" w:cs="Times New Roman"/>
          <w:color w:val="auto"/>
          <w:szCs w:val="32"/>
          <w:highlight w:val="none"/>
        </w:rPr>
        <w:t>年</w:t>
      </w:r>
      <w:r>
        <w:rPr>
          <w:rFonts w:hint="eastAsia" w:ascii="仿宋_GB2312" w:cs="Times New Roman"/>
          <w:color w:val="auto"/>
          <w:szCs w:val="32"/>
          <w:highlight w:val="none"/>
          <w:lang w:val="en-US" w:eastAsia="zh-CN"/>
        </w:rPr>
        <w:t>5</w:t>
      </w:r>
      <w:r>
        <w:rPr>
          <w:rFonts w:hint="eastAsia" w:ascii="仿宋_GB2312" w:hAnsi="Times New Roman" w:cs="Times New Roman"/>
          <w:color w:val="auto"/>
          <w:szCs w:val="32"/>
          <w:highlight w:val="none"/>
        </w:rPr>
        <w:t>月,全年实际值为202</w:t>
      </w:r>
      <w:r>
        <w:rPr>
          <w:rFonts w:hint="eastAsia" w:ascii="仿宋_GB2312" w:cs="Times New Roman"/>
          <w:color w:val="auto"/>
          <w:szCs w:val="32"/>
          <w:highlight w:val="none"/>
          <w:lang w:val="en-US" w:eastAsia="zh-CN"/>
        </w:rPr>
        <w:t>5</w:t>
      </w:r>
      <w:r>
        <w:rPr>
          <w:rFonts w:hint="eastAsia" w:ascii="仿宋_GB2312" w:hAnsi="Times New Roman" w:cs="Times New Roman"/>
          <w:color w:val="auto"/>
          <w:szCs w:val="32"/>
          <w:highlight w:val="none"/>
        </w:rPr>
        <w:t>年</w:t>
      </w:r>
      <w:r>
        <w:rPr>
          <w:rFonts w:hint="eastAsia" w:ascii="仿宋_GB2312" w:cs="Times New Roman"/>
          <w:color w:val="auto"/>
          <w:szCs w:val="32"/>
          <w:highlight w:val="none"/>
          <w:lang w:val="en-US" w:eastAsia="zh-CN"/>
        </w:rPr>
        <w:t>4</w:t>
      </w:r>
      <w:r>
        <w:rPr>
          <w:rFonts w:hint="eastAsia" w:ascii="仿宋_GB2312" w:hAnsi="Times New Roman" w:cs="Times New Roman"/>
          <w:color w:val="auto"/>
          <w:szCs w:val="32"/>
          <w:highlight w:val="none"/>
        </w:rPr>
        <w:t>月，指标完成率为</w:t>
      </w:r>
      <w:r>
        <w:rPr>
          <w:rFonts w:hint="eastAsia" w:ascii="仿宋_GB2312" w:cs="Times New Roman"/>
          <w:color w:val="auto"/>
          <w:szCs w:val="32"/>
          <w:highlight w:val="none"/>
          <w:lang w:val="en-US" w:eastAsia="zh-CN"/>
        </w:rPr>
        <w:t>95</w:t>
      </w:r>
      <w:r>
        <w:rPr>
          <w:rFonts w:hint="eastAsia" w:ascii="仿宋_GB2312" w:hAnsi="Times New Roman" w:cs="Times New Roman"/>
          <w:color w:val="auto"/>
          <w:szCs w:val="32"/>
          <w:highlight w:val="none"/>
        </w:rPr>
        <w:t>%。所设分值</w:t>
      </w:r>
      <w:r>
        <w:rPr>
          <w:rFonts w:hint="eastAsia" w:ascii="仿宋_GB2312" w:cs="Times New Roman"/>
          <w:color w:val="auto"/>
          <w:szCs w:val="32"/>
          <w:highlight w:val="none"/>
          <w:lang w:val="en-US" w:eastAsia="zh-CN"/>
        </w:rPr>
        <w:t>2</w:t>
      </w:r>
      <w:r>
        <w:rPr>
          <w:rFonts w:hint="eastAsia" w:ascii="仿宋_GB2312" w:hAnsi="Times New Roman" w:cs="Times New Roman"/>
          <w:color w:val="auto"/>
          <w:szCs w:val="32"/>
          <w:highlight w:val="none"/>
        </w:rPr>
        <w:t>分，实际得分</w:t>
      </w:r>
      <w:r>
        <w:rPr>
          <w:rFonts w:hint="eastAsia" w:ascii="仿宋_GB2312" w:cs="Times New Roman"/>
          <w:color w:val="auto"/>
          <w:szCs w:val="32"/>
          <w:highlight w:val="none"/>
          <w:lang w:val="en-US" w:eastAsia="zh-CN"/>
        </w:rPr>
        <w:t>1.5</w:t>
      </w:r>
      <w:r>
        <w:rPr>
          <w:rFonts w:hint="eastAsia" w:ascii="仿宋_GB2312" w:hAnsi="Times New Roman" w:cs="Times New Roman"/>
          <w:color w:val="auto"/>
          <w:szCs w:val="32"/>
          <w:highlight w:val="none"/>
        </w:rPr>
        <w:t>分。 偏差原因：项目由于工程进度加快，提前完工。改进措施：加强项目管理。</w:t>
      </w:r>
    </w:p>
    <w:p w14:paraId="5E3086FE">
      <w:pPr>
        <w:pStyle w:val="52"/>
        <w:ind w:left="0" w:leftChars="0" w:right="0" w:rightChars="0" w:firstLine="560"/>
        <w:rPr>
          <w:rFonts w:hint="eastAsia" w:ascii="仿宋_GB2312" w:hAnsi="Times New Roman" w:cs="Times New Roman"/>
          <w:color w:val="auto"/>
          <w:szCs w:val="32"/>
          <w:highlight w:val="none"/>
        </w:rPr>
      </w:pPr>
      <w:r>
        <w:rPr>
          <w:rFonts w:hint="eastAsia" w:ascii="仿宋_GB2312" w:hAnsi="Times New Roman" w:cs="Times New Roman"/>
          <w:color w:val="auto"/>
          <w:szCs w:val="32"/>
          <w:highlight w:val="none"/>
        </w:rPr>
        <w:t>1.4项目成本节约情况</w:t>
      </w:r>
    </w:p>
    <w:p w14:paraId="3CF2CE1D">
      <w:pPr>
        <w:pStyle w:val="52"/>
        <w:ind w:left="0" w:leftChars="0" w:right="0" w:rightChars="0" w:firstLine="560"/>
        <w:rPr>
          <w:rFonts w:hint="eastAsia" w:ascii="仿宋_GB2312" w:hAnsi="Times New Roman" w:cs="Times New Roman"/>
          <w:color w:val="auto"/>
          <w:szCs w:val="32"/>
          <w:highlight w:val="none"/>
        </w:rPr>
      </w:pPr>
      <w:r>
        <w:rPr>
          <w:rFonts w:hint="eastAsia" w:ascii="仿宋_GB2312" w:hAnsi="Times New Roman" w:cs="Times New Roman"/>
          <w:color w:val="auto"/>
          <w:szCs w:val="32"/>
          <w:highlight w:val="none"/>
        </w:rPr>
        <w:t>为有效控制项目实施成本，我单位在实施项目前就该项目设定了成本控制指标，实施过程中我单位通过公开招标的方式有效降低了项目执行成本，具体指标设置及完成情况如下：</w:t>
      </w:r>
    </w:p>
    <w:p w14:paraId="578DCC1B">
      <w:pPr>
        <w:pStyle w:val="52"/>
        <w:ind w:left="0" w:leftChars="0" w:right="0" w:rightChars="0" w:firstLine="560"/>
        <w:rPr>
          <w:rFonts w:hint="eastAsia" w:ascii="仿宋_GB2312" w:hAnsi="Times New Roman" w:cs="Times New Roman"/>
          <w:color w:val="auto"/>
          <w:szCs w:val="32"/>
          <w:highlight w:val="none"/>
        </w:rPr>
      </w:pPr>
      <w:bookmarkStart w:id="7" w:name="OLE_LINK7"/>
      <w:r>
        <w:rPr>
          <w:rFonts w:hint="eastAsia" w:ascii="仿宋_GB2312" w:hAnsi="Times New Roman" w:cs="Times New Roman"/>
          <w:color w:val="auto"/>
          <w:szCs w:val="32"/>
          <w:highlight w:val="none"/>
        </w:rPr>
        <w:t>“工程建设费用”指标，预期指标值为</w:t>
      </w:r>
      <w:r>
        <w:rPr>
          <w:rFonts w:hint="eastAsia" w:ascii="仿宋_GB2312" w:cs="Times New Roman"/>
          <w:color w:val="auto"/>
          <w:szCs w:val="32"/>
          <w:highlight w:val="none"/>
          <w:lang w:eastAsia="zh-CN"/>
        </w:rPr>
        <w:t>小于等于</w:t>
      </w:r>
      <w:r>
        <w:rPr>
          <w:rFonts w:hint="eastAsia" w:ascii="仿宋_GB2312" w:hAnsi="Times New Roman" w:cs="Times New Roman"/>
          <w:color w:val="auto"/>
          <w:szCs w:val="32"/>
          <w:highlight w:val="none"/>
        </w:rPr>
        <w:t>263.11万元, 全年实际值为</w:t>
      </w:r>
      <w:r>
        <w:rPr>
          <w:rFonts w:hint="eastAsia" w:ascii="仿宋_GB2312" w:cs="Times New Roman"/>
          <w:color w:val="auto"/>
          <w:szCs w:val="32"/>
          <w:highlight w:val="none"/>
          <w:lang w:val="en-US" w:eastAsia="zh-CN"/>
        </w:rPr>
        <w:t>185.04万元</w:t>
      </w:r>
      <w:r>
        <w:rPr>
          <w:rFonts w:hint="eastAsia" w:ascii="仿宋_GB2312" w:hAnsi="Times New Roman" w:cs="Times New Roman"/>
          <w:color w:val="auto"/>
          <w:szCs w:val="32"/>
          <w:highlight w:val="none"/>
        </w:rPr>
        <w:t>，指标完成率为</w:t>
      </w:r>
      <w:r>
        <w:rPr>
          <w:rFonts w:hint="eastAsia" w:ascii="仿宋_GB2312" w:cs="Times New Roman"/>
          <w:color w:val="auto"/>
          <w:szCs w:val="32"/>
          <w:highlight w:val="none"/>
          <w:lang w:val="en-US" w:eastAsia="zh-CN"/>
        </w:rPr>
        <w:t>70.33</w:t>
      </w:r>
      <w:r>
        <w:rPr>
          <w:rFonts w:hint="eastAsia" w:ascii="仿宋_GB2312" w:hAnsi="Times New Roman" w:cs="Times New Roman"/>
          <w:color w:val="auto"/>
          <w:szCs w:val="32"/>
          <w:highlight w:val="none"/>
        </w:rPr>
        <w:t>%。所设分值</w:t>
      </w:r>
      <w:r>
        <w:rPr>
          <w:rFonts w:hint="eastAsia" w:ascii="仿宋_GB2312" w:cs="Times New Roman"/>
          <w:color w:val="auto"/>
          <w:szCs w:val="32"/>
          <w:highlight w:val="none"/>
          <w:lang w:val="en-US" w:eastAsia="zh-CN"/>
        </w:rPr>
        <w:t>4</w:t>
      </w:r>
      <w:r>
        <w:rPr>
          <w:rFonts w:hint="eastAsia" w:ascii="仿宋_GB2312" w:hAnsi="Times New Roman" w:cs="Times New Roman"/>
          <w:color w:val="auto"/>
          <w:szCs w:val="32"/>
          <w:highlight w:val="none"/>
        </w:rPr>
        <w:t>分，实际得分</w:t>
      </w:r>
      <w:r>
        <w:rPr>
          <w:rFonts w:hint="eastAsia" w:ascii="仿宋_GB2312" w:cs="Times New Roman"/>
          <w:color w:val="auto"/>
          <w:szCs w:val="32"/>
          <w:highlight w:val="none"/>
          <w:lang w:val="en-US" w:eastAsia="zh-CN"/>
        </w:rPr>
        <w:t>2.81</w:t>
      </w:r>
      <w:r>
        <w:rPr>
          <w:rFonts w:hint="eastAsia" w:ascii="仿宋_GB2312" w:hAnsi="Times New Roman" w:cs="Times New Roman"/>
          <w:color w:val="auto"/>
          <w:szCs w:val="32"/>
          <w:highlight w:val="none"/>
        </w:rPr>
        <w:t>分。偏差原因：项目已完工，经相关决算审定，工程审定价为215.23万元，其中已支付192.31万元，尚有应付款为22.92万元。改进措施：加强项目建设资金管理。</w:t>
      </w:r>
    </w:p>
    <w:p w14:paraId="14702E53">
      <w:pPr>
        <w:pStyle w:val="52"/>
        <w:ind w:left="0" w:leftChars="0" w:right="0" w:rightChars="0" w:firstLine="560"/>
        <w:rPr>
          <w:rFonts w:hint="eastAsia" w:ascii="仿宋_GB2312" w:hAnsi="Times New Roman" w:cs="Times New Roman"/>
          <w:color w:val="auto"/>
          <w:szCs w:val="32"/>
          <w:highlight w:val="none"/>
        </w:rPr>
      </w:pPr>
      <w:r>
        <w:rPr>
          <w:rFonts w:hint="eastAsia" w:ascii="仿宋_GB2312" w:hAnsi="Times New Roman" w:cs="Times New Roman"/>
          <w:color w:val="auto"/>
          <w:szCs w:val="32"/>
          <w:highlight w:val="none"/>
        </w:rPr>
        <w:t>“</w:t>
      </w:r>
      <w:r>
        <w:rPr>
          <w:rFonts w:hint="eastAsia" w:ascii="仿宋_GB2312" w:cs="Times New Roman"/>
          <w:color w:val="auto"/>
          <w:szCs w:val="32"/>
          <w:highlight w:val="none"/>
          <w:lang w:val="en-US" w:eastAsia="zh-CN"/>
        </w:rPr>
        <w:t>其他</w:t>
      </w:r>
      <w:r>
        <w:rPr>
          <w:rFonts w:hint="eastAsia" w:ascii="仿宋_GB2312" w:hAnsi="Times New Roman" w:cs="Times New Roman"/>
          <w:color w:val="auto"/>
          <w:szCs w:val="32"/>
          <w:highlight w:val="none"/>
        </w:rPr>
        <w:t>费用”指标，预期指标值为</w:t>
      </w:r>
      <w:r>
        <w:rPr>
          <w:rFonts w:hint="eastAsia" w:ascii="仿宋_GB2312" w:cs="Times New Roman"/>
          <w:color w:val="auto"/>
          <w:szCs w:val="32"/>
          <w:highlight w:val="none"/>
          <w:lang w:eastAsia="zh-CN"/>
        </w:rPr>
        <w:t>小于等于</w:t>
      </w:r>
      <w:r>
        <w:rPr>
          <w:rFonts w:hint="eastAsia" w:ascii="仿宋_GB2312" w:cs="Times New Roman"/>
          <w:color w:val="auto"/>
          <w:szCs w:val="32"/>
          <w:highlight w:val="none"/>
          <w:lang w:val="en-US" w:eastAsia="zh-CN"/>
        </w:rPr>
        <w:t>36.89</w:t>
      </w:r>
      <w:r>
        <w:rPr>
          <w:rFonts w:hint="eastAsia" w:ascii="仿宋_GB2312" w:hAnsi="Times New Roman" w:cs="Times New Roman"/>
          <w:color w:val="auto"/>
          <w:szCs w:val="32"/>
          <w:highlight w:val="none"/>
        </w:rPr>
        <w:t>万元, 全年实际值为</w:t>
      </w:r>
      <w:r>
        <w:rPr>
          <w:rFonts w:hint="eastAsia" w:ascii="仿宋_GB2312" w:cs="Times New Roman"/>
          <w:color w:val="auto"/>
          <w:szCs w:val="32"/>
          <w:highlight w:val="none"/>
          <w:lang w:val="en-US" w:eastAsia="zh-CN"/>
        </w:rPr>
        <w:t>7.27万元</w:t>
      </w:r>
      <w:r>
        <w:rPr>
          <w:rFonts w:hint="eastAsia" w:ascii="仿宋_GB2312" w:hAnsi="Times New Roman" w:cs="Times New Roman"/>
          <w:color w:val="auto"/>
          <w:szCs w:val="32"/>
          <w:highlight w:val="none"/>
        </w:rPr>
        <w:t>，指标完成率为</w:t>
      </w:r>
      <w:r>
        <w:rPr>
          <w:rFonts w:hint="eastAsia" w:ascii="仿宋_GB2312" w:cs="Times New Roman"/>
          <w:color w:val="auto"/>
          <w:szCs w:val="32"/>
          <w:highlight w:val="none"/>
          <w:lang w:val="en-US" w:eastAsia="zh-CN"/>
        </w:rPr>
        <w:t>19.71</w:t>
      </w:r>
      <w:r>
        <w:rPr>
          <w:rFonts w:hint="eastAsia" w:ascii="仿宋_GB2312" w:hAnsi="Times New Roman" w:cs="Times New Roman"/>
          <w:color w:val="auto"/>
          <w:szCs w:val="32"/>
          <w:highlight w:val="none"/>
        </w:rPr>
        <w:t>%。所设分值</w:t>
      </w:r>
      <w:r>
        <w:rPr>
          <w:rFonts w:hint="eastAsia" w:ascii="仿宋_GB2312" w:cs="Times New Roman"/>
          <w:color w:val="auto"/>
          <w:szCs w:val="32"/>
          <w:highlight w:val="none"/>
          <w:lang w:val="en-US" w:eastAsia="zh-CN"/>
        </w:rPr>
        <w:t>4</w:t>
      </w:r>
      <w:r>
        <w:rPr>
          <w:rFonts w:hint="eastAsia" w:ascii="仿宋_GB2312" w:hAnsi="Times New Roman" w:cs="Times New Roman"/>
          <w:color w:val="auto"/>
          <w:szCs w:val="32"/>
          <w:highlight w:val="none"/>
        </w:rPr>
        <w:t>分，实际得分</w:t>
      </w:r>
      <w:r>
        <w:rPr>
          <w:rFonts w:hint="eastAsia" w:ascii="仿宋_GB2312" w:cs="Times New Roman"/>
          <w:color w:val="auto"/>
          <w:szCs w:val="32"/>
          <w:highlight w:val="none"/>
          <w:lang w:val="en-US" w:eastAsia="zh-CN"/>
        </w:rPr>
        <w:t>0.79</w:t>
      </w:r>
      <w:r>
        <w:rPr>
          <w:rFonts w:hint="eastAsia" w:ascii="仿宋_GB2312" w:hAnsi="Times New Roman" w:cs="Times New Roman"/>
          <w:color w:val="auto"/>
          <w:szCs w:val="32"/>
          <w:highlight w:val="none"/>
        </w:rPr>
        <w:t>分。偏差原因：项目已完工，经相关决算审定，工程审定价为215.23万元，其中已支付192.31万元，尚有应付款为22.92万元。改进措施：加强项目建设资金管理。</w:t>
      </w:r>
    </w:p>
    <w:bookmarkEnd w:id="7"/>
    <w:p w14:paraId="11EDCD43">
      <w:pPr>
        <w:pStyle w:val="33"/>
        <w:rPr>
          <w:color w:val="auto"/>
          <w:highlight w:val="none"/>
        </w:rPr>
      </w:pPr>
      <w:r>
        <w:rPr>
          <w:rFonts w:hint="eastAsia"/>
          <w:color w:val="auto"/>
          <w:highlight w:val="none"/>
        </w:rPr>
        <w:t>2.效益指标完成情况分析</w:t>
      </w:r>
    </w:p>
    <w:p w14:paraId="1EDA4343">
      <w:pPr>
        <w:pStyle w:val="52"/>
        <w:spacing w:line="560" w:lineRule="exact"/>
        <w:ind w:left="0" w:leftChars="0" w:right="0" w:rightChars="0" w:firstLine="560"/>
        <w:rPr>
          <w:color w:val="auto"/>
          <w:highlight w:val="none"/>
        </w:rPr>
      </w:pPr>
      <w:r>
        <w:rPr>
          <w:color w:val="auto"/>
          <w:highlight w:val="none"/>
        </w:rPr>
        <w:t>2.1项目实施的</w:t>
      </w:r>
      <w:r>
        <w:rPr>
          <w:rFonts w:hint="eastAsia"/>
          <w:color w:val="auto"/>
          <w:highlight w:val="none"/>
          <w:lang w:val="en-US" w:eastAsia="zh-CN"/>
        </w:rPr>
        <w:t>经济</w:t>
      </w:r>
      <w:r>
        <w:rPr>
          <w:color w:val="auto"/>
          <w:highlight w:val="none"/>
        </w:rPr>
        <w:t>效益分析</w:t>
      </w:r>
    </w:p>
    <w:p w14:paraId="5D25966A">
      <w:pPr>
        <w:pStyle w:val="52"/>
        <w:spacing w:line="560" w:lineRule="exact"/>
        <w:ind w:left="0" w:leftChars="0" w:right="0" w:rightChars="0" w:firstLine="560"/>
        <w:rPr>
          <w:color w:val="auto"/>
          <w:highlight w:val="none"/>
        </w:rPr>
      </w:pPr>
      <w:bookmarkStart w:id="8" w:name="OLE_LINK3"/>
      <w:r>
        <w:rPr>
          <w:rFonts w:hint="eastAsia"/>
          <w:color w:val="auto"/>
          <w:highlight w:val="none"/>
        </w:rPr>
        <w:t>“带动增加劳动者全年总收入”指标，指标预期值为</w:t>
      </w:r>
      <w:r>
        <w:rPr>
          <w:rFonts w:hint="eastAsia"/>
          <w:color w:val="auto"/>
          <w:highlight w:val="none"/>
          <w:lang w:eastAsia="zh-CN"/>
        </w:rPr>
        <w:t>大于等于</w:t>
      </w:r>
      <w:r>
        <w:rPr>
          <w:rFonts w:hint="eastAsia"/>
          <w:color w:val="auto"/>
          <w:highlight w:val="none"/>
        </w:rPr>
        <w:t>48万元，实际完成值为</w:t>
      </w:r>
      <w:r>
        <w:rPr>
          <w:rFonts w:hint="eastAsia"/>
          <w:color w:val="auto"/>
          <w:highlight w:val="none"/>
          <w:lang w:val="en-US" w:eastAsia="zh-CN"/>
        </w:rPr>
        <w:t>124.88万元</w:t>
      </w:r>
      <w:r>
        <w:rPr>
          <w:rFonts w:hint="eastAsia"/>
          <w:color w:val="auto"/>
          <w:highlight w:val="none"/>
        </w:rPr>
        <w:t>，指标完成率为</w:t>
      </w:r>
      <w:r>
        <w:rPr>
          <w:rFonts w:hint="eastAsia"/>
          <w:color w:val="auto"/>
          <w:highlight w:val="none"/>
          <w:lang w:val="en-US" w:eastAsia="zh-CN"/>
        </w:rPr>
        <w:t>99</w:t>
      </w:r>
      <w:r>
        <w:rPr>
          <w:rFonts w:hint="eastAsia"/>
          <w:color w:val="auto"/>
          <w:highlight w:val="none"/>
        </w:rPr>
        <w:t>%。所设分值</w:t>
      </w:r>
      <w:r>
        <w:rPr>
          <w:rFonts w:hint="eastAsia"/>
          <w:color w:val="auto"/>
          <w:highlight w:val="none"/>
          <w:lang w:val="en-US" w:eastAsia="zh-CN"/>
        </w:rPr>
        <w:t>10</w:t>
      </w:r>
      <w:r>
        <w:rPr>
          <w:rFonts w:hint="eastAsia"/>
          <w:color w:val="auto"/>
          <w:highlight w:val="none"/>
        </w:rPr>
        <w:t>分，实际得分</w:t>
      </w:r>
      <w:r>
        <w:rPr>
          <w:rFonts w:hint="eastAsia"/>
          <w:color w:val="auto"/>
          <w:highlight w:val="none"/>
          <w:lang w:val="en-US" w:eastAsia="zh-CN"/>
        </w:rPr>
        <w:t>9.9</w:t>
      </w:r>
      <w:r>
        <w:rPr>
          <w:rFonts w:hint="eastAsia"/>
          <w:color w:val="auto"/>
          <w:highlight w:val="none"/>
        </w:rPr>
        <w:t>分。</w:t>
      </w:r>
      <w:bookmarkEnd w:id="8"/>
      <w:r>
        <w:rPr>
          <w:rFonts w:hint="eastAsia"/>
          <w:color w:val="auto"/>
          <w:highlight w:val="none"/>
        </w:rPr>
        <w:t>偏差原因：项目根据实际需求劳动人数增加，收入增加。改进措施：加强项目管理。</w:t>
      </w:r>
      <w:r>
        <w:rPr>
          <w:color w:val="auto"/>
          <w:highlight w:val="none"/>
        </w:rPr>
        <w:t xml:space="preserve">  </w:t>
      </w:r>
    </w:p>
    <w:p w14:paraId="2FD99DA2">
      <w:pPr>
        <w:pStyle w:val="52"/>
        <w:spacing w:line="560" w:lineRule="exact"/>
        <w:ind w:left="0" w:leftChars="0" w:right="0" w:rightChars="0" w:firstLine="560"/>
        <w:rPr>
          <w:color w:val="auto"/>
          <w:highlight w:val="none"/>
        </w:rPr>
      </w:pPr>
      <w:r>
        <w:rPr>
          <w:color w:val="auto"/>
          <w:highlight w:val="none"/>
        </w:rPr>
        <w:t>2.</w:t>
      </w:r>
      <w:r>
        <w:rPr>
          <w:rFonts w:hint="eastAsia"/>
          <w:color w:val="auto"/>
          <w:highlight w:val="none"/>
          <w:lang w:val="en-US" w:eastAsia="zh-CN"/>
        </w:rPr>
        <w:t>2</w:t>
      </w:r>
      <w:r>
        <w:rPr>
          <w:color w:val="auto"/>
          <w:highlight w:val="none"/>
        </w:rPr>
        <w:t>项目实施的</w:t>
      </w:r>
      <w:r>
        <w:rPr>
          <w:rFonts w:hint="eastAsia"/>
          <w:color w:val="auto"/>
          <w:highlight w:val="none"/>
          <w:lang w:val="en-US" w:eastAsia="zh-CN"/>
        </w:rPr>
        <w:t>社会</w:t>
      </w:r>
      <w:r>
        <w:rPr>
          <w:color w:val="auto"/>
          <w:highlight w:val="none"/>
        </w:rPr>
        <w:t>效益分析</w:t>
      </w:r>
    </w:p>
    <w:p w14:paraId="4B994F9E">
      <w:pPr>
        <w:pStyle w:val="52"/>
        <w:spacing w:line="560" w:lineRule="exact"/>
        <w:ind w:left="0" w:leftChars="0" w:right="0" w:rightChars="0" w:firstLine="560"/>
        <w:rPr>
          <w:color w:val="auto"/>
          <w:highlight w:val="none"/>
        </w:rPr>
      </w:pPr>
      <w:r>
        <w:rPr>
          <w:rFonts w:hint="eastAsia"/>
          <w:color w:val="auto"/>
          <w:highlight w:val="none"/>
        </w:rPr>
        <w:t>“受益劳动者人数”指标，指标预期值为</w:t>
      </w:r>
      <w:bookmarkStart w:id="9" w:name="OLE_LINK4"/>
      <w:r>
        <w:rPr>
          <w:rFonts w:hint="eastAsia"/>
          <w:color w:val="auto"/>
          <w:highlight w:val="none"/>
          <w:lang w:eastAsia="zh-CN"/>
        </w:rPr>
        <w:t>大于等于</w:t>
      </w:r>
      <w:r>
        <w:rPr>
          <w:rFonts w:hint="eastAsia"/>
          <w:color w:val="auto"/>
          <w:highlight w:val="none"/>
          <w:lang w:val="en-US" w:eastAsia="zh-CN"/>
        </w:rPr>
        <w:t>20人</w:t>
      </w:r>
      <w:bookmarkEnd w:id="9"/>
      <w:r>
        <w:rPr>
          <w:rFonts w:hint="eastAsia"/>
          <w:color w:val="auto"/>
          <w:highlight w:val="none"/>
        </w:rPr>
        <w:t>，实际完成值为</w:t>
      </w:r>
      <w:r>
        <w:rPr>
          <w:rFonts w:hint="eastAsia"/>
          <w:color w:val="auto"/>
          <w:highlight w:val="none"/>
          <w:lang w:val="en-US" w:eastAsia="zh-CN"/>
        </w:rPr>
        <w:t>30人</w:t>
      </w:r>
      <w:r>
        <w:rPr>
          <w:rFonts w:hint="eastAsia"/>
          <w:color w:val="auto"/>
          <w:highlight w:val="none"/>
        </w:rPr>
        <w:t>，指标完成率为</w:t>
      </w:r>
      <w:r>
        <w:rPr>
          <w:rFonts w:hint="eastAsia"/>
          <w:color w:val="auto"/>
          <w:highlight w:val="none"/>
          <w:lang w:val="en-US" w:eastAsia="zh-CN"/>
        </w:rPr>
        <w:t>100</w:t>
      </w:r>
      <w:r>
        <w:rPr>
          <w:rFonts w:hint="eastAsia"/>
          <w:color w:val="auto"/>
          <w:highlight w:val="none"/>
        </w:rPr>
        <w:t>%。。所设分值</w:t>
      </w:r>
      <w:r>
        <w:rPr>
          <w:rFonts w:hint="eastAsia"/>
          <w:color w:val="auto"/>
          <w:highlight w:val="none"/>
          <w:lang w:val="en-US" w:eastAsia="zh-CN"/>
        </w:rPr>
        <w:t>10</w:t>
      </w:r>
      <w:r>
        <w:rPr>
          <w:rFonts w:hint="eastAsia"/>
          <w:color w:val="auto"/>
          <w:highlight w:val="none"/>
        </w:rPr>
        <w:t>分，实际得分</w:t>
      </w:r>
      <w:r>
        <w:rPr>
          <w:rFonts w:hint="eastAsia"/>
          <w:color w:val="auto"/>
          <w:highlight w:val="none"/>
          <w:lang w:val="en-US" w:eastAsia="zh-CN"/>
        </w:rPr>
        <w:t>10</w:t>
      </w:r>
      <w:r>
        <w:rPr>
          <w:rFonts w:hint="eastAsia"/>
          <w:color w:val="auto"/>
          <w:highlight w:val="none"/>
        </w:rPr>
        <w:t>分。偏差原因：项目根据实际需求劳动人数增加。改进措施：加强项目管理。</w:t>
      </w:r>
    </w:p>
    <w:p w14:paraId="37D56242">
      <w:pPr>
        <w:pStyle w:val="52"/>
        <w:spacing w:line="560" w:lineRule="exact"/>
        <w:ind w:left="0" w:leftChars="0" w:right="0" w:rightChars="0" w:firstLine="560"/>
        <w:rPr>
          <w:color w:val="auto"/>
          <w:highlight w:val="none"/>
        </w:rPr>
      </w:pPr>
      <w:r>
        <w:rPr>
          <w:color w:val="auto"/>
          <w:highlight w:val="none"/>
        </w:rPr>
        <w:t>2.4项目实施的可持续影响分析</w:t>
      </w:r>
    </w:p>
    <w:p w14:paraId="700F79DE">
      <w:pPr>
        <w:pStyle w:val="52"/>
        <w:spacing w:line="560" w:lineRule="exact"/>
        <w:ind w:left="0" w:leftChars="0" w:right="0" w:rightChars="0" w:firstLine="560"/>
        <w:rPr>
          <w:rFonts w:hint="eastAsia" w:ascii="Times New Roman" w:hAnsi="Times New Roman" w:cs="Times New Roman"/>
          <w:color w:val="auto"/>
          <w:highlight w:val="none"/>
        </w:rPr>
      </w:pPr>
      <w:r>
        <w:rPr>
          <w:rFonts w:hint="eastAsia"/>
          <w:color w:val="auto"/>
          <w:highlight w:val="none"/>
        </w:rPr>
        <w:t>“商铺设计使用年限”指标，指标预期值为</w:t>
      </w:r>
      <w:r>
        <w:rPr>
          <w:rFonts w:hint="eastAsia"/>
          <w:color w:val="auto"/>
          <w:highlight w:val="none"/>
          <w:lang w:eastAsia="zh-CN"/>
        </w:rPr>
        <w:t>大于等于</w:t>
      </w:r>
      <w:r>
        <w:rPr>
          <w:rFonts w:hint="eastAsia"/>
          <w:color w:val="auto"/>
          <w:highlight w:val="none"/>
          <w:lang w:val="en-US" w:eastAsia="zh-CN"/>
        </w:rPr>
        <w:t>25年</w:t>
      </w:r>
      <w:r>
        <w:rPr>
          <w:rFonts w:hint="eastAsia"/>
          <w:color w:val="auto"/>
          <w:highlight w:val="none"/>
        </w:rPr>
        <w:t>，实际完成值为</w:t>
      </w:r>
      <w:r>
        <w:rPr>
          <w:rFonts w:hint="eastAsia"/>
          <w:color w:val="auto"/>
          <w:highlight w:val="none"/>
          <w:lang w:val="en-US" w:eastAsia="zh-CN"/>
        </w:rPr>
        <w:t>25年</w:t>
      </w:r>
      <w:r>
        <w:rPr>
          <w:rFonts w:hint="eastAsia"/>
          <w:color w:val="auto"/>
          <w:highlight w:val="none"/>
        </w:rPr>
        <w:t>，指标完成率为1</w:t>
      </w:r>
      <w:r>
        <w:rPr>
          <w:rFonts w:hint="eastAsia"/>
          <w:color w:val="auto"/>
          <w:highlight w:val="none"/>
          <w:lang w:val="en-US" w:eastAsia="zh-CN"/>
        </w:rPr>
        <w:t>0</w:t>
      </w:r>
      <w:r>
        <w:rPr>
          <w:rFonts w:hint="eastAsia"/>
          <w:color w:val="auto"/>
          <w:highlight w:val="none"/>
        </w:rPr>
        <w:t>0.00%。。所设分值</w:t>
      </w:r>
      <w:r>
        <w:rPr>
          <w:rFonts w:hint="eastAsia"/>
          <w:color w:val="auto"/>
          <w:highlight w:val="none"/>
          <w:lang w:val="en-US" w:eastAsia="zh-CN"/>
        </w:rPr>
        <w:t>10</w:t>
      </w:r>
      <w:r>
        <w:rPr>
          <w:rFonts w:hint="eastAsia"/>
          <w:color w:val="auto"/>
          <w:highlight w:val="none"/>
        </w:rPr>
        <w:t>分，实际得分</w:t>
      </w:r>
      <w:r>
        <w:rPr>
          <w:rFonts w:hint="eastAsia"/>
          <w:color w:val="auto"/>
          <w:highlight w:val="none"/>
          <w:lang w:val="en-US" w:eastAsia="zh-CN"/>
        </w:rPr>
        <w:t>10</w:t>
      </w:r>
      <w:r>
        <w:rPr>
          <w:rFonts w:hint="eastAsia"/>
          <w:color w:val="auto"/>
          <w:highlight w:val="none"/>
        </w:rPr>
        <w:t>分</w:t>
      </w:r>
      <w:r>
        <w:rPr>
          <w:rFonts w:hint="eastAsia" w:ascii="Times New Roman" w:hAnsi="Times New Roman" w:cs="Times New Roman"/>
          <w:color w:val="auto"/>
          <w:highlight w:val="none"/>
        </w:rPr>
        <w:t>。</w:t>
      </w:r>
    </w:p>
    <w:p w14:paraId="18BC0243">
      <w:pPr>
        <w:pStyle w:val="33"/>
        <w:rPr>
          <w:color w:val="auto"/>
          <w:highlight w:val="none"/>
        </w:rPr>
      </w:pPr>
      <w:r>
        <w:rPr>
          <w:rFonts w:hint="eastAsia"/>
          <w:color w:val="auto"/>
          <w:highlight w:val="none"/>
        </w:rPr>
        <w:t>3.满意度指标完成情况分析</w:t>
      </w:r>
    </w:p>
    <w:p w14:paraId="4F43D57A">
      <w:pPr>
        <w:spacing w:line="560" w:lineRule="exact"/>
        <w:ind w:firstLine="544" w:firstLineChars="200"/>
        <w:rPr>
          <w:rFonts w:ascii="仿宋_GB2312" w:hAnsi="Times New Roman" w:eastAsia="仿宋_GB2312" w:cs="Times New Roman"/>
          <w:bCs/>
          <w:color w:val="auto"/>
          <w:spacing w:val="-4"/>
          <w:sz w:val="28"/>
          <w:szCs w:val="28"/>
          <w:highlight w:val="none"/>
        </w:rPr>
      </w:pPr>
      <w:r>
        <w:rPr>
          <w:rFonts w:hint="eastAsia" w:ascii="仿宋_GB2312" w:hAnsi="Times New Roman" w:eastAsia="仿宋_GB2312" w:cs="Times New Roman"/>
          <w:bCs/>
          <w:color w:val="auto"/>
          <w:spacing w:val="-4"/>
          <w:sz w:val="28"/>
          <w:szCs w:val="28"/>
          <w:highlight w:val="none"/>
        </w:rPr>
        <w:t>“就业人员满意度”指标，指标预期指标值为</w:t>
      </w:r>
      <w:r>
        <w:rPr>
          <w:rFonts w:hint="eastAsia" w:ascii="仿宋_GB2312" w:hAnsi="Times New Roman" w:eastAsia="仿宋_GB2312" w:cs="Times New Roman"/>
          <w:bCs/>
          <w:color w:val="auto"/>
          <w:spacing w:val="-4"/>
          <w:sz w:val="28"/>
          <w:szCs w:val="28"/>
          <w:highlight w:val="none"/>
          <w:lang w:eastAsia="zh-CN"/>
        </w:rPr>
        <w:t>大于等于</w:t>
      </w:r>
      <w:r>
        <w:rPr>
          <w:rFonts w:hint="eastAsia" w:ascii="仿宋_GB2312" w:hAnsi="Times New Roman" w:eastAsia="仿宋_GB2312" w:cs="Times New Roman"/>
          <w:bCs/>
          <w:color w:val="auto"/>
          <w:spacing w:val="-4"/>
          <w:sz w:val="28"/>
          <w:szCs w:val="28"/>
          <w:highlight w:val="none"/>
        </w:rPr>
        <w:t>95%，实际完成值为</w:t>
      </w:r>
      <w:r>
        <w:rPr>
          <w:rFonts w:hint="eastAsia" w:ascii="仿宋_GB2312" w:hAnsi="Times New Roman" w:eastAsia="仿宋_GB2312" w:cs="Times New Roman"/>
          <w:bCs/>
          <w:color w:val="auto"/>
          <w:spacing w:val="-4"/>
          <w:sz w:val="28"/>
          <w:szCs w:val="28"/>
          <w:highlight w:val="none"/>
          <w:lang w:val="en-US" w:eastAsia="zh-CN"/>
        </w:rPr>
        <w:t>95</w:t>
      </w:r>
      <w:r>
        <w:rPr>
          <w:rFonts w:hint="eastAsia" w:ascii="仿宋_GB2312" w:hAnsi="Times New Roman" w:eastAsia="仿宋_GB2312" w:cs="Times New Roman"/>
          <w:bCs/>
          <w:color w:val="auto"/>
          <w:spacing w:val="-4"/>
          <w:sz w:val="28"/>
          <w:szCs w:val="28"/>
          <w:highlight w:val="none"/>
        </w:rPr>
        <w:t>%，指标完成率为100.00%。所设分值10分，实际得分10分。</w:t>
      </w:r>
    </w:p>
    <w:p w14:paraId="05B300D7">
      <w:pPr>
        <w:pStyle w:val="29"/>
        <w:spacing w:beforeLines="0" w:line="560" w:lineRule="exact"/>
        <w:ind w:left="0" w:leftChars="0" w:right="0" w:rightChars="0" w:firstLine="544" w:firstLineChars="200"/>
        <w:rPr>
          <w:rFonts w:ascii="仿宋_GB2312" w:hAnsi="Times New Roman" w:eastAsia="仿宋_GB2312" w:cs="Times New Roman"/>
          <w:b w:val="0"/>
          <w:color w:val="auto"/>
          <w:spacing w:val="-4"/>
          <w:szCs w:val="28"/>
          <w:highlight w:val="none"/>
        </w:rPr>
      </w:pPr>
      <w:r>
        <w:rPr>
          <w:rFonts w:hint="eastAsia" w:ascii="仿宋_GB2312" w:hAnsi="Times New Roman" w:eastAsia="仿宋_GB2312" w:cs="Times New Roman"/>
          <w:b w:val="0"/>
          <w:color w:val="auto"/>
          <w:spacing w:val="-4"/>
          <w:szCs w:val="28"/>
          <w:highlight w:val="none"/>
        </w:rPr>
        <w:t>项目实施完成后我单位就该项目的满意度采取抽样发放调查问卷的方式开展调查，通过对调查问卷的梳理和统计，满意度指标综合满意率为</w:t>
      </w:r>
      <w:r>
        <w:rPr>
          <w:rFonts w:hint="eastAsia" w:ascii="仿宋_GB2312" w:hAnsi="Times New Roman" w:eastAsia="仿宋_GB2312" w:cs="Times New Roman"/>
          <w:b w:val="0"/>
          <w:color w:val="auto"/>
          <w:spacing w:val="-4"/>
          <w:szCs w:val="28"/>
          <w:highlight w:val="none"/>
          <w:lang w:val="en-US" w:eastAsia="zh-CN"/>
        </w:rPr>
        <w:t>95</w:t>
      </w:r>
      <w:r>
        <w:rPr>
          <w:rFonts w:hint="eastAsia" w:ascii="仿宋_GB2312" w:hAnsi="Times New Roman" w:eastAsia="仿宋_GB2312" w:cs="Times New Roman"/>
          <w:b w:val="0"/>
          <w:color w:val="auto"/>
          <w:spacing w:val="-4"/>
          <w:szCs w:val="28"/>
          <w:highlight w:val="none"/>
        </w:rPr>
        <w:t>%。</w:t>
      </w:r>
    </w:p>
    <w:p w14:paraId="725F27BB">
      <w:pPr>
        <w:pStyle w:val="29"/>
        <w:spacing w:before="120"/>
        <w:ind w:left="0" w:leftChars="0" w:right="3" w:firstLine="562" w:firstLineChars="200"/>
        <w:rPr>
          <w:color w:val="auto"/>
          <w:highlight w:val="none"/>
        </w:rPr>
      </w:pPr>
      <w:r>
        <w:rPr>
          <w:rFonts w:hint="eastAsia"/>
          <w:color w:val="auto"/>
          <w:highlight w:val="none"/>
        </w:rPr>
        <w:t>四、偏离绩效目标的原因和下一步改进措施</w:t>
      </w:r>
    </w:p>
    <w:p w14:paraId="1E52088E">
      <w:pPr>
        <w:pStyle w:val="52"/>
        <w:spacing w:line="560" w:lineRule="exact"/>
        <w:ind w:left="3" w:right="3" w:firstLine="552"/>
        <w:rPr>
          <w:rFonts w:hint="eastAsia" w:ascii="仿宋_GB2312" w:hAnsi="Times New Roman" w:cs="Times New Roman"/>
          <w:color w:val="auto"/>
          <w:szCs w:val="32"/>
          <w:highlight w:val="none"/>
        </w:rPr>
      </w:pPr>
      <w:r>
        <w:rPr>
          <w:rFonts w:hint="eastAsia" w:ascii="仿宋_GB2312"/>
          <w:color w:val="auto"/>
          <w:spacing w:val="-4"/>
          <w:szCs w:val="32"/>
          <w:highlight w:val="none"/>
        </w:rPr>
        <w:t>1.</w:t>
      </w:r>
      <w:r>
        <w:rPr>
          <w:rFonts w:hint="eastAsia" w:ascii="仿宋_GB2312"/>
          <w:color w:val="auto"/>
          <w:spacing w:val="-4"/>
          <w:szCs w:val="32"/>
          <w:highlight w:val="none"/>
          <w:lang w:eastAsia="zh-CN"/>
        </w:rPr>
        <w:t>数量</w:t>
      </w:r>
      <w:r>
        <w:rPr>
          <w:rFonts w:hint="eastAsia" w:ascii="仿宋_GB2312"/>
          <w:color w:val="auto"/>
          <w:spacing w:val="-4"/>
          <w:szCs w:val="32"/>
          <w:highlight w:val="none"/>
        </w:rPr>
        <w:t>指标-</w:t>
      </w:r>
      <w:r>
        <w:rPr>
          <w:rFonts w:hint="eastAsia" w:ascii="仿宋_GB2312" w:hAnsi="Times New Roman" w:cs="Times New Roman"/>
          <w:color w:val="auto"/>
          <w:szCs w:val="32"/>
          <w:highlight w:val="none"/>
        </w:rPr>
        <w:t>“</w:t>
      </w:r>
      <w:r>
        <w:rPr>
          <w:rFonts w:hint="eastAsia" w:ascii="仿宋_GB2312" w:hAnsi="Times New Roman" w:cs="Times New Roman"/>
          <w:color w:val="auto"/>
          <w:szCs w:val="32"/>
          <w:highlight w:val="none"/>
          <w:lang w:eastAsia="zh-CN"/>
        </w:rPr>
        <w:t>新建商铺数量</w:t>
      </w:r>
      <w:r>
        <w:rPr>
          <w:rFonts w:hint="eastAsia" w:ascii="仿宋_GB2312" w:hAnsi="Times New Roman" w:cs="Times New Roman"/>
          <w:color w:val="auto"/>
          <w:szCs w:val="32"/>
          <w:highlight w:val="none"/>
        </w:rPr>
        <w:t>”指标，预期指标值为</w:t>
      </w:r>
      <w:r>
        <w:rPr>
          <w:rFonts w:hint="eastAsia" w:ascii="仿宋_GB2312" w:cs="Times New Roman"/>
          <w:color w:val="auto"/>
          <w:szCs w:val="32"/>
          <w:highlight w:val="none"/>
          <w:lang w:val="en-US" w:eastAsia="zh-CN"/>
        </w:rPr>
        <w:t>等于</w:t>
      </w:r>
      <w:r>
        <w:rPr>
          <w:rFonts w:hint="eastAsia" w:ascii="仿宋_GB2312" w:hAnsi="Times New Roman" w:cs="Times New Roman"/>
          <w:color w:val="auto"/>
          <w:szCs w:val="32"/>
          <w:highlight w:val="none"/>
          <w:lang w:val="en-US" w:eastAsia="zh-CN"/>
        </w:rPr>
        <w:t>1栋</w:t>
      </w:r>
      <w:r>
        <w:rPr>
          <w:rFonts w:hint="eastAsia" w:ascii="仿宋_GB2312" w:hAnsi="Times New Roman" w:cs="Times New Roman"/>
          <w:color w:val="auto"/>
          <w:szCs w:val="32"/>
          <w:highlight w:val="none"/>
        </w:rPr>
        <w:t>,全年实际值为</w:t>
      </w:r>
      <w:r>
        <w:rPr>
          <w:rFonts w:hint="eastAsia" w:ascii="仿宋_GB2312" w:cs="Times New Roman"/>
          <w:color w:val="auto"/>
          <w:szCs w:val="32"/>
          <w:highlight w:val="none"/>
          <w:lang w:val="en-US" w:eastAsia="zh-CN"/>
        </w:rPr>
        <w:t>0</w:t>
      </w:r>
      <w:r>
        <w:rPr>
          <w:rFonts w:hint="eastAsia" w:ascii="仿宋_GB2312" w:hAnsi="Times New Roman" w:cs="Times New Roman"/>
          <w:color w:val="auto"/>
          <w:szCs w:val="32"/>
          <w:highlight w:val="none"/>
        </w:rPr>
        <w:t>。</w:t>
      </w:r>
    </w:p>
    <w:p w14:paraId="45FCF2B0">
      <w:pPr>
        <w:pStyle w:val="52"/>
        <w:ind w:left="0" w:leftChars="0" w:right="0" w:rightChars="0" w:firstLine="560"/>
        <w:rPr>
          <w:rFonts w:hint="eastAsia" w:ascii="仿宋_GB2312"/>
          <w:color w:val="auto"/>
          <w:spacing w:val="-4"/>
          <w:szCs w:val="32"/>
          <w:highlight w:val="none"/>
        </w:rPr>
      </w:pPr>
      <w:r>
        <w:rPr>
          <w:rFonts w:hint="eastAsia" w:ascii="仿宋_GB2312" w:hAnsi="Times New Roman" w:cs="Times New Roman"/>
          <w:color w:val="auto"/>
          <w:szCs w:val="32"/>
          <w:highlight w:val="none"/>
        </w:rPr>
        <w:t>偏差原因：项目由于用地手续未审批通过，暂未实施。改进措施：加强项目管理</w:t>
      </w:r>
      <w:r>
        <w:rPr>
          <w:rFonts w:hint="eastAsia" w:ascii="仿宋_GB2312"/>
          <w:color w:val="auto"/>
          <w:spacing w:val="-4"/>
          <w:szCs w:val="32"/>
          <w:highlight w:val="none"/>
        </w:rPr>
        <w:t>。</w:t>
      </w:r>
    </w:p>
    <w:p w14:paraId="35521810">
      <w:pPr>
        <w:pStyle w:val="52"/>
        <w:ind w:left="0" w:leftChars="0" w:right="0" w:rightChars="0" w:firstLine="560"/>
        <w:rPr>
          <w:rFonts w:hint="eastAsia" w:ascii="仿宋_GB2312" w:hAnsi="Times New Roman" w:cs="Times New Roman"/>
          <w:color w:val="auto"/>
          <w:szCs w:val="32"/>
          <w:highlight w:val="none"/>
        </w:rPr>
      </w:pPr>
      <w:r>
        <w:rPr>
          <w:rFonts w:hint="eastAsia" w:ascii="仿宋_GB2312" w:hAnsi="Times New Roman" w:cs="Times New Roman"/>
          <w:color w:val="auto"/>
          <w:szCs w:val="32"/>
          <w:highlight w:val="none"/>
        </w:rPr>
        <w:t>“</w:t>
      </w:r>
      <w:r>
        <w:rPr>
          <w:rFonts w:hint="eastAsia" w:ascii="仿宋_GB2312" w:hAnsi="Times New Roman" w:cs="Times New Roman"/>
          <w:color w:val="auto"/>
          <w:szCs w:val="32"/>
          <w:highlight w:val="none"/>
          <w:lang w:eastAsia="zh-CN"/>
        </w:rPr>
        <w:t>商铺总建筑面积</w:t>
      </w:r>
      <w:r>
        <w:rPr>
          <w:rFonts w:hint="eastAsia" w:ascii="仿宋_GB2312" w:hAnsi="Times New Roman" w:cs="Times New Roman"/>
          <w:color w:val="auto"/>
          <w:szCs w:val="32"/>
          <w:highlight w:val="none"/>
        </w:rPr>
        <w:t>”指标，预期指标值为</w:t>
      </w:r>
      <w:r>
        <w:rPr>
          <w:rFonts w:hint="eastAsia" w:ascii="仿宋_GB2312" w:cs="Times New Roman"/>
          <w:color w:val="auto"/>
          <w:szCs w:val="32"/>
          <w:highlight w:val="none"/>
          <w:lang w:val="en-US" w:eastAsia="zh-CN"/>
        </w:rPr>
        <w:t>大于等于</w:t>
      </w:r>
      <w:r>
        <w:rPr>
          <w:rFonts w:hint="eastAsia" w:ascii="仿宋_GB2312" w:hAnsi="Times New Roman" w:cs="Times New Roman"/>
          <w:color w:val="auto"/>
          <w:szCs w:val="32"/>
          <w:highlight w:val="none"/>
          <w:lang w:val="en-US" w:eastAsia="zh-CN"/>
        </w:rPr>
        <w:t>1176平方米</w:t>
      </w:r>
      <w:r>
        <w:rPr>
          <w:rFonts w:hint="eastAsia" w:ascii="仿宋_GB2312" w:hAnsi="Times New Roman" w:cs="Times New Roman"/>
          <w:color w:val="auto"/>
          <w:szCs w:val="32"/>
          <w:highlight w:val="none"/>
        </w:rPr>
        <w:t>,全年实际值为</w:t>
      </w:r>
      <w:r>
        <w:rPr>
          <w:rFonts w:hint="eastAsia" w:ascii="仿宋_GB2312" w:cs="Times New Roman"/>
          <w:color w:val="auto"/>
          <w:szCs w:val="32"/>
          <w:highlight w:val="none"/>
          <w:lang w:val="en-US" w:eastAsia="zh-CN"/>
        </w:rPr>
        <w:t>0</w:t>
      </w:r>
      <w:r>
        <w:rPr>
          <w:rFonts w:hint="eastAsia" w:ascii="仿宋_GB2312" w:hAnsi="Times New Roman" w:cs="Times New Roman"/>
          <w:color w:val="auto"/>
          <w:szCs w:val="32"/>
          <w:highlight w:val="none"/>
          <w:lang w:val="en-US" w:eastAsia="zh-CN"/>
        </w:rPr>
        <w:t>平方米</w:t>
      </w:r>
      <w:r>
        <w:rPr>
          <w:rFonts w:hint="eastAsia" w:ascii="仿宋_GB2312" w:hAnsi="Times New Roman" w:cs="Times New Roman"/>
          <w:color w:val="auto"/>
          <w:szCs w:val="32"/>
          <w:highlight w:val="none"/>
        </w:rPr>
        <w:t>。</w:t>
      </w:r>
    </w:p>
    <w:p w14:paraId="3BBB85D1">
      <w:pPr>
        <w:pStyle w:val="52"/>
        <w:ind w:left="0" w:leftChars="0" w:right="0" w:rightChars="0" w:firstLine="560"/>
        <w:rPr>
          <w:rFonts w:ascii="仿宋_GB2312"/>
          <w:color w:val="auto"/>
          <w:spacing w:val="-4"/>
          <w:szCs w:val="32"/>
          <w:highlight w:val="none"/>
        </w:rPr>
      </w:pPr>
      <w:r>
        <w:rPr>
          <w:rFonts w:hint="eastAsia" w:ascii="仿宋_GB2312" w:hAnsi="Times New Roman" w:cs="Times New Roman"/>
          <w:color w:val="auto"/>
          <w:szCs w:val="32"/>
          <w:highlight w:val="none"/>
        </w:rPr>
        <w:t>偏差原因：项目由于用地手续未审批通过，暂未实施。改进措施：加强项目管理。</w:t>
      </w:r>
    </w:p>
    <w:p w14:paraId="265BF4D8">
      <w:pPr>
        <w:pStyle w:val="52"/>
        <w:numPr>
          <w:ilvl w:val="0"/>
          <w:numId w:val="0"/>
        </w:numPr>
        <w:spacing w:line="560" w:lineRule="exact"/>
        <w:ind w:right="3" w:rightChars="1" w:firstLine="560" w:firstLineChars="200"/>
        <w:rPr>
          <w:rFonts w:ascii="仿宋_GB2312"/>
          <w:color w:val="auto"/>
          <w:spacing w:val="-4"/>
          <w:szCs w:val="32"/>
          <w:highlight w:val="none"/>
        </w:rPr>
      </w:pPr>
      <w:r>
        <w:rPr>
          <w:rFonts w:hint="eastAsia" w:ascii="仿宋_GB2312" w:hAnsi="Times New Roman" w:cs="Times New Roman"/>
          <w:color w:val="auto"/>
          <w:szCs w:val="32"/>
          <w:highlight w:val="none"/>
        </w:rPr>
        <w:t>“</w:t>
      </w:r>
      <w:r>
        <w:rPr>
          <w:rFonts w:hint="eastAsia" w:ascii="仿宋_GB2312" w:hAnsi="Times New Roman" w:cs="Times New Roman"/>
          <w:color w:val="auto"/>
          <w:szCs w:val="32"/>
          <w:highlight w:val="none"/>
          <w:lang w:eastAsia="zh-CN"/>
        </w:rPr>
        <w:t>采购餐车数量</w:t>
      </w:r>
      <w:r>
        <w:rPr>
          <w:rFonts w:hint="eastAsia" w:ascii="仿宋_GB2312" w:hAnsi="Times New Roman" w:cs="Times New Roman"/>
          <w:color w:val="auto"/>
          <w:szCs w:val="32"/>
          <w:highlight w:val="none"/>
        </w:rPr>
        <w:t>”指标，预期指标值为</w:t>
      </w:r>
      <w:r>
        <w:rPr>
          <w:rFonts w:hint="eastAsia" w:ascii="仿宋_GB2312" w:cs="Times New Roman"/>
          <w:color w:val="auto"/>
          <w:szCs w:val="32"/>
          <w:highlight w:val="none"/>
          <w:lang w:val="en-US" w:eastAsia="zh-CN"/>
        </w:rPr>
        <w:t>大于等于</w:t>
      </w:r>
      <w:r>
        <w:rPr>
          <w:rFonts w:hint="eastAsia" w:ascii="仿宋_GB2312" w:hAnsi="Times New Roman" w:cs="Times New Roman"/>
          <w:color w:val="auto"/>
          <w:szCs w:val="32"/>
          <w:highlight w:val="none"/>
          <w:lang w:val="en-US" w:eastAsia="zh-CN"/>
        </w:rPr>
        <w:t>86套</w:t>
      </w:r>
      <w:r>
        <w:rPr>
          <w:rFonts w:hint="eastAsia" w:ascii="仿宋_GB2312" w:hAnsi="Times New Roman" w:cs="Times New Roman"/>
          <w:color w:val="auto"/>
          <w:szCs w:val="32"/>
          <w:highlight w:val="none"/>
        </w:rPr>
        <w:t>,全年实际值为</w:t>
      </w:r>
      <w:r>
        <w:rPr>
          <w:rFonts w:hint="eastAsia" w:ascii="仿宋_GB2312" w:cs="Times New Roman"/>
          <w:color w:val="auto"/>
          <w:szCs w:val="32"/>
          <w:highlight w:val="none"/>
          <w:lang w:val="en-US" w:eastAsia="zh-CN"/>
        </w:rPr>
        <w:t>56套</w:t>
      </w:r>
      <w:r>
        <w:rPr>
          <w:rFonts w:hint="eastAsia" w:ascii="仿宋_GB2312" w:hAnsi="Times New Roman" w:cs="Times New Roman"/>
          <w:color w:val="auto"/>
          <w:szCs w:val="32"/>
          <w:highlight w:val="none"/>
        </w:rPr>
        <w:t>。</w:t>
      </w:r>
    </w:p>
    <w:p w14:paraId="3414FAAB">
      <w:pPr>
        <w:pStyle w:val="52"/>
        <w:numPr>
          <w:ilvl w:val="0"/>
          <w:numId w:val="0"/>
        </w:numPr>
        <w:spacing w:line="560" w:lineRule="exact"/>
        <w:ind w:right="3" w:rightChars="1" w:firstLine="560" w:firstLineChars="200"/>
        <w:rPr>
          <w:rFonts w:ascii="仿宋_GB2312"/>
          <w:color w:val="auto"/>
          <w:spacing w:val="-4"/>
          <w:szCs w:val="32"/>
          <w:highlight w:val="none"/>
        </w:rPr>
      </w:pPr>
      <w:r>
        <w:rPr>
          <w:rFonts w:hint="eastAsia" w:ascii="仿宋_GB2312" w:hAnsi="Times New Roman" w:cs="Times New Roman"/>
          <w:color w:val="auto"/>
          <w:szCs w:val="32"/>
          <w:highlight w:val="none"/>
        </w:rPr>
        <w:t>偏差原因：根据实际工程需求，数量减少。改进措施：加强项目管理</w:t>
      </w:r>
      <w:r>
        <w:rPr>
          <w:rFonts w:hint="eastAsia" w:ascii="仿宋_GB2312"/>
          <w:color w:val="auto"/>
          <w:spacing w:val="-4"/>
          <w:szCs w:val="32"/>
          <w:highlight w:val="none"/>
        </w:rPr>
        <w:t>。</w:t>
      </w:r>
    </w:p>
    <w:p w14:paraId="490F2850">
      <w:pPr>
        <w:pStyle w:val="52"/>
        <w:ind w:left="0" w:leftChars="0" w:right="0" w:rightChars="0" w:firstLine="560"/>
        <w:rPr>
          <w:rFonts w:hint="eastAsia" w:ascii="仿宋_GB2312"/>
          <w:color w:val="auto"/>
          <w:spacing w:val="-4"/>
          <w:szCs w:val="32"/>
          <w:highlight w:val="none"/>
          <w:lang w:val="en-US" w:eastAsia="zh-CN"/>
        </w:rPr>
      </w:pPr>
      <w:r>
        <w:rPr>
          <w:rFonts w:hint="eastAsia" w:ascii="仿宋_GB2312"/>
          <w:color w:val="auto"/>
          <w:spacing w:val="-4"/>
          <w:szCs w:val="32"/>
          <w:highlight w:val="none"/>
          <w:lang w:val="en-US" w:eastAsia="zh-CN"/>
        </w:rPr>
        <w:t>改进措施：按照乡村振兴衔接资金项目管理办法，后期加强项目论证，加强项目管理。</w:t>
      </w:r>
    </w:p>
    <w:p w14:paraId="5955ED76">
      <w:pPr>
        <w:pStyle w:val="52"/>
        <w:ind w:left="0" w:leftChars="0" w:right="0" w:rightChars="0" w:firstLine="560"/>
        <w:rPr>
          <w:rFonts w:hint="eastAsia" w:ascii="仿宋_GB2312" w:hAnsi="Times New Roman" w:cs="Times New Roman"/>
          <w:color w:val="auto"/>
          <w:szCs w:val="32"/>
          <w:highlight w:val="none"/>
        </w:rPr>
      </w:pPr>
      <w:r>
        <w:rPr>
          <w:rFonts w:hint="eastAsia" w:ascii="仿宋_GB2312" w:hAnsi="Times New Roman" w:cs="Times New Roman"/>
          <w:color w:val="auto"/>
          <w:szCs w:val="32"/>
          <w:highlight w:val="none"/>
        </w:rPr>
        <w:t>“</w:t>
      </w:r>
      <w:r>
        <w:rPr>
          <w:rFonts w:hint="eastAsia" w:ascii="仿宋_GB2312" w:hAnsi="Times New Roman" w:cs="Times New Roman"/>
          <w:color w:val="auto"/>
          <w:szCs w:val="32"/>
          <w:highlight w:val="none"/>
          <w:lang w:eastAsia="zh-CN"/>
        </w:rPr>
        <w:t>场地平整、地面硬化面积</w:t>
      </w:r>
      <w:r>
        <w:rPr>
          <w:rFonts w:hint="eastAsia" w:ascii="仿宋_GB2312" w:hAnsi="Times New Roman" w:cs="Times New Roman"/>
          <w:color w:val="auto"/>
          <w:szCs w:val="32"/>
          <w:highlight w:val="none"/>
        </w:rPr>
        <w:t>”指标，预期指标值为</w:t>
      </w:r>
      <w:r>
        <w:rPr>
          <w:rFonts w:hint="eastAsia" w:ascii="仿宋_GB2312" w:cs="Times New Roman"/>
          <w:color w:val="auto"/>
          <w:szCs w:val="32"/>
          <w:highlight w:val="none"/>
          <w:lang w:val="en-US" w:eastAsia="zh-CN"/>
        </w:rPr>
        <w:t>大于等于</w:t>
      </w:r>
      <w:r>
        <w:rPr>
          <w:rFonts w:hint="eastAsia" w:ascii="仿宋_GB2312" w:hAnsi="Times New Roman" w:cs="Times New Roman"/>
          <w:color w:val="auto"/>
          <w:szCs w:val="32"/>
          <w:highlight w:val="none"/>
          <w:lang w:val="en-US" w:eastAsia="zh-CN"/>
        </w:rPr>
        <w:t>4406.40平方米</w:t>
      </w:r>
      <w:r>
        <w:rPr>
          <w:rFonts w:hint="eastAsia" w:ascii="仿宋_GB2312" w:hAnsi="Times New Roman" w:cs="Times New Roman"/>
          <w:color w:val="auto"/>
          <w:szCs w:val="32"/>
          <w:highlight w:val="none"/>
        </w:rPr>
        <w:t>,全年实际值为</w:t>
      </w:r>
      <w:r>
        <w:rPr>
          <w:rFonts w:hint="eastAsia" w:ascii="仿宋_GB2312" w:hAnsi="Times New Roman" w:cs="Times New Roman"/>
          <w:color w:val="auto"/>
          <w:szCs w:val="32"/>
          <w:highlight w:val="none"/>
          <w:lang w:val="en-US" w:eastAsia="zh-CN"/>
        </w:rPr>
        <w:t>3999.64平方米</w:t>
      </w:r>
      <w:r>
        <w:rPr>
          <w:rFonts w:hint="eastAsia" w:ascii="仿宋_GB2312" w:hAnsi="Times New Roman" w:cs="Times New Roman"/>
          <w:color w:val="auto"/>
          <w:szCs w:val="32"/>
          <w:highlight w:val="none"/>
        </w:rPr>
        <w:t>。偏差原因：根据实际工程需求，数量减少。改进措施：加强项目管理。</w:t>
      </w:r>
    </w:p>
    <w:p w14:paraId="55BCBE9C">
      <w:pPr>
        <w:pStyle w:val="52"/>
        <w:ind w:left="0" w:leftChars="0" w:right="0" w:rightChars="0" w:firstLine="560"/>
        <w:rPr>
          <w:rFonts w:hint="eastAsia" w:ascii="仿宋_GB2312"/>
          <w:color w:val="auto"/>
          <w:spacing w:val="-4"/>
          <w:szCs w:val="32"/>
          <w:highlight w:val="none"/>
          <w:lang w:val="en-US" w:eastAsia="zh-CN"/>
        </w:rPr>
      </w:pPr>
      <w:r>
        <w:rPr>
          <w:rFonts w:hint="eastAsia" w:ascii="仿宋_GB2312" w:hAnsi="Times New Roman" w:cs="Times New Roman"/>
          <w:color w:val="auto"/>
          <w:szCs w:val="32"/>
          <w:highlight w:val="none"/>
        </w:rPr>
        <w:t>“</w:t>
      </w:r>
      <w:r>
        <w:rPr>
          <w:rFonts w:hint="eastAsia" w:ascii="仿宋_GB2312" w:hAnsi="Times New Roman" w:cs="Times New Roman"/>
          <w:color w:val="auto"/>
          <w:szCs w:val="32"/>
          <w:highlight w:val="none"/>
          <w:lang w:eastAsia="zh-CN"/>
        </w:rPr>
        <w:t>立柱亮化长度</w:t>
      </w:r>
      <w:r>
        <w:rPr>
          <w:rFonts w:hint="eastAsia" w:ascii="仿宋_GB2312" w:hAnsi="Times New Roman" w:cs="Times New Roman"/>
          <w:color w:val="auto"/>
          <w:szCs w:val="32"/>
          <w:highlight w:val="none"/>
        </w:rPr>
        <w:t>”指标，预期指标值为</w:t>
      </w:r>
      <w:r>
        <w:rPr>
          <w:rFonts w:hint="eastAsia" w:ascii="仿宋_GB2312" w:cs="Times New Roman"/>
          <w:color w:val="auto"/>
          <w:szCs w:val="32"/>
          <w:highlight w:val="none"/>
          <w:lang w:val="en-US" w:eastAsia="zh-CN"/>
        </w:rPr>
        <w:t>大于等于</w:t>
      </w:r>
      <w:r>
        <w:rPr>
          <w:rFonts w:hint="eastAsia" w:ascii="仿宋_GB2312" w:hAnsi="Times New Roman" w:cs="Times New Roman"/>
          <w:color w:val="auto"/>
          <w:szCs w:val="32"/>
          <w:highlight w:val="none"/>
          <w:lang w:val="en-US" w:eastAsia="zh-CN"/>
        </w:rPr>
        <w:t>305.90米</w:t>
      </w:r>
      <w:r>
        <w:rPr>
          <w:rFonts w:hint="eastAsia" w:ascii="仿宋_GB2312" w:hAnsi="Times New Roman" w:cs="Times New Roman"/>
          <w:color w:val="auto"/>
          <w:szCs w:val="32"/>
          <w:highlight w:val="none"/>
        </w:rPr>
        <w:t>,全年实际值为</w:t>
      </w:r>
      <w:r>
        <w:rPr>
          <w:rFonts w:hint="eastAsia" w:ascii="仿宋_GB2312" w:hAnsi="Times New Roman" w:cs="Times New Roman"/>
          <w:color w:val="auto"/>
          <w:szCs w:val="32"/>
          <w:highlight w:val="none"/>
          <w:lang w:val="en-US" w:eastAsia="zh-CN"/>
        </w:rPr>
        <w:t>305.90米</w:t>
      </w:r>
      <w:r>
        <w:rPr>
          <w:rFonts w:hint="eastAsia" w:ascii="仿宋_GB2312" w:hAnsi="Times New Roman" w:cs="Times New Roman"/>
          <w:color w:val="auto"/>
          <w:szCs w:val="32"/>
          <w:highlight w:val="none"/>
        </w:rPr>
        <w:t>。偏差原因：项目由于用地手续未审批通过，暂未实施。改进措施：加强项目管理。</w:t>
      </w:r>
    </w:p>
    <w:p w14:paraId="7FE16487">
      <w:pPr>
        <w:pStyle w:val="52"/>
        <w:numPr>
          <w:ilvl w:val="0"/>
          <w:numId w:val="1"/>
        </w:numPr>
        <w:ind w:left="3" w:leftChars="1" w:right="0" w:rightChars="0" w:firstLine="544" w:firstLineChars="200"/>
        <w:rPr>
          <w:rFonts w:hint="eastAsia" w:ascii="仿宋_GB2312" w:hAnsi="Times New Roman" w:cs="Times New Roman"/>
          <w:color w:val="auto"/>
          <w:szCs w:val="32"/>
          <w:highlight w:val="none"/>
        </w:rPr>
      </w:pPr>
      <w:r>
        <w:rPr>
          <w:rFonts w:hint="eastAsia" w:ascii="仿宋_GB2312"/>
          <w:color w:val="auto"/>
          <w:spacing w:val="-4"/>
          <w:szCs w:val="32"/>
          <w:highlight w:val="none"/>
          <w:lang w:val="en-US" w:eastAsia="zh-CN"/>
        </w:rPr>
        <w:t>成本</w:t>
      </w:r>
      <w:r>
        <w:rPr>
          <w:rFonts w:hint="eastAsia" w:ascii="仿宋_GB2312"/>
          <w:color w:val="auto"/>
          <w:spacing w:val="-4"/>
          <w:szCs w:val="32"/>
          <w:highlight w:val="none"/>
        </w:rPr>
        <w:t>指标-</w:t>
      </w:r>
      <w:r>
        <w:rPr>
          <w:rFonts w:hint="eastAsia" w:ascii="仿宋_GB2312" w:hAnsi="Times New Roman" w:cs="Times New Roman"/>
          <w:color w:val="auto"/>
          <w:szCs w:val="32"/>
          <w:highlight w:val="none"/>
        </w:rPr>
        <w:t>“工程建设费用”指标，预期指标值为</w:t>
      </w:r>
      <w:r>
        <w:rPr>
          <w:rFonts w:hint="eastAsia" w:ascii="仿宋_GB2312" w:cs="Times New Roman"/>
          <w:color w:val="auto"/>
          <w:szCs w:val="32"/>
          <w:highlight w:val="none"/>
          <w:lang w:eastAsia="zh-CN"/>
        </w:rPr>
        <w:t>小于等于</w:t>
      </w:r>
      <w:r>
        <w:rPr>
          <w:rFonts w:hint="eastAsia" w:ascii="仿宋_GB2312" w:hAnsi="Times New Roman" w:cs="Times New Roman"/>
          <w:color w:val="auto"/>
          <w:szCs w:val="32"/>
          <w:highlight w:val="none"/>
        </w:rPr>
        <w:t>263.11万元, 全年实际值为</w:t>
      </w:r>
      <w:r>
        <w:rPr>
          <w:rFonts w:hint="eastAsia" w:ascii="仿宋_GB2312" w:cs="Times New Roman"/>
          <w:color w:val="auto"/>
          <w:szCs w:val="32"/>
          <w:highlight w:val="none"/>
          <w:lang w:val="en-US" w:eastAsia="zh-CN"/>
        </w:rPr>
        <w:t>185.04万元</w:t>
      </w:r>
      <w:r>
        <w:rPr>
          <w:rFonts w:hint="eastAsia" w:ascii="仿宋_GB2312" w:hAnsi="Times New Roman" w:cs="Times New Roman"/>
          <w:color w:val="auto"/>
          <w:szCs w:val="32"/>
          <w:highlight w:val="none"/>
        </w:rPr>
        <w:t>。</w:t>
      </w:r>
    </w:p>
    <w:p w14:paraId="7E2997B8">
      <w:pPr>
        <w:pStyle w:val="52"/>
        <w:numPr>
          <w:ilvl w:val="0"/>
          <w:numId w:val="0"/>
        </w:numPr>
        <w:ind w:right="0" w:rightChars="0" w:firstLine="840" w:firstLineChars="300"/>
        <w:rPr>
          <w:rFonts w:hint="eastAsia" w:ascii="仿宋_GB2312" w:hAnsi="Times New Roman" w:cs="Times New Roman"/>
          <w:color w:val="auto"/>
          <w:szCs w:val="32"/>
          <w:highlight w:val="none"/>
        </w:rPr>
      </w:pPr>
      <w:r>
        <w:rPr>
          <w:rFonts w:hint="eastAsia" w:ascii="仿宋_GB2312" w:hAnsi="Times New Roman" w:cs="Times New Roman"/>
          <w:color w:val="auto"/>
          <w:szCs w:val="32"/>
          <w:highlight w:val="none"/>
        </w:rPr>
        <w:t>偏差原因：项目已完工，经相关决算审定，工程审定价为215.23万元，其中已支付192.31万元，尚有应付款为22.92万元。改进措施：加强项目建设资金管理。</w:t>
      </w:r>
    </w:p>
    <w:p w14:paraId="2FFFC261">
      <w:pPr>
        <w:pStyle w:val="52"/>
        <w:ind w:left="0" w:leftChars="0" w:right="0" w:rightChars="0" w:firstLine="560"/>
        <w:rPr>
          <w:rFonts w:hint="eastAsia" w:ascii="仿宋_GB2312" w:hAnsi="Times New Roman" w:cs="Times New Roman"/>
          <w:color w:val="auto"/>
          <w:szCs w:val="32"/>
          <w:highlight w:val="none"/>
        </w:rPr>
      </w:pPr>
      <w:r>
        <w:rPr>
          <w:rFonts w:hint="eastAsia" w:ascii="仿宋_GB2312" w:hAnsi="Times New Roman" w:cs="Times New Roman"/>
          <w:color w:val="auto"/>
          <w:szCs w:val="32"/>
          <w:highlight w:val="none"/>
        </w:rPr>
        <w:t>“</w:t>
      </w:r>
      <w:r>
        <w:rPr>
          <w:rFonts w:hint="eastAsia" w:ascii="仿宋_GB2312" w:cs="Times New Roman"/>
          <w:color w:val="auto"/>
          <w:szCs w:val="32"/>
          <w:highlight w:val="none"/>
          <w:lang w:val="en-US" w:eastAsia="zh-CN"/>
        </w:rPr>
        <w:t>其他</w:t>
      </w:r>
      <w:r>
        <w:rPr>
          <w:rFonts w:hint="eastAsia" w:ascii="仿宋_GB2312" w:hAnsi="Times New Roman" w:cs="Times New Roman"/>
          <w:color w:val="auto"/>
          <w:szCs w:val="32"/>
          <w:highlight w:val="none"/>
        </w:rPr>
        <w:t>费用”指标，预期指标值为</w:t>
      </w:r>
      <w:r>
        <w:rPr>
          <w:rFonts w:hint="eastAsia" w:ascii="仿宋_GB2312" w:cs="Times New Roman"/>
          <w:color w:val="auto"/>
          <w:szCs w:val="32"/>
          <w:highlight w:val="none"/>
          <w:lang w:eastAsia="zh-CN"/>
        </w:rPr>
        <w:t>小于等于</w:t>
      </w:r>
      <w:r>
        <w:rPr>
          <w:rFonts w:hint="eastAsia" w:ascii="仿宋_GB2312" w:cs="Times New Roman"/>
          <w:color w:val="auto"/>
          <w:szCs w:val="32"/>
          <w:highlight w:val="none"/>
          <w:lang w:val="en-US" w:eastAsia="zh-CN"/>
        </w:rPr>
        <w:t>36.89</w:t>
      </w:r>
      <w:r>
        <w:rPr>
          <w:rFonts w:hint="eastAsia" w:ascii="仿宋_GB2312" w:hAnsi="Times New Roman" w:cs="Times New Roman"/>
          <w:color w:val="auto"/>
          <w:szCs w:val="32"/>
          <w:highlight w:val="none"/>
        </w:rPr>
        <w:t>万元, 全年实际值为</w:t>
      </w:r>
      <w:r>
        <w:rPr>
          <w:rFonts w:hint="eastAsia" w:ascii="仿宋_GB2312" w:cs="Times New Roman"/>
          <w:color w:val="auto"/>
          <w:szCs w:val="32"/>
          <w:highlight w:val="none"/>
          <w:lang w:val="en-US" w:eastAsia="zh-CN"/>
        </w:rPr>
        <w:t>7.27万元</w:t>
      </w:r>
      <w:r>
        <w:rPr>
          <w:rFonts w:hint="eastAsia" w:ascii="仿宋_GB2312" w:hAnsi="Times New Roman" w:cs="Times New Roman"/>
          <w:color w:val="auto"/>
          <w:szCs w:val="32"/>
          <w:highlight w:val="none"/>
        </w:rPr>
        <w:t>。</w:t>
      </w:r>
    </w:p>
    <w:p w14:paraId="2268FE14">
      <w:pPr>
        <w:pStyle w:val="52"/>
        <w:ind w:left="0" w:leftChars="0" w:right="0" w:rightChars="0" w:firstLine="560"/>
        <w:rPr>
          <w:rFonts w:hint="eastAsia" w:ascii="仿宋_GB2312"/>
          <w:color w:val="auto"/>
          <w:spacing w:val="-4"/>
          <w:szCs w:val="32"/>
          <w:highlight w:val="none"/>
          <w:lang w:val="en-US" w:eastAsia="zh-CN"/>
        </w:rPr>
      </w:pPr>
      <w:r>
        <w:rPr>
          <w:rFonts w:hint="eastAsia" w:ascii="仿宋_GB2312" w:hAnsi="Times New Roman" w:cs="Times New Roman"/>
          <w:color w:val="auto"/>
          <w:szCs w:val="32"/>
          <w:highlight w:val="none"/>
        </w:rPr>
        <w:t>偏差原因：项目已完工，经相关决算审定，工程审定价为215.23万元，其中已支付192.31万元，尚有应付款为22.92万元。改进措施：加强项目建设资金管理。</w:t>
      </w:r>
    </w:p>
    <w:p w14:paraId="4FD35762">
      <w:pPr>
        <w:pStyle w:val="29"/>
        <w:spacing w:before="120"/>
        <w:ind w:left="0" w:leftChars="0" w:right="3" w:firstLine="562" w:firstLineChars="200"/>
        <w:rPr>
          <w:color w:val="auto"/>
          <w:highlight w:val="none"/>
        </w:rPr>
      </w:pPr>
      <w:r>
        <w:rPr>
          <w:rFonts w:hint="eastAsia"/>
          <w:color w:val="auto"/>
          <w:highlight w:val="none"/>
        </w:rPr>
        <w:t>五、绩效自评结果拟应用和公开情况</w:t>
      </w:r>
    </w:p>
    <w:p w14:paraId="172B7775">
      <w:pPr>
        <w:pStyle w:val="52"/>
        <w:spacing w:line="560" w:lineRule="exact"/>
        <w:ind w:left="3" w:right="3" w:firstLine="560"/>
        <w:rPr>
          <w:rFonts w:ascii="仿宋_GB2312"/>
          <w:color w:val="auto"/>
          <w:highlight w:val="none"/>
        </w:rPr>
      </w:pPr>
      <w:r>
        <w:rPr>
          <w:rFonts w:hint="eastAsia" w:ascii="仿宋_GB2312"/>
          <w:color w:val="auto"/>
          <w:highlight w:val="none"/>
        </w:rPr>
        <w:t>项目本次评价通过文件研读、实地调研、数据采集、问卷调查方式下，全面了解</w:t>
      </w:r>
      <w:r>
        <w:rPr>
          <w:rFonts w:hint="eastAsia" w:ascii="仿宋_GB2312"/>
          <w:color w:val="auto"/>
          <w:highlight w:val="none"/>
          <w:lang w:eastAsia="zh-CN"/>
        </w:rPr>
        <w:t>于田县斯也克乡夜市改造项目</w:t>
      </w:r>
      <w:r>
        <w:rPr>
          <w:rFonts w:hint="eastAsia" w:ascii="仿宋_GB2312"/>
          <w:color w:val="auto"/>
          <w:highlight w:val="none"/>
        </w:rPr>
        <w:t>资金的使用效率和效果，从而得出以下综合评价结论：在绩效目标方面，本项目共设置一级指标3个，二级指标</w:t>
      </w:r>
      <w:r>
        <w:rPr>
          <w:rFonts w:hint="eastAsia" w:ascii="仿宋_GB2312"/>
          <w:color w:val="auto"/>
          <w:highlight w:val="none"/>
          <w:lang w:val="en-US" w:eastAsia="zh-CN"/>
        </w:rPr>
        <w:t>8</w:t>
      </w:r>
      <w:r>
        <w:rPr>
          <w:rFonts w:hint="eastAsia" w:ascii="仿宋_GB2312"/>
          <w:color w:val="auto"/>
          <w:highlight w:val="none"/>
        </w:rPr>
        <w:t>个，三级指标1</w:t>
      </w:r>
      <w:r>
        <w:rPr>
          <w:rFonts w:hint="eastAsia" w:ascii="仿宋_GB2312"/>
          <w:color w:val="auto"/>
          <w:highlight w:val="none"/>
          <w:lang w:val="en-US" w:eastAsia="zh-CN"/>
        </w:rPr>
        <w:t>8</w:t>
      </w:r>
      <w:r>
        <w:rPr>
          <w:rFonts w:hint="eastAsia" w:ascii="仿宋_GB2312"/>
          <w:color w:val="auto"/>
          <w:highlight w:val="none"/>
        </w:rPr>
        <w:t>个，其中已完成三级指标</w:t>
      </w:r>
      <w:r>
        <w:rPr>
          <w:rFonts w:hint="eastAsia" w:ascii="仿宋_GB2312"/>
          <w:color w:val="auto"/>
          <w:highlight w:val="none"/>
          <w:lang w:val="en-US" w:eastAsia="zh-CN"/>
        </w:rPr>
        <w:t>7</w:t>
      </w:r>
      <w:r>
        <w:rPr>
          <w:rFonts w:hint="eastAsia" w:ascii="仿宋_GB2312"/>
          <w:color w:val="auto"/>
          <w:highlight w:val="none"/>
        </w:rPr>
        <w:t>个，指标完成率为</w:t>
      </w:r>
      <w:r>
        <w:rPr>
          <w:rFonts w:hint="eastAsia" w:ascii="仿宋_GB2312"/>
          <w:color w:val="auto"/>
          <w:highlight w:val="none"/>
          <w:lang w:val="en-US" w:eastAsia="zh-CN"/>
        </w:rPr>
        <w:t>38.89</w:t>
      </w:r>
      <w:r>
        <w:rPr>
          <w:rFonts w:hint="eastAsia" w:ascii="仿宋_GB2312"/>
          <w:color w:val="auto"/>
          <w:highlight w:val="none"/>
        </w:rPr>
        <w:t>%；在资金使用方面，严格按照《于田县</w:t>
      </w:r>
      <w:r>
        <w:rPr>
          <w:rFonts w:hint="eastAsia" w:ascii="仿宋_GB2312"/>
          <w:color w:val="auto"/>
          <w:highlight w:val="none"/>
          <w:lang w:val="en-US" w:eastAsia="zh-CN"/>
        </w:rPr>
        <w:t>衔接</w:t>
      </w:r>
      <w:r>
        <w:rPr>
          <w:rFonts w:hint="eastAsia" w:ascii="仿宋_GB2312"/>
          <w:color w:val="auto"/>
          <w:highlight w:val="none"/>
        </w:rPr>
        <w:t>资金财务管理制度》、《</w:t>
      </w:r>
      <w:r>
        <w:rPr>
          <w:rFonts w:hint="eastAsia" w:ascii="仿宋_GB2312"/>
          <w:color w:val="auto"/>
          <w:highlight w:val="none"/>
          <w:lang w:eastAsia="zh-CN"/>
        </w:rPr>
        <w:t>于田县斯也克乡人民政府</w:t>
      </w:r>
      <w:r>
        <w:rPr>
          <w:rFonts w:hint="eastAsia" w:ascii="仿宋_GB2312"/>
          <w:color w:val="auto"/>
          <w:highlight w:val="none"/>
        </w:rPr>
        <w:t>财务管理制度》执行，保障了资金使用规范、安全，无挪用、截留资金的情况发生。在项目管理方面，制定了《</w:t>
      </w:r>
      <w:r>
        <w:rPr>
          <w:rFonts w:hint="eastAsia" w:ascii="仿宋_GB2312"/>
          <w:color w:val="auto"/>
          <w:highlight w:val="none"/>
          <w:lang w:eastAsia="zh-CN"/>
        </w:rPr>
        <w:t>于田县斯也克乡夜市改造项目</w:t>
      </w:r>
      <w:r>
        <w:rPr>
          <w:rFonts w:hint="eastAsia" w:ascii="仿宋_GB2312"/>
          <w:color w:val="auto"/>
          <w:highlight w:val="none"/>
        </w:rPr>
        <w:t>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0DD8AD78">
      <w:pPr>
        <w:pStyle w:val="52"/>
        <w:spacing w:line="560" w:lineRule="exact"/>
        <w:ind w:left="3" w:right="3" w:firstLine="560"/>
        <w:rPr>
          <w:rFonts w:ascii="仿宋_GB2312"/>
          <w:color w:val="auto"/>
          <w:highlight w:val="none"/>
        </w:rPr>
      </w:pPr>
      <w:r>
        <w:rPr>
          <w:rFonts w:hint="eastAsia" w:ascii="仿宋_GB2312"/>
          <w:color w:val="auto"/>
          <w:highlight w:val="none"/>
        </w:rPr>
        <w:t>项目最终得分为</w:t>
      </w:r>
      <w:r>
        <w:rPr>
          <w:rFonts w:hint="eastAsia" w:ascii="仿宋_GB2312"/>
          <w:color w:val="auto"/>
          <w:highlight w:val="none"/>
          <w:lang w:val="en-US" w:eastAsia="zh-CN"/>
        </w:rPr>
        <w:t>75.61</w:t>
      </w:r>
      <w:r>
        <w:rPr>
          <w:rFonts w:hint="eastAsia" w:ascii="仿宋_GB2312"/>
          <w:color w:val="auto"/>
          <w:highlight w:val="none"/>
        </w:rPr>
        <w:t>分，评价等级为</w:t>
      </w:r>
      <w:r>
        <w:rPr>
          <w:rFonts w:hint="eastAsia" w:ascii="仿宋_GB2312"/>
          <w:color w:val="auto"/>
          <w:highlight w:val="none"/>
          <w:lang w:val="en-US" w:eastAsia="zh-CN"/>
        </w:rPr>
        <w:t>中</w:t>
      </w:r>
      <w:r>
        <w:rPr>
          <w:rFonts w:hint="eastAsia" w:ascii="仿宋_GB2312"/>
          <w:color w:val="auto"/>
          <w:highlight w:val="none"/>
        </w:rPr>
        <w:t>。</w:t>
      </w:r>
    </w:p>
    <w:p w14:paraId="0607D1E0">
      <w:pPr>
        <w:pStyle w:val="52"/>
        <w:spacing w:line="560" w:lineRule="exact"/>
        <w:ind w:left="3" w:right="3" w:firstLine="554"/>
        <w:rPr>
          <w:rStyle w:val="19"/>
          <w:rFonts w:ascii="楷体_GB2312" w:hAnsi="楷体"/>
          <w:color w:val="auto"/>
          <w:spacing w:val="-4"/>
          <w:szCs w:val="32"/>
          <w:highlight w:val="none"/>
        </w:rPr>
      </w:pPr>
      <w:r>
        <w:rPr>
          <w:rStyle w:val="19"/>
          <w:rFonts w:hint="eastAsia" w:ascii="楷体_GB2312" w:hAnsi="楷体"/>
          <w:color w:val="auto"/>
          <w:spacing w:val="-4"/>
          <w:szCs w:val="32"/>
          <w:highlight w:val="none"/>
        </w:rPr>
        <w:t>（一）绩效自评结果拟应用情况</w:t>
      </w:r>
    </w:p>
    <w:p w14:paraId="63E3ED46">
      <w:pPr>
        <w:pStyle w:val="52"/>
        <w:spacing w:line="560" w:lineRule="exact"/>
        <w:ind w:left="3" w:right="3" w:firstLine="560"/>
        <w:rPr>
          <w:rFonts w:ascii="仿宋_GB2312"/>
          <w:color w:val="auto"/>
          <w:highlight w:val="none"/>
        </w:rPr>
      </w:pPr>
      <w:r>
        <w:rPr>
          <w:rFonts w:hint="eastAsia" w:ascii="仿宋_GB2312"/>
          <w:color w:val="auto"/>
          <w:highlight w:val="none"/>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0EEC0C35">
      <w:pPr>
        <w:spacing w:line="56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（二）指标佐证材料说明</w:t>
      </w:r>
    </w:p>
    <w:p w14:paraId="28E578F4">
      <w:pPr>
        <w:pStyle w:val="52"/>
        <w:spacing w:line="560" w:lineRule="exact"/>
        <w:ind w:left="3" w:right="3" w:firstLine="560"/>
        <w:rPr>
          <w:rFonts w:ascii="仿宋_GB2312"/>
          <w:color w:val="auto"/>
          <w:highlight w:val="none"/>
        </w:rPr>
      </w:pPr>
      <w:r>
        <w:rPr>
          <w:rFonts w:hint="eastAsia" w:ascii="仿宋_GB2312"/>
          <w:color w:val="auto"/>
          <w:highlight w:val="none"/>
        </w:rPr>
        <w:t>项目状况：由</w:t>
      </w:r>
      <w:r>
        <w:rPr>
          <w:rFonts w:hint="eastAsia" w:ascii="仿宋_GB2312"/>
          <w:color w:val="auto"/>
          <w:highlight w:val="none"/>
          <w:lang w:eastAsia="zh-CN"/>
        </w:rPr>
        <w:t>于田县斯也克乡人民政府</w:t>
      </w:r>
      <w:r>
        <w:rPr>
          <w:rFonts w:hint="eastAsia" w:ascii="仿宋_GB2312"/>
          <w:color w:val="auto"/>
          <w:highlight w:val="none"/>
        </w:rPr>
        <w:t>负责项目的实施方案，</w:t>
      </w:r>
      <w:r>
        <w:rPr>
          <w:rFonts w:hint="eastAsia" w:ascii="仿宋_GB2312"/>
          <w:color w:val="auto"/>
          <w:highlight w:val="none"/>
          <w:lang w:val="en-US" w:eastAsia="zh-CN"/>
        </w:rPr>
        <w:t>由</w:t>
      </w:r>
      <w:r>
        <w:rPr>
          <w:rFonts w:hint="eastAsia" w:ascii="仿宋" w:hAnsi="仿宋" w:eastAsia="仿宋" w:cs="仿宋"/>
          <w:color w:val="auto"/>
          <w:szCs w:val="32"/>
          <w:highlight w:val="none"/>
        </w:rPr>
        <w:t>于田县</w:t>
      </w:r>
      <w:r>
        <w:rPr>
          <w:rFonts w:hint="eastAsia" w:ascii="仿宋" w:hAnsi="仿宋" w:eastAsia="仿宋" w:cs="仿宋"/>
          <w:color w:val="auto"/>
          <w:szCs w:val="32"/>
          <w:highlight w:val="none"/>
          <w:lang w:val="en-US" w:eastAsia="zh-CN"/>
        </w:rPr>
        <w:t>商务和工业信息化局和于田县财政局联合下</w:t>
      </w:r>
      <w:r>
        <w:rPr>
          <w:rFonts w:hint="eastAsia" w:ascii="仿宋_GB2312"/>
          <w:color w:val="auto"/>
          <w:szCs w:val="32"/>
          <w:highlight w:val="none"/>
        </w:rPr>
        <w:t>发的《关于对</w:t>
      </w:r>
      <w:r>
        <w:rPr>
          <w:rFonts w:hint="eastAsia" w:ascii="仿宋" w:hAnsi="仿宋" w:eastAsia="仿宋" w:cs="仿宋"/>
          <w:bCs/>
          <w:color w:val="auto"/>
          <w:kern w:val="0"/>
          <w:highlight w:val="none"/>
        </w:rPr>
        <w:t>于田县斯也克乡</w:t>
      </w:r>
      <w:r>
        <w:rPr>
          <w:rFonts w:hint="eastAsia" w:ascii="仿宋" w:hAnsi="仿宋" w:eastAsia="仿宋" w:cs="仿宋"/>
          <w:bCs/>
          <w:color w:val="auto"/>
          <w:kern w:val="0"/>
          <w:highlight w:val="none"/>
          <w:lang w:val="en-US" w:eastAsia="zh-CN"/>
        </w:rPr>
        <w:t>夜市改造项目</w:t>
      </w:r>
      <w:r>
        <w:rPr>
          <w:rFonts w:hint="eastAsia" w:ascii="仿宋_GB2312" w:eastAsia="仿宋"/>
          <w:color w:val="auto"/>
          <w:szCs w:val="32"/>
          <w:highlight w:val="none"/>
          <w:lang w:eastAsia="zh-CN"/>
        </w:rPr>
        <w:t>实施方案</w:t>
      </w:r>
      <w:r>
        <w:rPr>
          <w:rFonts w:hint="eastAsia" w:ascii="仿宋_GB2312"/>
          <w:color w:val="auto"/>
          <w:szCs w:val="32"/>
          <w:highlight w:val="none"/>
        </w:rPr>
        <w:t>的批复》（于</w:t>
      </w:r>
      <w:r>
        <w:rPr>
          <w:rFonts w:hint="eastAsia" w:ascii="仿宋_GB2312"/>
          <w:color w:val="auto"/>
          <w:szCs w:val="32"/>
          <w:highlight w:val="none"/>
          <w:lang w:val="en-US" w:eastAsia="zh-CN"/>
        </w:rPr>
        <w:t>商工办</w:t>
      </w:r>
      <w:r>
        <w:rPr>
          <w:rFonts w:hint="eastAsia" w:ascii="仿宋_GB2312"/>
          <w:color w:val="auto"/>
          <w:szCs w:val="32"/>
          <w:highlight w:val="none"/>
        </w:rPr>
        <w:t>[202</w:t>
      </w:r>
      <w:r>
        <w:rPr>
          <w:rFonts w:hint="eastAsia" w:ascii="仿宋_GB2312"/>
          <w:color w:val="auto"/>
          <w:szCs w:val="32"/>
          <w:highlight w:val="none"/>
          <w:lang w:val="en-US" w:eastAsia="zh-CN"/>
        </w:rPr>
        <w:t>4</w:t>
      </w:r>
      <w:r>
        <w:rPr>
          <w:rFonts w:hint="eastAsia" w:ascii="仿宋_GB2312"/>
          <w:color w:val="auto"/>
          <w:szCs w:val="32"/>
          <w:highlight w:val="none"/>
        </w:rPr>
        <w:t>]</w:t>
      </w:r>
      <w:r>
        <w:rPr>
          <w:rFonts w:hint="eastAsia" w:ascii="仿宋_GB2312"/>
          <w:color w:val="auto"/>
          <w:szCs w:val="32"/>
          <w:highlight w:val="none"/>
          <w:lang w:val="en-US" w:eastAsia="zh-CN"/>
        </w:rPr>
        <w:t>3</w:t>
      </w:r>
      <w:r>
        <w:rPr>
          <w:rFonts w:hint="eastAsia" w:ascii="仿宋_GB2312"/>
          <w:color w:val="auto"/>
          <w:szCs w:val="32"/>
          <w:highlight w:val="none"/>
        </w:rPr>
        <w:t>号）</w:t>
      </w:r>
      <w:r>
        <w:rPr>
          <w:rFonts w:hint="eastAsia" w:ascii="仿宋_GB2312"/>
          <w:color w:val="auto"/>
          <w:highlight w:val="none"/>
        </w:rPr>
        <w:t>。</w:t>
      </w:r>
    </w:p>
    <w:p w14:paraId="72C2ED94">
      <w:pPr>
        <w:pStyle w:val="52"/>
        <w:spacing w:line="560" w:lineRule="exact"/>
        <w:ind w:left="3" w:right="3" w:firstLine="560"/>
        <w:rPr>
          <w:rFonts w:ascii="仿宋_GB2312"/>
          <w:color w:val="auto"/>
          <w:highlight w:val="none"/>
        </w:rPr>
      </w:pPr>
      <w:r>
        <w:rPr>
          <w:rFonts w:hint="eastAsia" w:ascii="仿宋_GB2312"/>
          <w:color w:val="auto"/>
          <w:highlight w:val="none"/>
        </w:rPr>
        <w:t>资金状况：预算资金来源为</w:t>
      </w:r>
      <w:r>
        <w:rPr>
          <w:rFonts w:hint="eastAsia" w:ascii="仿宋_GB2312"/>
          <w:color w:val="auto"/>
          <w:highlight w:val="none"/>
          <w:lang w:val="en-US" w:eastAsia="zh-CN"/>
        </w:rPr>
        <w:t>乡村振兴衔接</w:t>
      </w:r>
      <w:r>
        <w:rPr>
          <w:rFonts w:hint="eastAsia" w:ascii="仿宋_GB2312"/>
          <w:color w:val="auto"/>
          <w:highlight w:val="none"/>
          <w:lang w:eastAsia="zh-CN"/>
        </w:rPr>
        <w:t>资金</w:t>
      </w:r>
      <w:r>
        <w:rPr>
          <w:rFonts w:hint="eastAsia" w:ascii="仿宋_GB2312"/>
          <w:color w:val="auto"/>
          <w:highlight w:val="none"/>
        </w:rPr>
        <w:t>，文件依据：《关于对</w:t>
      </w:r>
      <w:r>
        <w:rPr>
          <w:rFonts w:hint="eastAsia" w:ascii="仿宋_GB2312"/>
          <w:color w:val="auto"/>
          <w:highlight w:val="none"/>
          <w:lang w:eastAsia="zh-CN"/>
        </w:rPr>
        <w:t>于田县斯也克乡夜市改造项目实施方案</w:t>
      </w:r>
      <w:r>
        <w:rPr>
          <w:rFonts w:hint="eastAsia" w:ascii="仿宋_GB2312"/>
          <w:color w:val="auto"/>
          <w:highlight w:val="none"/>
        </w:rPr>
        <w:t>的批复》（于</w:t>
      </w:r>
      <w:r>
        <w:rPr>
          <w:rFonts w:hint="eastAsia" w:ascii="仿宋_GB2312"/>
          <w:color w:val="auto"/>
          <w:highlight w:val="none"/>
          <w:lang w:val="en-US" w:eastAsia="zh-CN"/>
        </w:rPr>
        <w:t>商工办</w:t>
      </w:r>
      <w:r>
        <w:rPr>
          <w:rFonts w:hint="eastAsia" w:ascii="仿宋_GB2312"/>
          <w:color w:val="auto"/>
          <w:highlight w:val="none"/>
        </w:rPr>
        <w:t>[202</w:t>
      </w:r>
      <w:r>
        <w:rPr>
          <w:rFonts w:hint="eastAsia" w:ascii="仿宋_GB2312"/>
          <w:color w:val="auto"/>
          <w:highlight w:val="none"/>
          <w:lang w:val="en-US" w:eastAsia="zh-CN"/>
        </w:rPr>
        <w:t>4</w:t>
      </w:r>
      <w:r>
        <w:rPr>
          <w:rFonts w:hint="eastAsia" w:ascii="仿宋_GB2312"/>
          <w:color w:val="auto"/>
          <w:highlight w:val="none"/>
        </w:rPr>
        <w:t>]</w:t>
      </w:r>
      <w:r>
        <w:rPr>
          <w:rFonts w:hint="eastAsia" w:ascii="仿宋_GB2312"/>
          <w:color w:val="auto"/>
          <w:highlight w:val="none"/>
          <w:lang w:val="en-US" w:eastAsia="zh-CN"/>
        </w:rPr>
        <w:t>3</w:t>
      </w:r>
      <w:r>
        <w:rPr>
          <w:rFonts w:hint="eastAsia" w:ascii="仿宋_GB2312"/>
          <w:color w:val="auto"/>
          <w:highlight w:val="none"/>
        </w:rPr>
        <w:t>号）</w:t>
      </w:r>
    </w:p>
    <w:p w14:paraId="3E1C41E8">
      <w:pPr>
        <w:pStyle w:val="52"/>
        <w:spacing w:line="560" w:lineRule="exact"/>
        <w:ind w:left="3" w:right="3" w:firstLine="560"/>
        <w:rPr>
          <w:rFonts w:ascii="仿宋_GB2312"/>
          <w:color w:val="auto"/>
          <w:highlight w:val="none"/>
        </w:rPr>
      </w:pPr>
      <w:r>
        <w:rPr>
          <w:rFonts w:hint="eastAsia" w:ascii="仿宋_GB2312"/>
          <w:color w:val="auto"/>
          <w:highlight w:val="none"/>
        </w:rPr>
        <w:t>过程状况：该项目于202</w:t>
      </w:r>
      <w:r>
        <w:rPr>
          <w:rFonts w:hint="eastAsia" w:ascii="仿宋_GB2312"/>
          <w:color w:val="auto"/>
          <w:highlight w:val="none"/>
          <w:lang w:val="en-US" w:eastAsia="zh-CN"/>
        </w:rPr>
        <w:t>2</w:t>
      </w:r>
      <w:r>
        <w:rPr>
          <w:rFonts w:hint="eastAsia" w:ascii="仿宋_GB2312"/>
          <w:color w:val="auto"/>
          <w:highlight w:val="none"/>
        </w:rPr>
        <w:t>年</w:t>
      </w:r>
      <w:r>
        <w:rPr>
          <w:rFonts w:hint="eastAsia" w:ascii="仿宋_GB2312"/>
          <w:color w:val="auto"/>
          <w:highlight w:val="none"/>
          <w:lang w:val="en-US" w:eastAsia="zh-CN"/>
        </w:rPr>
        <w:t>3</w:t>
      </w:r>
      <w:r>
        <w:rPr>
          <w:rFonts w:hint="eastAsia" w:ascii="仿宋_GB2312"/>
          <w:color w:val="auto"/>
          <w:highlight w:val="none"/>
        </w:rPr>
        <w:t>月制订</w:t>
      </w:r>
      <w:r>
        <w:rPr>
          <w:rFonts w:hint="eastAsia" w:ascii="仿宋_GB2312"/>
          <w:color w:val="auto"/>
          <w:highlight w:val="none"/>
          <w:lang w:eastAsia="zh-CN"/>
        </w:rPr>
        <w:t>实施方案</w:t>
      </w:r>
      <w:r>
        <w:rPr>
          <w:rFonts w:hint="eastAsia" w:ascii="仿宋_GB2312"/>
          <w:color w:val="auto"/>
          <w:highlight w:val="none"/>
        </w:rPr>
        <w:t>并得到批复，202</w:t>
      </w:r>
      <w:r>
        <w:rPr>
          <w:rFonts w:hint="eastAsia" w:ascii="仿宋_GB2312"/>
          <w:color w:val="auto"/>
          <w:highlight w:val="none"/>
          <w:lang w:val="en-US" w:eastAsia="zh-CN"/>
        </w:rPr>
        <w:t>4</w:t>
      </w:r>
      <w:r>
        <w:rPr>
          <w:rFonts w:hint="eastAsia" w:ascii="仿宋_GB2312"/>
          <w:color w:val="auto"/>
          <w:highlight w:val="none"/>
        </w:rPr>
        <w:t>年</w:t>
      </w:r>
      <w:r>
        <w:rPr>
          <w:rFonts w:hint="eastAsia" w:ascii="仿宋_GB2312"/>
          <w:color w:val="auto"/>
          <w:highlight w:val="none"/>
          <w:lang w:val="en-US" w:eastAsia="zh-CN"/>
        </w:rPr>
        <w:t>3</w:t>
      </w:r>
      <w:r>
        <w:rPr>
          <w:rFonts w:hint="eastAsia" w:ascii="仿宋_GB2312"/>
          <w:color w:val="auto"/>
          <w:highlight w:val="none"/>
        </w:rPr>
        <w:t>月发布招标公告进行招标，2022年</w:t>
      </w:r>
      <w:r>
        <w:rPr>
          <w:rFonts w:hint="eastAsia" w:ascii="仿宋_GB2312"/>
          <w:color w:val="auto"/>
          <w:highlight w:val="none"/>
          <w:lang w:val="en-US" w:eastAsia="zh-CN"/>
        </w:rPr>
        <w:t>4</w:t>
      </w:r>
      <w:r>
        <w:rPr>
          <w:rFonts w:hint="eastAsia" w:ascii="仿宋_GB2312"/>
          <w:color w:val="auto"/>
          <w:highlight w:val="none"/>
        </w:rPr>
        <w:t>月完工。</w:t>
      </w:r>
    </w:p>
    <w:p w14:paraId="41198A17">
      <w:pPr>
        <w:pStyle w:val="52"/>
        <w:spacing w:line="560" w:lineRule="exact"/>
        <w:ind w:left="3" w:right="3" w:firstLine="560"/>
        <w:rPr>
          <w:rFonts w:ascii="仿宋_GB2312"/>
          <w:color w:val="auto"/>
          <w:highlight w:val="none"/>
        </w:rPr>
      </w:pPr>
      <w:r>
        <w:rPr>
          <w:rFonts w:hint="eastAsia" w:ascii="仿宋_GB2312"/>
          <w:color w:val="auto"/>
          <w:highlight w:val="none"/>
        </w:rPr>
        <w:t>结果状况：</w:t>
      </w:r>
      <w:r>
        <w:rPr>
          <w:rFonts w:hint="eastAsia" w:ascii="仿宋_GB2312"/>
          <w:color w:val="auto"/>
          <w:highlight w:val="none"/>
          <w:lang w:val="en-US" w:eastAsia="zh-CN"/>
        </w:rPr>
        <w:t>2024年8</w:t>
      </w:r>
      <w:r>
        <w:rPr>
          <w:rFonts w:hint="eastAsia" w:ascii="仿宋_GB2312"/>
          <w:color w:val="auto"/>
          <w:highlight w:val="none"/>
        </w:rPr>
        <w:t>月</w:t>
      </w:r>
      <w:r>
        <w:rPr>
          <w:rFonts w:hint="eastAsia" w:ascii="仿宋_GB2312"/>
          <w:color w:val="auto"/>
          <w:highlight w:val="none"/>
          <w:lang w:val="en-US" w:eastAsia="zh-CN"/>
        </w:rPr>
        <w:t>2</w:t>
      </w:r>
      <w:r>
        <w:rPr>
          <w:rFonts w:hint="eastAsia" w:ascii="仿宋_GB2312"/>
          <w:color w:val="auto"/>
          <w:highlight w:val="none"/>
        </w:rPr>
        <w:t>日于田县</w:t>
      </w:r>
      <w:r>
        <w:rPr>
          <w:rFonts w:hint="eastAsia" w:ascii="仿宋_GB2312"/>
          <w:color w:val="auto"/>
          <w:highlight w:val="none"/>
          <w:lang w:val="en-US" w:eastAsia="zh-CN"/>
        </w:rPr>
        <w:t>商工局</w:t>
      </w:r>
      <w:r>
        <w:rPr>
          <w:rFonts w:hint="eastAsia" w:ascii="仿宋_GB2312"/>
          <w:color w:val="auto"/>
          <w:highlight w:val="none"/>
        </w:rPr>
        <w:t>，于田县乡村振兴局，财政局，</w:t>
      </w:r>
      <w:r>
        <w:rPr>
          <w:rFonts w:hint="eastAsia" w:ascii="仿宋_GB2312"/>
          <w:color w:val="auto"/>
          <w:highlight w:val="none"/>
          <w:lang w:val="en-US" w:eastAsia="zh-CN"/>
        </w:rPr>
        <w:t>档案局</w:t>
      </w:r>
      <w:r>
        <w:rPr>
          <w:rFonts w:hint="eastAsia" w:ascii="仿宋_GB2312"/>
          <w:color w:val="auto"/>
          <w:highlight w:val="none"/>
          <w:lang w:eastAsia="zh-CN"/>
        </w:rPr>
        <w:t>，于田县斯也克乡人民政府</w:t>
      </w:r>
      <w:r>
        <w:rPr>
          <w:rFonts w:hint="eastAsia" w:ascii="仿宋_GB2312"/>
          <w:color w:val="auto"/>
          <w:highlight w:val="none"/>
        </w:rPr>
        <w:t>和参建单位联合竣工验收结果状况：合格。</w:t>
      </w:r>
    </w:p>
    <w:p w14:paraId="3650037C">
      <w:pPr>
        <w:pStyle w:val="52"/>
        <w:spacing w:line="560" w:lineRule="exact"/>
        <w:ind w:left="3" w:right="3" w:firstLine="562"/>
        <w:rPr>
          <w:rStyle w:val="19"/>
          <w:rFonts w:ascii="楷体_GB2312"/>
          <w:color w:val="auto"/>
          <w:highlight w:val="none"/>
        </w:rPr>
      </w:pPr>
      <w:r>
        <w:rPr>
          <w:rStyle w:val="19"/>
          <w:rFonts w:hint="eastAsia" w:ascii="楷体_GB2312"/>
          <w:color w:val="auto"/>
          <w:highlight w:val="none"/>
        </w:rPr>
        <w:t>（三）主要经验及做法</w:t>
      </w:r>
    </w:p>
    <w:p w14:paraId="0B31DFDE">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rPr>
        <w:t>2022年</w:t>
      </w:r>
      <w:r>
        <w:rPr>
          <w:rFonts w:hint="eastAsia" w:ascii="仿宋_GB2312" w:hAnsi="Times New Roman" w:eastAsia="仿宋_GB2312" w:cs="Times New Roman"/>
          <w:color w:val="auto"/>
          <w:sz w:val="28"/>
          <w:highlight w:val="none"/>
          <w:lang w:eastAsia="zh-CN"/>
        </w:rPr>
        <w:t>于田县斯也克乡夜市改造项目</w:t>
      </w:r>
      <w:r>
        <w:rPr>
          <w:rFonts w:hint="eastAsia" w:ascii="仿宋_GB2312" w:hAnsi="Times New Roman" w:eastAsia="仿宋_GB2312" w:cs="Times New Roman"/>
          <w:color w:val="auto"/>
          <w:sz w:val="28"/>
          <w:highlight w:val="none"/>
        </w:rPr>
        <w:t>资金安排、使用过程中严格执行乡村振兴项目资金管理制度，确保乡村振兴项目正常运行为构建长效稳定奠定物质基础。</w:t>
      </w:r>
    </w:p>
    <w:p w14:paraId="53B7A835">
      <w:pPr>
        <w:spacing w:line="560" w:lineRule="exact"/>
        <w:ind w:firstLine="562" w:firstLineChars="200"/>
        <w:rPr>
          <w:rStyle w:val="19"/>
          <w:rFonts w:ascii="楷体_GB2312"/>
          <w:color w:val="auto"/>
          <w:sz w:val="28"/>
          <w:highlight w:val="none"/>
        </w:rPr>
      </w:pPr>
      <w:r>
        <w:rPr>
          <w:rStyle w:val="19"/>
          <w:rFonts w:hint="eastAsia" w:ascii="楷体_GB2312"/>
          <w:color w:val="auto"/>
          <w:sz w:val="28"/>
          <w:highlight w:val="none"/>
        </w:rPr>
        <w:t>（四）存在的问题</w:t>
      </w:r>
    </w:p>
    <w:p w14:paraId="2B016C51">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rPr>
        <w:t>2022年</w:t>
      </w:r>
      <w:r>
        <w:rPr>
          <w:rFonts w:hint="eastAsia" w:ascii="仿宋_GB2312" w:hAnsi="Times New Roman" w:eastAsia="仿宋_GB2312" w:cs="Times New Roman"/>
          <w:color w:val="auto"/>
          <w:sz w:val="28"/>
          <w:highlight w:val="none"/>
          <w:lang w:eastAsia="zh-CN"/>
        </w:rPr>
        <w:t>于田县斯也克乡夜市改造项目</w:t>
      </w:r>
      <w:r>
        <w:rPr>
          <w:rFonts w:hint="eastAsia" w:ascii="仿宋_GB2312" w:hAnsi="Times New Roman" w:eastAsia="仿宋_GB2312" w:cs="Times New Roman"/>
          <w:color w:val="auto"/>
          <w:sz w:val="28"/>
          <w:highlight w:val="none"/>
        </w:rPr>
        <w:t>资金安排、使用过程中存在一些问题，主要是资金申报，审批，发放过程中存在对资金拨付缓慢问题。</w:t>
      </w:r>
    </w:p>
    <w:p w14:paraId="64696FE8">
      <w:pPr>
        <w:spacing w:line="560" w:lineRule="exact"/>
        <w:ind w:firstLine="562" w:firstLineChars="200"/>
        <w:rPr>
          <w:rStyle w:val="19"/>
          <w:rFonts w:ascii="楷体_GB2312"/>
          <w:color w:val="auto"/>
          <w:sz w:val="28"/>
          <w:highlight w:val="none"/>
        </w:rPr>
      </w:pPr>
      <w:r>
        <w:rPr>
          <w:rStyle w:val="19"/>
          <w:rFonts w:hint="eastAsia" w:ascii="楷体_GB2312"/>
          <w:color w:val="auto"/>
          <w:sz w:val="28"/>
          <w:highlight w:val="none"/>
        </w:rPr>
        <w:t>（五）建议</w:t>
      </w:r>
    </w:p>
    <w:p w14:paraId="6FC0A1FD">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rPr>
        <w:t>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14:paraId="75CF7E57">
      <w:pPr>
        <w:spacing w:line="560" w:lineRule="exact"/>
        <w:ind w:firstLine="562" w:firstLineChars="200"/>
        <w:rPr>
          <w:rStyle w:val="19"/>
          <w:rFonts w:ascii="楷体_GB2312"/>
          <w:color w:val="auto"/>
          <w:sz w:val="28"/>
          <w:highlight w:val="none"/>
        </w:rPr>
      </w:pPr>
      <w:r>
        <w:rPr>
          <w:rStyle w:val="19"/>
          <w:rFonts w:hint="eastAsia" w:ascii="楷体_GB2312"/>
          <w:color w:val="auto"/>
          <w:sz w:val="28"/>
          <w:highlight w:val="none"/>
        </w:rPr>
        <w:t>（六）项目绩效公告公示情况</w:t>
      </w:r>
    </w:p>
    <w:p w14:paraId="45F3EEDF">
      <w:pPr>
        <w:pStyle w:val="52"/>
        <w:spacing w:line="560" w:lineRule="exact"/>
        <w:ind w:left="3" w:right="3" w:firstLine="560"/>
        <w:rPr>
          <w:color w:val="auto"/>
          <w:highlight w:val="none"/>
        </w:rPr>
      </w:pPr>
      <w:r>
        <w:rPr>
          <w:rFonts w:hint="eastAsia" w:ascii="仿宋_GB2312"/>
          <w:color w:val="auto"/>
          <w:highlight w:val="none"/>
        </w:rPr>
        <w:t>项目按照项目公告公示规定要求，完成项目前期公开、项目建设期公开，项目竣工后公开，通过张榜公示向社会公开，接受社会监督。同时，通过门户网站，对项目绩效情况进行公示。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大标宋简体">
    <w:altName w:val="微软雅黑"/>
    <w:panose1 w:val="02010601030101010101"/>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docPartObj>
        <w:docPartGallery w:val="autotext"/>
      </w:docPartObj>
    </w:sdtPr>
    <w:sdtContent>
      <w:p w14:paraId="537F8047">
        <w:pPr>
          <w:pStyle w:val="13"/>
          <w:jc w:val="center"/>
        </w:pPr>
        <w:r>
          <w:fldChar w:fldCharType="begin"/>
        </w:r>
        <w:r>
          <w:instrText xml:space="preserve">PAGE   \* MERGEFORMAT</w:instrText>
        </w:r>
        <w:r>
          <w:fldChar w:fldCharType="separate"/>
        </w:r>
        <w:r>
          <w:rPr>
            <w:lang w:val="zh-CN"/>
          </w:rPr>
          <w:t>1</w:t>
        </w:r>
        <w:r>
          <w:fldChar w:fldCharType="end"/>
        </w:r>
      </w:p>
    </w:sdtContent>
  </w:sdt>
  <w:p w14:paraId="151A9435">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0CA54C">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C4142F"/>
    <w:multiLevelType w:val="singleLevel"/>
    <w:tmpl w:val="1AC4142F"/>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noPunctuationKerning w:val="1"/>
  <w:characterSpacingControl w:val="doNotCompress"/>
  <w:compat>
    <w:doNotSnapToGridInCell/>
    <w:doNotWrapTextWithPunct/>
    <w:doNotUseEastAsianBreakRules/>
    <w:growAutofit/>
    <w:useFELayout/>
    <w:compatSetting w:name="compatibilityMode" w:uri="http://schemas.microsoft.com/office/word" w:val="14"/>
  </w:compat>
  <w:rsids>
    <w:rsidRoot w:val="00B312FC"/>
    <w:rsid w:val="00005A8B"/>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6622"/>
    <w:rsid w:val="00303872"/>
    <w:rsid w:val="00343C8B"/>
    <w:rsid w:val="0035619D"/>
    <w:rsid w:val="0036579B"/>
    <w:rsid w:val="0037545E"/>
    <w:rsid w:val="003B103E"/>
    <w:rsid w:val="003B2066"/>
    <w:rsid w:val="003B45C2"/>
    <w:rsid w:val="003D6089"/>
    <w:rsid w:val="003F7CD3"/>
    <w:rsid w:val="00407329"/>
    <w:rsid w:val="0042774A"/>
    <w:rsid w:val="00433105"/>
    <w:rsid w:val="0043529B"/>
    <w:rsid w:val="004447F6"/>
    <w:rsid w:val="00452A7B"/>
    <w:rsid w:val="004765F9"/>
    <w:rsid w:val="004D19E3"/>
    <w:rsid w:val="004E156F"/>
    <w:rsid w:val="004F278C"/>
    <w:rsid w:val="004F71F5"/>
    <w:rsid w:val="00502531"/>
    <w:rsid w:val="005033D8"/>
    <w:rsid w:val="00545496"/>
    <w:rsid w:val="005469CF"/>
    <w:rsid w:val="00561ADC"/>
    <w:rsid w:val="005B4348"/>
    <w:rsid w:val="005B7749"/>
    <w:rsid w:val="005D7C18"/>
    <w:rsid w:val="005F7D5D"/>
    <w:rsid w:val="00600873"/>
    <w:rsid w:val="00601C6E"/>
    <w:rsid w:val="00607547"/>
    <w:rsid w:val="00642C18"/>
    <w:rsid w:val="00696A43"/>
    <w:rsid w:val="006C2EB3"/>
    <w:rsid w:val="006F23BE"/>
    <w:rsid w:val="00704F2C"/>
    <w:rsid w:val="00713A95"/>
    <w:rsid w:val="007658DB"/>
    <w:rsid w:val="007F690F"/>
    <w:rsid w:val="0080022F"/>
    <w:rsid w:val="0081784A"/>
    <w:rsid w:val="008703E2"/>
    <w:rsid w:val="00897839"/>
    <w:rsid w:val="008A3305"/>
    <w:rsid w:val="008A49C0"/>
    <w:rsid w:val="008B044F"/>
    <w:rsid w:val="008B4230"/>
    <w:rsid w:val="008B6B8E"/>
    <w:rsid w:val="008C3F3B"/>
    <w:rsid w:val="0091422D"/>
    <w:rsid w:val="0093300C"/>
    <w:rsid w:val="00941946"/>
    <w:rsid w:val="0094736A"/>
    <w:rsid w:val="009C105D"/>
    <w:rsid w:val="009C2529"/>
    <w:rsid w:val="009D11ED"/>
    <w:rsid w:val="00A1755C"/>
    <w:rsid w:val="00A20A41"/>
    <w:rsid w:val="00A233B8"/>
    <w:rsid w:val="00A2767E"/>
    <w:rsid w:val="00A2793F"/>
    <w:rsid w:val="00A416AC"/>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B1673"/>
    <w:rsid w:val="00DC00CB"/>
    <w:rsid w:val="00DE5C9F"/>
    <w:rsid w:val="00E20066"/>
    <w:rsid w:val="00E215D5"/>
    <w:rsid w:val="00E231E6"/>
    <w:rsid w:val="00E35D4C"/>
    <w:rsid w:val="00E36AF4"/>
    <w:rsid w:val="00E417AF"/>
    <w:rsid w:val="00E5760D"/>
    <w:rsid w:val="00E62F01"/>
    <w:rsid w:val="00E66C44"/>
    <w:rsid w:val="00E72FF5"/>
    <w:rsid w:val="00E952C7"/>
    <w:rsid w:val="00EB734B"/>
    <w:rsid w:val="00EE2F0B"/>
    <w:rsid w:val="00F4497B"/>
    <w:rsid w:val="00F52D23"/>
    <w:rsid w:val="00F66291"/>
    <w:rsid w:val="00F66C47"/>
    <w:rsid w:val="00F74F64"/>
    <w:rsid w:val="00F75FFF"/>
    <w:rsid w:val="00F83581"/>
    <w:rsid w:val="00FB7553"/>
    <w:rsid w:val="00FD470D"/>
    <w:rsid w:val="00FD4E1C"/>
    <w:rsid w:val="00FD65BA"/>
    <w:rsid w:val="00FE1B50"/>
    <w:rsid w:val="00FF1109"/>
    <w:rsid w:val="018D2C4A"/>
    <w:rsid w:val="028461F0"/>
    <w:rsid w:val="114F7ED6"/>
    <w:rsid w:val="144F116B"/>
    <w:rsid w:val="15B60F44"/>
    <w:rsid w:val="16E020E6"/>
    <w:rsid w:val="1A18360E"/>
    <w:rsid w:val="1B355A8B"/>
    <w:rsid w:val="1BA24170"/>
    <w:rsid w:val="277F2F2D"/>
    <w:rsid w:val="2CF13011"/>
    <w:rsid w:val="3159151A"/>
    <w:rsid w:val="3657780A"/>
    <w:rsid w:val="3A7919F5"/>
    <w:rsid w:val="3EC77976"/>
    <w:rsid w:val="3F715A25"/>
    <w:rsid w:val="400A6178"/>
    <w:rsid w:val="409677BE"/>
    <w:rsid w:val="41B415CD"/>
    <w:rsid w:val="43233C6E"/>
    <w:rsid w:val="49B454BE"/>
    <w:rsid w:val="4E872C01"/>
    <w:rsid w:val="5E10112D"/>
    <w:rsid w:val="5FD72021"/>
    <w:rsid w:val="64EF2799"/>
    <w:rsid w:val="67F633D0"/>
    <w:rsid w:val="700E6278"/>
    <w:rsid w:val="719C6401"/>
    <w:rsid w:val="789155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default" w:eastAsia="楷体_GB2312" w:asciiTheme="minorHAnsi" w:hAnsiTheme="minorHAnsi" w:cstheme="minorBidi"/>
      <w:kern w:val="2"/>
      <w:sz w:val="32"/>
      <w:szCs w:val="22"/>
      <w:lang w:val="en-US" w:eastAsia="zh-CN" w:bidi="ar-SA"/>
    </w:rPr>
  </w:style>
  <w:style w:type="paragraph" w:styleId="3">
    <w:name w:val="heading 1"/>
    <w:basedOn w:val="1"/>
    <w:next w:val="1"/>
    <w:link w:val="21"/>
    <w:qFormat/>
    <w:uiPriority w:val="9"/>
    <w:pPr>
      <w:keepNext/>
      <w:keepLines/>
      <w:spacing w:before="340" w:after="330" w:line="576" w:lineRule="auto"/>
      <w:outlineLvl w:val="0"/>
    </w:pPr>
    <w:rPr>
      <w:rFonts w:cs="宋体"/>
      <w:b/>
      <w:bCs/>
      <w:kern w:val="44"/>
      <w:sz w:val="44"/>
      <w:szCs w:val="44"/>
    </w:rPr>
  </w:style>
  <w:style w:type="paragraph" w:styleId="4">
    <w:name w:val="heading 2"/>
    <w:basedOn w:val="1"/>
    <w:next w:val="1"/>
    <w:link w:val="22"/>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2">
    <w:name w:val="heading 3"/>
    <w:basedOn w:val="1"/>
    <w:next w:val="1"/>
    <w:link w:val="23"/>
    <w:qFormat/>
    <w:uiPriority w:val="9"/>
    <w:pPr>
      <w:keepNext/>
      <w:keepLines/>
      <w:spacing w:before="260" w:after="260" w:line="415" w:lineRule="auto"/>
      <w:outlineLvl w:val="2"/>
    </w:pPr>
    <w:rPr>
      <w:rFonts w:cs="宋体"/>
      <w:b/>
      <w:bCs/>
      <w:szCs w:val="32"/>
    </w:rPr>
  </w:style>
  <w:style w:type="paragraph" w:styleId="5">
    <w:name w:val="heading 4"/>
    <w:basedOn w:val="1"/>
    <w:next w:val="1"/>
    <w:link w:val="24"/>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6">
    <w:name w:val="heading 5"/>
    <w:basedOn w:val="1"/>
    <w:next w:val="1"/>
    <w:link w:val="25"/>
    <w:qFormat/>
    <w:uiPriority w:val="9"/>
    <w:pPr>
      <w:keepNext/>
      <w:keepLines/>
      <w:spacing w:before="280" w:after="290" w:line="374" w:lineRule="auto"/>
      <w:outlineLvl w:val="4"/>
    </w:pPr>
    <w:rPr>
      <w:rFonts w:cs="宋体"/>
      <w:b/>
      <w:bCs/>
      <w:sz w:val="28"/>
      <w:szCs w:val="28"/>
    </w:rPr>
  </w:style>
  <w:style w:type="paragraph" w:styleId="7">
    <w:name w:val="heading 6"/>
    <w:basedOn w:val="1"/>
    <w:next w:val="1"/>
    <w:link w:val="36"/>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62"/>
    <w:qFormat/>
    <w:uiPriority w:val="9"/>
    <w:pPr>
      <w:keepNext/>
      <w:keepLines/>
      <w:spacing w:before="240" w:after="64" w:line="320" w:lineRule="auto"/>
      <w:outlineLvl w:val="6"/>
    </w:pPr>
    <w:rPr>
      <w:b/>
      <w:bCs/>
      <w:sz w:val="24"/>
      <w:szCs w:val="24"/>
    </w:rPr>
  </w:style>
  <w:style w:type="paragraph" w:styleId="9">
    <w:name w:val="heading 8"/>
    <w:basedOn w:val="1"/>
    <w:next w:val="1"/>
    <w:link w:val="63"/>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4"/>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67"/>
    <w:semiHidden/>
    <w:unhideWhenUsed/>
    <w:qFormat/>
    <w:uiPriority w:val="99"/>
    <w:pPr>
      <w:jc w:val="left"/>
    </w:pPr>
  </w:style>
  <w:style w:type="paragraph" w:styleId="12">
    <w:name w:val="Balloon Text"/>
    <w:basedOn w:val="1"/>
    <w:link w:val="69"/>
    <w:semiHidden/>
    <w:unhideWhenUsed/>
    <w:qFormat/>
    <w:uiPriority w:val="99"/>
    <w:rPr>
      <w:sz w:val="18"/>
      <w:szCs w:val="18"/>
    </w:rPr>
  </w:style>
  <w:style w:type="paragraph" w:styleId="13">
    <w:name w:val="footer"/>
    <w:basedOn w:val="1"/>
    <w:link w:val="66"/>
    <w:unhideWhenUsed/>
    <w:qFormat/>
    <w:uiPriority w:val="99"/>
    <w:pPr>
      <w:tabs>
        <w:tab w:val="center" w:pos="4153"/>
        <w:tab w:val="right" w:pos="8306"/>
      </w:tabs>
      <w:snapToGrid w:val="0"/>
      <w:jc w:val="left"/>
    </w:pPr>
    <w:rPr>
      <w:sz w:val="18"/>
      <w:szCs w:val="18"/>
    </w:rPr>
  </w:style>
  <w:style w:type="paragraph" w:styleId="14">
    <w:name w:val="header"/>
    <w:basedOn w:val="1"/>
    <w:link w:val="65"/>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6">
    <w:name w:val="annotation subject"/>
    <w:basedOn w:val="11"/>
    <w:next w:val="11"/>
    <w:link w:val="68"/>
    <w:semiHidden/>
    <w:unhideWhenUsed/>
    <w:qFormat/>
    <w:uiPriority w:val="99"/>
    <w:rPr>
      <w:b/>
      <w:bCs/>
    </w:rPr>
  </w:style>
  <w:style w:type="character" w:styleId="19">
    <w:name w:val="Strong"/>
    <w:basedOn w:val="18"/>
    <w:qFormat/>
    <w:uiPriority w:val="0"/>
    <w:rPr>
      <w:b/>
      <w:bCs/>
    </w:rPr>
  </w:style>
  <w:style w:type="character" w:styleId="20">
    <w:name w:val="annotation reference"/>
    <w:basedOn w:val="18"/>
    <w:semiHidden/>
    <w:unhideWhenUsed/>
    <w:qFormat/>
    <w:uiPriority w:val="99"/>
    <w:rPr>
      <w:sz w:val="21"/>
      <w:szCs w:val="21"/>
    </w:rPr>
  </w:style>
  <w:style w:type="character" w:customStyle="1" w:styleId="21">
    <w:name w:val="标题 1 Char"/>
    <w:basedOn w:val="18"/>
    <w:link w:val="3"/>
    <w:qFormat/>
    <w:locked/>
    <w:uiPriority w:val="9"/>
    <w:rPr>
      <w:b/>
      <w:bCs/>
      <w:kern w:val="44"/>
      <w:sz w:val="44"/>
      <w:szCs w:val="44"/>
    </w:rPr>
  </w:style>
  <w:style w:type="character" w:customStyle="1" w:styleId="22">
    <w:name w:val="标题 2 Char"/>
    <w:basedOn w:val="18"/>
    <w:link w:val="4"/>
    <w:semiHidden/>
    <w:qFormat/>
    <w:locked/>
    <w:uiPriority w:val="9"/>
    <w:rPr>
      <w:rFonts w:hint="eastAsia" w:asciiTheme="majorHAnsi" w:hAnsiTheme="majorHAnsi" w:eastAsiaTheme="majorEastAsia" w:cstheme="majorBidi"/>
      <w:b/>
      <w:bCs/>
      <w:sz w:val="32"/>
      <w:szCs w:val="32"/>
    </w:rPr>
  </w:style>
  <w:style w:type="character" w:customStyle="1" w:styleId="23">
    <w:name w:val="标题 3 Char"/>
    <w:basedOn w:val="18"/>
    <w:link w:val="2"/>
    <w:semiHidden/>
    <w:qFormat/>
    <w:locked/>
    <w:uiPriority w:val="9"/>
    <w:rPr>
      <w:b/>
      <w:bCs/>
      <w:sz w:val="32"/>
      <w:szCs w:val="32"/>
    </w:rPr>
  </w:style>
  <w:style w:type="character" w:customStyle="1" w:styleId="24">
    <w:name w:val="标题 4 Char"/>
    <w:basedOn w:val="18"/>
    <w:link w:val="5"/>
    <w:semiHidden/>
    <w:qFormat/>
    <w:locked/>
    <w:uiPriority w:val="9"/>
    <w:rPr>
      <w:rFonts w:hint="eastAsia" w:asciiTheme="majorHAnsi" w:hAnsiTheme="majorHAnsi" w:eastAsiaTheme="majorEastAsia" w:cstheme="majorBidi"/>
      <w:b/>
      <w:bCs/>
      <w:sz w:val="28"/>
      <w:szCs w:val="28"/>
    </w:rPr>
  </w:style>
  <w:style w:type="character" w:customStyle="1" w:styleId="25">
    <w:name w:val="标题 5 Char"/>
    <w:basedOn w:val="18"/>
    <w:link w:val="6"/>
    <w:semiHidden/>
    <w:qFormat/>
    <w:locked/>
    <w:uiPriority w:val="9"/>
    <w:rPr>
      <w:b/>
      <w:bCs/>
      <w:sz w:val="28"/>
      <w:szCs w:val="28"/>
    </w:rPr>
  </w:style>
  <w:style w:type="character" w:customStyle="1" w:styleId="26">
    <w:name w:val="FZ标题1 字符"/>
    <w:basedOn w:val="18"/>
    <w:link w:val="27"/>
    <w:qFormat/>
    <w:locked/>
    <w:uiPriority w:val="0"/>
    <w:rPr>
      <w:rFonts w:hint="eastAsia" w:ascii="宋体" w:hAnsi="宋体" w:eastAsia="宋体"/>
      <w:b/>
      <w:color w:val="000000"/>
      <w:sz w:val="32"/>
    </w:rPr>
  </w:style>
  <w:style w:type="paragraph" w:customStyle="1" w:styleId="27">
    <w:name w:val="FZ标题1"/>
    <w:basedOn w:val="3"/>
    <w:link w:val="26"/>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28">
    <w:name w:val="FZ标题2 字符"/>
    <w:basedOn w:val="18"/>
    <w:link w:val="29"/>
    <w:qFormat/>
    <w:locked/>
    <w:uiPriority w:val="0"/>
    <w:rPr>
      <w:rFonts w:eastAsia="黑体"/>
      <w:b/>
      <w:bCs/>
      <w:color w:val="000000"/>
      <w:kern w:val="2"/>
      <w:sz w:val="28"/>
      <w:szCs w:val="44"/>
    </w:rPr>
  </w:style>
  <w:style w:type="paragraph" w:customStyle="1" w:styleId="29">
    <w:name w:val="FZ标题2"/>
    <w:basedOn w:val="4"/>
    <w:link w:val="28"/>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0">
    <w:name w:val="FZ标题3 字符"/>
    <w:basedOn w:val="18"/>
    <w:link w:val="31"/>
    <w:qFormat/>
    <w:locked/>
    <w:uiPriority w:val="0"/>
    <w:rPr>
      <w:rFonts w:eastAsia="仿宋_GB2312" w:cstheme="majorBidi"/>
      <w:b/>
      <w:bCs/>
      <w:color w:val="000000"/>
      <w:kern w:val="2"/>
      <w:sz w:val="28"/>
      <w:szCs w:val="32"/>
    </w:rPr>
  </w:style>
  <w:style w:type="paragraph" w:customStyle="1" w:styleId="31">
    <w:name w:val="FZ标题3"/>
    <w:basedOn w:val="2"/>
    <w:link w:val="30"/>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2">
    <w:name w:val="FZ标题4 字符"/>
    <w:basedOn w:val="18"/>
    <w:link w:val="33"/>
    <w:qFormat/>
    <w:locked/>
    <w:uiPriority w:val="0"/>
    <w:rPr>
      <w:rFonts w:ascii="仿宋_GB2312" w:eastAsia="仿宋_GB2312"/>
      <w:b/>
      <w:bCs/>
      <w:color w:val="000000"/>
      <w:kern w:val="2"/>
      <w:sz w:val="28"/>
      <w:szCs w:val="32"/>
    </w:rPr>
  </w:style>
  <w:style w:type="paragraph" w:customStyle="1" w:styleId="33">
    <w:name w:val="FZ标题4"/>
    <w:basedOn w:val="5"/>
    <w:link w:val="32"/>
    <w:qFormat/>
    <w:uiPriority w:val="0"/>
    <w:pPr>
      <w:keepNext w:val="0"/>
      <w:keepLines w:val="0"/>
      <w:snapToGrid w:val="0"/>
      <w:spacing w:before="120" w:beforeLines="50" w:after="0" w:line="560" w:lineRule="exact"/>
      <w:ind w:firstLine="562" w:firstLineChars="200"/>
      <w:jc w:val="left"/>
    </w:pPr>
    <w:rPr>
      <w:rFonts w:ascii="仿宋_GB2312" w:hAnsi="宋体" w:eastAsia="仿宋_GB2312" w:cstheme="minorBidi"/>
      <w:color w:val="000000"/>
      <w:szCs w:val="32"/>
    </w:rPr>
  </w:style>
  <w:style w:type="character" w:customStyle="1" w:styleId="34">
    <w:name w:val="FZ标题5 字符"/>
    <w:basedOn w:val="18"/>
    <w:link w:val="35"/>
    <w:qFormat/>
    <w:locked/>
    <w:uiPriority w:val="0"/>
    <w:rPr>
      <w:rFonts w:hint="eastAsia" w:ascii="宋体" w:hAnsi="宋体" w:eastAsia="宋体" w:cstheme="majorBidi"/>
      <w:bCs/>
      <w:color w:val="000000"/>
      <w:szCs w:val="28"/>
    </w:rPr>
  </w:style>
  <w:style w:type="paragraph" w:customStyle="1" w:styleId="35">
    <w:name w:val="FZ标题5"/>
    <w:basedOn w:val="6"/>
    <w:link w:val="34"/>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6">
    <w:name w:val="标题 6 Char"/>
    <w:basedOn w:val="18"/>
    <w:link w:val="7"/>
    <w:semiHidden/>
    <w:qFormat/>
    <w:uiPriority w:val="9"/>
    <w:rPr>
      <w:rFonts w:asciiTheme="majorHAnsi" w:hAnsiTheme="majorHAnsi" w:eastAsiaTheme="majorEastAsia" w:cstheme="majorBidi"/>
      <w:b/>
      <w:bCs/>
      <w:kern w:val="2"/>
      <w:sz w:val="24"/>
      <w:szCs w:val="24"/>
    </w:rPr>
  </w:style>
  <w:style w:type="character" w:customStyle="1" w:styleId="37">
    <w:name w:val="FZ标题6 字符"/>
    <w:basedOn w:val="18"/>
    <w:link w:val="38"/>
    <w:qFormat/>
    <w:locked/>
    <w:uiPriority w:val="0"/>
    <w:rPr>
      <w:rFonts w:hint="eastAsia" w:ascii="宋体" w:hAnsi="宋体" w:eastAsia="宋体"/>
      <w:bCs/>
      <w:color w:val="000000"/>
      <w:szCs w:val="28"/>
    </w:rPr>
  </w:style>
  <w:style w:type="paragraph" w:customStyle="1" w:styleId="38">
    <w:name w:val="FZ标题6"/>
    <w:basedOn w:val="7"/>
    <w:link w:val="37"/>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39">
    <w:name w:val="FZ表格标题行首列 字符"/>
    <w:basedOn w:val="18"/>
    <w:link w:val="40"/>
    <w:qFormat/>
    <w:locked/>
    <w:uiPriority w:val="0"/>
    <w:rPr>
      <w:rFonts w:hint="eastAsia" w:ascii="宋体" w:hAnsi="宋体" w:eastAsia="宋体"/>
      <w:color w:val="000000"/>
      <w:sz w:val="18"/>
    </w:rPr>
  </w:style>
  <w:style w:type="paragraph" w:customStyle="1" w:styleId="40">
    <w:name w:val="FZ表格标题行首列"/>
    <w:basedOn w:val="1"/>
    <w:link w:val="39"/>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1">
    <w:name w:val="FZ表格标题行 字符"/>
    <w:basedOn w:val="18"/>
    <w:link w:val="42"/>
    <w:qFormat/>
    <w:locked/>
    <w:uiPriority w:val="0"/>
    <w:rPr>
      <w:rFonts w:hint="eastAsia" w:ascii="宋体" w:hAnsi="宋体" w:eastAsia="宋体"/>
      <w:color w:val="000000"/>
      <w:sz w:val="18"/>
    </w:rPr>
  </w:style>
  <w:style w:type="paragraph" w:customStyle="1" w:styleId="42">
    <w:name w:val="FZ表格标题行"/>
    <w:basedOn w:val="1"/>
    <w:link w:val="41"/>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3">
    <w:name w:val="FZ表格正文行首列 字符"/>
    <w:basedOn w:val="18"/>
    <w:link w:val="44"/>
    <w:qFormat/>
    <w:locked/>
    <w:uiPriority w:val="0"/>
    <w:rPr>
      <w:rFonts w:hint="eastAsia" w:ascii="宋体" w:hAnsi="宋体" w:eastAsia="宋体"/>
      <w:color w:val="000000"/>
      <w:sz w:val="18"/>
    </w:rPr>
  </w:style>
  <w:style w:type="paragraph" w:customStyle="1" w:styleId="44">
    <w:name w:val="FZ表格正文行首列"/>
    <w:basedOn w:val="1"/>
    <w:link w:val="43"/>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5">
    <w:name w:val="FZ表格正文行 字符"/>
    <w:basedOn w:val="18"/>
    <w:link w:val="46"/>
    <w:qFormat/>
    <w:locked/>
    <w:uiPriority w:val="0"/>
    <w:rPr>
      <w:rFonts w:hint="eastAsia" w:ascii="宋体" w:hAnsi="宋体" w:eastAsia="宋体"/>
      <w:color w:val="000000"/>
      <w:sz w:val="18"/>
    </w:rPr>
  </w:style>
  <w:style w:type="paragraph" w:customStyle="1" w:styleId="46">
    <w:name w:val="FZ表格正文行"/>
    <w:basedOn w:val="1"/>
    <w:link w:val="45"/>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7">
    <w:name w:val="FZ表格合计行首列 字符"/>
    <w:basedOn w:val="18"/>
    <w:link w:val="48"/>
    <w:qFormat/>
    <w:locked/>
    <w:uiPriority w:val="0"/>
    <w:rPr>
      <w:rFonts w:hint="eastAsia" w:ascii="宋体" w:hAnsi="宋体" w:eastAsia="宋体"/>
      <w:color w:val="000000"/>
      <w:sz w:val="18"/>
    </w:rPr>
  </w:style>
  <w:style w:type="paragraph" w:customStyle="1" w:styleId="48">
    <w:name w:val="FZ表格合计行首列"/>
    <w:basedOn w:val="1"/>
    <w:link w:val="47"/>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9">
    <w:name w:val="FZ表格合计行 字符"/>
    <w:basedOn w:val="18"/>
    <w:link w:val="50"/>
    <w:qFormat/>
    <w:locked/>
    <w:uiPriority w:val="0"/>
    <w:rPr>
      <w:rFonts w:hint="eastAsia" w:ascii="宋体" w:hAnsi="宋体" w:eastAsia="宋体"/>
      <w:color w:val="000000"/>
      <w:sz w:val="18"/>
    </w:rPr>
  </w:style>
  <w:style w:type="paragraph" w:customStyle="1" w:styleId="50">
    <w:name w:val="FZ表格合计行"/>
    <w:basedOn w:val="1"/>
    <w:link w:val="49"/>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1">
    <w:name w:val="FZ正文 字符"/>
    <w:basedOn w:val="18"/>
    <w:link w:val="52"/>
    <w:qFormat/>
    <w:locked/>
    <w:uiPriority w:val="0"/>
    <w:rPr>
      <w:rFonts w:ascii="Times New Roman" w:hAnsi="Times New Roman" w:eastAsia="仿宋_GB2312" w:cs="Times New Roman"/>
      <w:color w:val="000000"/>
      <w:kern w:val="2"/>
      <w:sz w:val="28"/>
      <w:szCs w:val="22"/>
    </w:rPr>
  </w:style>
  <w:style w:type="paragraph" w:customStyle="1" w:styleId="52">
    <w:name w:val="FZ正文"/>
    <w:basedOn w:val="1"/>
    <w:link w:val="51"/>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3">
    <w:name w:val="FZ副标题 字符"/>
    <w:basedOn w:val="18"/>
    <w:link w:val="54"/>
    <w:qFormat/>
    <w:locked/>
    <w:uiPriority w:val="0"/>
    <w:rPr>
      <w:rFonts w:hint="eastAsia" w:ascii="宋体" w:hAnsi="宋体" w:eastAsia="宋体"/>
      <w:color w:val="000000"/>
    </w:rPr>
  </w:style>
  <w:style w:type="paragraph" w:customStyle="1" w:styleId="54">
    <w:name w:val="FZ副标题"/>
    <w:basedOn w:val="1"/>
    <w:link w:val="53"/>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5">
    <w:name w:val="FZ落款 字符"/>
    <w:basedOn w:val="18"/>
    <w:link w:val="56"/>
    <w:qFormat/>
    <w:locked/>
    <w:uiPriority w:val="0"/>
    <w:rPr>
      <w:rFonts w:hint="eastAsia" w:ascii="宋体" w:hAnsi="宋体" w:eastAsia="宋体"/>
      <w:color w:val="000000"/>
    </w:rPr>
  </w:style>
  <w:style w:type="paragraph" w:customStyle="1" w:styleId="56">
    <w:name w:val="FZ落款"/>
    <w:basedOn w:val="1"/>
    <w:link w:val="55"/>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7">
    <w:name w:val="FZ注释 字符"/>
    <w:basedOn w:val="18"/>
    <w:link w:val="58"/>
    <w:qFormat/>
    <w:locked/>
    <w:uiPriority w:val="0"/>
    <w:rPr>
      <w:rFonts w:hint="eastAsia" w:ascii="宋体" w:hAnsi="宋体" w:eastAsia="宋体"/>
      <w:color w:val="000000"/>
      <w:sz w:val="18"/>
    </w:rPr>
  </w:style>
  <w:style w:type="paragraph" w:customStyle="1" w:styleId="58">
    <w:name w:val="FZ注释"/>
    <w:basedOn w:val="1"/>
    <w:link w:val="57"/>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59">
    <w:name w:val="FZ小标题 字符"/>
    <w:basedOn w:val="18"/>
    <w:link w:val="60"/>
    <w:qFormat/>
    <w:locked/>
    <w:uiPriority w:val="0"/>
    <w:rPr>
      <w:rFonts w:hint="eastAsia" w:ascii="宋体" w:hAnsi="宋体" w:eastAsia="宋体"/>
      <w:color w:val="000000"/>
      <w:sz w:val="18"/>
    </w:rPr>
  </w:style>
  <w:style w:type="paragraph" w:customStyle="1" w:styleId="60">
    <w:name w:val="FZ小标题"/>
    <w:basedOn w:val="1"/>
    <w:link w:val="59"/>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1">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2">
    <w:name w:val="标题 7 Char"/>
    <w:basedOn w:val="18"/>
    <w:link w:val="8"/>
    <w:semiHidden/>
    <w:qFormat/>
    <w:uiPriority w:val="9"/>
    <w:rPr>
      <w:rFonts w:asciiTheme="minorHAnsi" w:hAnsiTheme="minorHAnsi" w:eastAsiaTheme="minorEastAsia"/>
      <w:b/>
      <w:bCs/>
      <w:kern w:val="2"/>
      <w:sz w:val="24"/>
      <w:szCs w:val="24"/>
    </w:rPr>
  </w:style>
  <w:style w:type="character" w:customStyle="1" w:styleId="63">
    <w:name w:val="标题 8 Char"/>
    <w:basedOn w:val="18"/>
    <w:link w:val="9"/>
    <w:semiHidden/>
    <w:qFormat/>
    <w:uiPriority w:val="9"/>
    <w:rPr>
      <w:rFonts w:asciiTheme="majorHAnsi" w:hAnsiTheme="majorHAnsi" w:eastAsiaTheme="majorEastAsia" w:cstheme="majorBidi"/>
      <w:kern w:val="2"/>
      <w:sz w:val="24"/>
      <w:szCs w:val="24"/>
    </w:rPr>
  </w:style>
  <w:style w:type="character" w:customStyle="1" w:styleId="64">
    <w:name w:val="标题 9 Char"/>
    <w:basedOn w:val="18"/>
    <w:link w:val="10"/>
    <w:semiHidden/>
    <w:qFormat/>
    <w:uiPriority w:val="9"/>
    <w:rPr>
      <w:rFonts w:asciiTheme="majorHAnsi" w:hAnsiTheme="majorHAnsi" w:eastAsiaTheme="majorEastAsia" w:cstheme="majorBidi"/>
      <w:kern w:val="2"/>
      <w:sz w:val="21"/>
      <w:szCs w:val="21"/>
    </w:rPr>
  </w:style>
  <w:style w:type="character" w:customStyle="1" w:styleId="65">
    <w:name w:val="页眉 Char"/>
    <w:basedOn w:val="18"/>
    <w:link w:val="14"/>
    <w:qFormat/>
    <w:uiPriority w:val="99"/>
    <w:rPr>
      <w:rFonts w:asciiTheme="minorHAnsi" w:hAnsiTheme="minorHAnsi" w:eastAsiaTheme="minorEastAsia"/>
      <w:kern w:val="2"/>
      <w:sz w:val="18"/>
      <w:szCs w:val="18"/>
    </w:rPr>
  </w:style>
  <w:style w:type="character" w:customStyle="1" w:styleId="66">
    <w:name w:val="页脚 Char"/>
    <w:basedOn w:val="18"/>
    <w:link w:val="13"/>
    <w:qFormat/>
    <w:uiPriority w:val="99"/>
    <w:rPr>
      <w:rFonts w:asciiTheme="minorHAnsi" w:hAnsiTheme="minorHAnsi" w:eastAsiaTheme="minorEastAsia"/>
      <w:kern w:val="2"/>
      <w:sz w:val="18"/>
      <w:szCs w:val="18"/>
    </w:rPr>
  </w:style>
  <w:style w:type="character" w:customStyle="1" w:styleId="67">
    <w:name w:val="批注文字 Char"/>
    <w:basedOn w:val="18"/>
    <w:link w:val="11"/>
    <w:semiHidden/>
    <w:qFormat/>
    <w:uiPriority w:val="99"/>
    <w:rPr>
      <w:rFonts w:asciiTheme="minorHAnsi" w:hAnsiTheme="minorHAnsi" w:eastAsiaTheme="minorEastAsia"/>
      <w:kern w:val="2"/>
      <w:sz w:val="21"/>
      <w:szCs w:val="22"/>
    </w:rPr>
  </w:style>
  <w:style w:type="character" w:customStyle="1" w:styleId="68">
    <w:name w:val="批注主题 Char"/>
    <w:basedOn w:val="67"/>
    <w:link w:val="16"/>
    <w:semiHidden/>
    <w:qFormat/>
    <w:uiPriority w:val="99"/>
    <w:rPr>
      <w:rFonts w:asciiTheme="minorHAnsi" w:hAnsiTheme="minorHAnsi" w:eastAsiaTheme="minorEastAsia"/>
      <w:b/>
      <w:bCs/>
      <w:kern w:val="2"/>
      <w:sz w:val="21"/>
      <w:szCs w:val="22"/>
    </w:rPr>
  </w:style>
  <w:style w:type="character" w:customStyle="1" w:styleId="69">
    <w:name w:val="批注框文本 Char"/>
    <w:basedOn w:val="18"/>
    <w:link w:val="12"/>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9F783-16C6-4687-A9CD-26DA95EC4223}">
  <ds:schemaRefs/>
</ds:datastoreItem>
</file>

<file path=docProps/app.xml><?xml version="1.0" encoding="utf-8"?>
<Properties xmlns="http://schemas.openxmlformats.org/officeDocument/2006/extended-properties" xmlns:vt="http://schemas.openxmlformats.org/officeDocument/2006/docPropsVTypes">
  <Template>Normal.dotm</Template>
  <Pages>14</Pages>
  <Words>7413</Words>
  <Characters>8127</Characters>
  <Lines>52</Lines>
  <Paragraphs>14</Paragraphs>
  <TotalTime>276</TotalTime>
  <ScaleCrop>false</ScaleCrop>
  <LinksUpToDate>false</LinksUpToDate>
  <CharactersWithSpaces>8328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Administrator</cp:lastModifiedBy>
  <cp:lastPrinted>2023-01-08T16:37:00Z</cp:lastPrinted>
  <dcterms:modified xsi:type="dcterms:W3CDTF">2025-12-15T09:17:06Z</dcterms:modified>
  <dc:title>C:\Users\Xueyang\Desktop\170号自评报告\57.艾力西湖镇巴扎（10）村花卉生产基地配套建设项目绩效自评报告.xlsx</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KSOTemplateDocerSaveRecord">
    <vt:lpwstr>eyJoZGlkIjoiOTIyNzdhMmIxNTc5NDEzMzgyZTVhMjkwNDNiZTdlNzMiLCJ1c2VySWQiOiIxMTQxMzI3MTgwIn0=</vt:lpwstr>
  </property>
  <property fmtid="{D5CDD505-2E9C-101B-9397-08002B2CF9AE}" pid="4" name="ICV">
    <vt:lpwstr>862912D400B94E31B258B414CE27DB5B_12</vt:lpwstr>
  </property>
</Properties>
</file>