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A96268">
      <w:pPr>
        <w:jc w:val="center"/>
        <w:rPr>
          <w:rFonts w:hint="eastAsia" w:ascii="方正大标宋简体" w:hAnsi="华文中宋" w:eastAsia="方正大标宋简体" w:cs="宋体"/>
          <w:kern w:val="0"/>
          <w:sz w:val="52"/>
          <w:szCs w:val="52"/>
        </w:rPr>
      </w:pPr>
      <w:bookmarkStart w:id="0" w:name="_GoBack"/>
      <w:bookmarkEnd w:id="0"/>
    </w:p>
    <w:p w14:paraId="4F831CFD">
      <w:pPr>
        <w:jc w:val="center"/>
        <w:rPr>
          <w:rFonts w:hint="eastAsia"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49C3A06">
      <w:pPr>
        <w:spacing w:line="540" w:lineRule="exact"/>
        <w:ind w:firstLine="1040" w:firstLineChars="200"/>
        <w:jc w:val="center"/>
        <w:rPr>
          <w:rFonts w:hint="eastAsia" w:ascii="方正仿宋_GBK" w:hAnsi="方正仿宋_GBK" w:eastAsia="方正仿宋_GBK" w:cs="方正仿宋_GBK"/>
          <w:kern w:val="0"/>
          <w:sz w:val="52"/>
          <w:szCs w:val="52"/>
        </w:rPr>
      </w:pPr>
    </w:p>
    <w:p w14:paraId="0C478CE1">
      <w:pPr>
        <w:spacing w:line="540" w:lineRule="exact"/>
        <w:jc w:val="center"/>
        <w:rPr>
          <w:rFonts w:hint="eastAsia" w:ascii="方正仿宋_GBK" w:hAnsi="方正仿宋_GBK" w:eastAsia="方正仿宋_GBK" w:cs="方正仿宋_GBK"/>
          <w:b w:val="0"/>
          <w:bCs w:val="0"/>
          <w:color w:val="auto"/>
          <w:kern w:val="0"/>
          <w:sz w:val="36"/>
          <w:szCs w:val="36"/>
        </w:rPr>
      </w:pPr>
      <w:r>
        <w:rPr>
          <w:rFonts w:hint="eastAsia" w:hAnsi="宋体" w:cs="宋体"/>
          <w:b w:val="0"/>
          <w:bCs w:val="0"/>
          <w:color w:val="auto"/>
          <w:kern w:val="0"/>
          <w:sz w:val="36"/>
          <w:szCs w:val="36"/>
        </w:rPr>
        <w:t>（202</w:t>
      </w:r>
      <w:r>
        <w:rPr>
          <w:rFonts w:hint="eastAsia" w:hAnsi="宋体" w:cs="宋体"/>
          <w:b w:val="0"/>
          <w:bCs w:val="0"/>
          <w:color w:val="auto"/>
          <w:kern w:val="0"/>
          <w:sz w:val="36"/>
          <w:szCs w:val="36"/>
          <w:lang w:val="en-US" w:eastAsia="zh-CN"/>
        </w:rPr>
        <w:t>4</w:t>
      </w:r>
      <w:r>
        <w:rPr>
          <w:rFonts w:hint="eastAsia" w:hAnsi="宋体" w:cs="宋体"/>
          <w:b w:val="0"/>
          <w:bCs w:val="0"/>
          <w:color w:val="auto"/>
          <w:kern w:val="0"/>
          <w:sz w:val="36"/>
          <w:szCs w:val="36"/>
        </w:rPr>
        <w:t>年度）</w:t>
      </w:r>
    </w:p>
    <w:p w14:paraId="74018ABE">
      <w:pPr>
        <w:spacing w:line="540" w:lineRule="exact"/>
        <w:ind w:firstLine="600" w:firstLineChars="200"/>
        <w:jc w:val="center"/>
        <w:rPr>
          <w:rFonts w:hint="eastAsia" w:ascii="方正仿宋_GBK" w:hAnsi="方正仿宋_GBK" w:eastAsia="方正仿宋_GBK" w:cs="方正仿宋_GBK"/>
          <w:kern w:val="0"/>
          <w:sz w:val="30"/>
          <w:szCs w:val="30"/>
        </w:rPr>
      </w:pPr>
    </w:p>
    <w:p w14:paraId="50429F27">
      <w:pPr>
        <w:spacing w:line="540" w:lineRule="exact"/>
        <w:ind w:firstLine="600" w:firstLineChars="200"/>
        <w:jc w:val="center"/>
        <w:rPr>
          <w:rFonts w:hint="eastAsia" w:ascii="方正仿宋_GBK" w:hAnsi="方正仿宋_GBK" w:eastAsia="方正仿宋_GBK" w:cs="方正仿宋_GBK"/>
          <w:kern w:val="0"/>
          <w:sz w:val="30"/>
          <w:szCs w:val="30"/>
        </w:rPr>
      </w:pPr>
    </w:p>
    <w:p w14:paraId="29B70386">
      <w:pPr>
        <w:spacing w:line="540" w:lineRule="exact"/>
        <w:ind w:firstLine="600" w:firstLineChars="200"/>
        <w:jc w:val="center"/>
        <w:rPr>
          <w:rFonts w:hint="eastAsia" w:ascii="方正仿宋_GBK" w:hAnsi="方正仿宋_GBK" w:eastAsia="方正仿宋_GBK" w:cs="方正仿宋_GBK"/>
          <w:kern w:val="0"/>
          <w:sz w:val="30"/>
          <w:szCs w:val="30"/>
        </w:rPr>
      </w:pPr>
    </w:p>
    <w:p w14:paraId="61AE2FE0">
      <w:pPr>
        <w:spacing w:line="540" w:lineRule="exact"/>
        <w:ind w:firstLine="600" w:firstLineChars="200"/>
        <w:jc w:val="center"/>
        <w:rPr>
          <w:rFonts w:hint="eastAsia" w:ascii="方正仿宋_GBK" w:hAnsi="方正仿宋_GBK" w:eastAsia="方正仿宋_GBK" w:cs="方正仿宋_GBK"/>
          <w:kern w:val="0"/>
          <w:sz w:val="30"/>
          <w:szCs w:val="30"/>
        </w:rPr>
      </w:pPr>
    </w:p>
    <w:p w14:paraId="5431E205">
      <w:pPr>
        <w:spacing w:line="540" w:lineRule="exact"/>
        <w:ind w:firstLine="600" w:firstLineChars="200"/>
        <w:jc w:val="center"/>
        <w:rPr>
          <w:rFonts w:hint="eastAsia" w:ascii="方正仿宋_GBK" w:hAnsi="方正仿宋_GBK" w:eastAsia="方正仿宋_GBK" w:cs="方正仿宋_GBK"/>
          <w:kern w:val="0"/>
          <w:sz w:val="30"/>
          <w:szCs w:val="30"/>
        </w:rPr>
      </w:pPr>
    </w:p>
    <w:p w14:paraId="3F602694">
      <w:pPr>
        <w:spacing w:line="540" w:lineRule="exact"/>
        <w:ind w:firstLine="600" w:firstLineChars="200"/>
        <w:jc w:val="center"/>
        <w:rPr>
          <w:rFonts w:hint="eastAsia" w:ascii="方正仿宋_GBK" w:hAnsi="方正仿宋_GBK" w:eastAsia="方正仿宋_GBK" w:cs="方正仿宋_GBK"/>
          <w:kern w:val="0"/>
          <w:sz w:val="30"/>
          <w:szCs w:val="30"/>
        </w:rPr>
      </w:pPr>
    </w:p>
    <w:p w14:paraId="2EB9FABB">
      <w:pPr>
        <w:spacing w:line="540" w:lineRule="exact"/>
        <w:ind w:firstLine="600" w:firstLineChars="200"/>
        <w:jc w:val="center"/>
        <w:rPr>
          <w:rFonts w:hint="eastAsia" w:ascii="方正仿宋_GBK" w:hAnsi="方正仿宋_GBK" w:eastAsia="方正仿宋_GBK" w:cs="方正仿宋_GBK"/>
          <w:kern w:val="0"/>
          <w:sz w:val="30"/>
          <w:szCs w:val="30"/>
        </w:rPr>
      </w:pPr>
    </w:p>
    <w:p w14:paraId="5F740E20">
      <w:pPr>
        <w:spacing w:line="540" w:lineRule="exact"/>
        <w:ind w:firstLine="600" w:firstLineChars="200"/>
        <w:jc w:val="center"/>
        <w:rPr>
          <w:rFonts w:hint="eastAsia" w:ascii="方正仿宋_GBK" w:hAnsi="方正仿宋_GBK" w:eastAsia="方正仿宋_GBK" w:cs="方正仿宋_GBK"/>
          <w:kern w:val="0"/>
          <w:sz w:val="30"/>
          <w:szCs w:val="30"/>
        </w:rPr>
      </w:pPr>
    </w:p>
    <w:p w14:paraId="1AAE9989">
      <w:pPr>
        <w:spacing w:line="540" w:lineRule="exact"/>
        <w:jc w:val="both"/>
        <w:rPr>
          <w:rFonts w:hint="eastAsia" w:ascii="方正仿宋_GBK" w:hAnsi="方正仿宋_GBK" w:eastAsia="方正仿宋_GBK" w:cs="方正仿宋_GBK"/>
          <w:kern w:val="0"/>
          <w:sz w:val="30"/>
          <w:szCs w:val="30"/>
        </w:rPr>
      </w:pPr>
    </w:p>
    <w:p w14:paraId="75A90C84">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lang w:val="en-US" w:eastAsia="zh-CN"/>
        </w:rPr>
        <w:t>项目名称：于田县2024年壮大村集体经济建设项目（英巴格乡）</w:t>
      </w:r>
    </w:p>
    <w:p w14:paraId="54D1B8B1">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lang w:val="en-US" w:eastAsia="zh-CN"/>
        </w:rPr>
        <w:t>实施单位：于田县英巴格乡人民政府</w:t>
      </w:r>
    </w:p>
    <w:p w14:paraId="5EF06645">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lang w:val="en-US" w:eastAsia="zh-CN"/>
        </w:rPr>
        <w:t>主管部门：于田县农业农村局</w:t>
      </w:r>
    </w:p>
    <w:p w14:paraId="59D645CD">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lang w:val="en-US" w:eastAsia="zh-CN"/>
        </w:rPr>
        <w:t>项目负责人：葛玉翔</w:t>
      </w:r>
    </w:p>
    <w:p w14:paraId="6BACC0F5">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lang w:val="en-US" w:eastAsia="zh-CN"/>
        </w:rPr>
        <w:t>填报时间：2024年12月21日</w:t>
      </w:r>
    </w:p>
    <w:p w14:paraId="6804B77A">
      <w:pPr>
        <w:spacing w:line="540" w:lineRule="exact"/>
        <w:ind w:firstLine="600" w:firstLineChars="200"/>
        <w:rPr>
          <w:rFonts w:hint="eastAsia" w:ascii="方正仿宋_GBK" w:hAnsi="方正仿宋_GBK" w:eastAsia="方正仿宋_GBK" w:cs="方正仿宋_GBK"/>
          <w:kern w:val="0"/>
          <w:sz w:val="30"/>
          <w:szCs w:val="30"/>
        </w:rPr>
      </w:pPr>
    </w:p>
    <w:p w14:paraId="26355A62">
      <w:pPr>
        <w:spacing w:line="360" w:lineRule="auto"/>
        <w:rPr>
          <w:rStyle w:val="19"/>
          <w:rFonts w:hint="eastAsia" w:ascii="方正仿宋_GBK" w:hAnsi="方正仿宋_GBK" w:eastAsia="方正仿宋_GBK" w:cs="方正仿宋_GBK"/>
          <w:spacing w:val="-4"/>
          <w:szCs w:val="32"/>
        </w:rPr>
      </w:pPr>
    </w:p>
    <w:p w14:paraId="652AE8D8">
      <w:pPr>
        <w:keepNext w:val="0"/>
        <w:keepLines w:val="0"/>
        <w:pageBreakBefore w:val="0"/>
        <w:widowControl w:val="0"/>
        <w:kinsoku/>
        <w:wordWrap/>
        <w:overflowPunct/>
        <w:topLinePunct w:val="0"/>
        <w:autoSpaceDE/>
        <w:autoSpaceDN/>
        <w:bidi w:val="0"/>
        <w:adjustRightInd/>
        <w:spacing w:line="240" w:lineRule="auto"/>
        <w:ind w:firstLine="627" w:firstLineChars="200"/>
        <w:textAlignment w:val="auto"/>
        <w:rPr>
          <w:rStyle w:val="19"/>
          <w:rFonts w:hint="eastAsia" w:ascii="方正仿宋_GBK" w:hAnsi="方正仿宋_GBK" w:eastAsia="方正仿宋_GBK" w:cs="方正仿宋_GBK"/>
          <w:color w:val="auto"/>
          <w:spacing w:val="-4"/>
          <w:szCs w:val="32"/>
          <w:highlight w:val="none"/>
        </w:rPr>
      </w:pPr>
    </w:p>
    <w:p w14:paraId="65C3A33C">
      <w:pPr>
        <w:keepNext w:val="0"/>
        <w:keepLines w:val="0"/>
        <w:pageBreakBefore w:val="0"/>
        <w:widowControl w:val="0"/>
        <w:kinsoku/>
        <w:wordWrap/>
        <w:overflowPunct/>
        <w:topLinePunct w:val="0"/>
        <w:autoSpaceDE/>
        <w:autoSpaceDN/>
        <w:bidi w:val="0"/>
        <w:adjustRightInd/>
        <w:spacing w:line="240" w:lineRule="auto"/>
        <w:ind w:firstLine="560" w:firstLineChars="200"/>
        <w:textAlignment w:val="auto"/>
        <w:rPr>
          <w:rFonts w:hint="eastAsia" w:ascii="Times New Roman" w:hAnsi="Times New Roman" w:eastAsia="仿宋_GB2312" w:cs="Times New Roman"/>
          <w:color w:val="000000"/>
          <w:kern w:val="2"/>
          <w:sz w:val="28"/>
          <w:szCs w:val="22"/>
          <w:lang w:val="en-US" w:eastAsia="zh-CN" w:bidi="ar-SA"/>
        </w:rPr>
      </w:pPr>
    </w:p>
    <w:p w14:paraId="3C6EF0E0">
      <w:pPr>
        <w:spacing w:line="360" w:lineRule="auto"/>
        <w:ind w:firstLine="627" w:firstLineChars="200"/>
        <w:rPr>
          <w:rStyle w:val="19"/>
          <w:rFonts w:hint="eastAsia" w:ascii="黑体" w:hAnsi="黑体" w:eastAsia="黑体" w:cs="Times New Roman"/>
          <w:spacing w:val="-4"/>
          <w:szCs w:val="32"/>
          <w:lang w:val="en-US" w:eastAsia="zh-CN"/>
        </w:rPr>
      </w:pPr>
      <w:r>
        <w:rPr>
          <w:rStyle w:val="19"/>
          <w:rFonts w:hint="eastAsia" w:ascii="黑体" w:hAnsi="黑体" w:eastAsia="黑体" w:cs="Times New Roman"/>
          <w:spacing w:val="-4"/>
          <w:szCs w:val="32"/>
          <w:lang w:val="en-US" w:eastAsia="zh-CN"/>
        </w:rPr>
        <w:t>一、绩效目标分解下达情况</w:t>
      </w:r>
    </w:p>
    <w:p w14:paraId="34C2F96A">
      <w:pPr>
        <w:spacing w:line="360" w:lineRule="auto"/>
        <w:ind w:firstLine="546" w:firstLineChars="200"/>
        <w:rPr>
          <w:rFonts w:hint="eastAsia" w:ascii="楷体_GB2312" w:hAnsi="楷体" w:cs="Times New Roman"/>
          <w:b/>
          <w:spacing w:val="-4"/>
          <w:sz w:val="28"/>
          <w:szCs w:val="32"/>
          <w:lang w:val="en-US" w:eastAsia="zh-CN"/>
        </w:rPr>
      </w:pPr>
      <w:r>
        <w:rPr>
          <w:rFonts w:hint="eastAsia" w:ascii="楷体_GB2312" w:hAnsi="楷体" w:cs="Times New Roman"/>
          <w:b/>
          <w:spacing w:val="-4"/>
          <w:sz w:val="28"/>
          <w:szCs w:val="32"/>
          <w:lang w:val="en-US" w:eastAsia="zh-CN"/>
        </w:rPr>
        <w:t>（一）财政专项乡村振兴衔接资金下达预算及项目情况</w:t>
      </w:r>
    </w:p>
    <w:p w14:paraId="590CF81E">
      <w:pPr>
        <w:pStyle w:val="52"/>
        <w:spacing w:line="560" w:lineRule="exact"/>
        <w:ind w:left="3" w:right="3" w:firstLine="560"/>
        <w:rPr>
          <w:rFonts w:hint="eastAsia" w:ascii="Times New Roman" w:hAnsi="Times New Roman" w:eastAsia="仿宋_GB2312" w:cs="Times New Roman"/>
          <w:b/>
          <w:bCs/>
          <w:color w:val="000000"/>
          <w:kern w:val="2"/>
          <w:sz w:val="28"/>
          <w:szCs w:val="22"/>
          <w:lang w:val="en-US" w:eastAsia="zh-CN" w:bidi="ar-SA"/>
        </w:rPr>
      </w:pPr>
      <w:r>
        <w:rPr>
          <w:rFonts w:hint="eastAsia" w:ascii="Times New Roman" w:hAnsi="Times New Roman" w:eastAsia="仿宋_GB2312" w:cs="Times New Roman"/>
          <w:b/>
          <w:bCs/>
          <w:color w:val="000000"/>
          <w:kern w:val="2"/>
          <w:sz w:val="28"/>
          <w:szCs w:val="22"/>
          <w:lang w:val="en-US" w:eastAsia="zh-CN" w:bidi="ar-SA"/>
        </w:rPr>
        <w:t>1.下达预算情况</w:t>
      </w:r>
    </w:p>
    <w:p w14:paraId="0DC81958">
      <w:pPr>
        <w:pStyle w:val="52"/>
        <w:spacing w:line="560" w:lineRule="exact"/>
        <w:ind w:left="3" w:right="3" w:firstLine="560"/>
        <w:rPr>
          <w:rFonts w:hint="eastAsia" w:ascii="Times New Roman" w:hAnsi="Times New Roman" w:cs="Times New Roman"/>
          <w:lang w:val="en-US" w:eastAsia="zh-CN"/>
        </w:rPr>
      </w:pPr>
      <w:r>
        <w:rPr>
          <w:rFonts w:hint="eastAsia" w:ascii="Times New Roman" w:hAnsi="Times New Roman" w:cs="Times New Roman"/>
          <w:lang w:val="en-US" w:eastAsia="zh-CN"/>
        </w:rPr>
        <w:t>本项目根据2024年2月8日，于田县农业农村局、财政局下发的《于田县2024年壮大村集体经济建设项目（英巴格乡）的批复》（于农村项目〔2024〕005号）立项实施，于田县2024年壮大村集体经济建设项目（英巴格乡）预算安排总额为79.71万元，其中：乡村振兴衔接资金79.71万元。预算资金到位率为100.00%。</w:t>
      </w:r>
    </w:p>
    <w:p w14:paraId="24CA3227">
      <w:pPr>
        <w:pStyle w:val="52"/>
        <w:spacing w:line="560" w:lineRule="exact"/>
        <w:ind w:left="3" w:right="3" w:firstLine="560"/>
        <w:rPr>
          <w:rFonts w:hint="eastAsia" w:ascii="Times New Roman" w:hAnsi="Times New Roman" w:eastAsia="仿宋_GB2312" w:cs="Times New Roman"/>
          <w:b/>
          <w:bCs/>
          <w:color w:val="000000"/>
          <w:kern w:val="2"/>
          <w:sz w:val="28"/>
          <w:szCs w:val="22"/>
          <w:lang w:val="en-US" w:eastAsia="zh-CN" w:bidi="ar-SA"/>
        </w:rPr>
      </w:pPr>
      <w:r>
        <w:rPr>
          <w:rFonts w:hint="eastAsia" w:ascii="Times New Roman" w:hAnsi="Times New Roman" w:eastAsia="仿宋_GB2312" w:cs="Times New Roman"/>
          <w:b/>
          <w:bCs/>
          <w:color w:val="000000"/>
          <w:kern w:val="2"/>
          <w:sz w:val="28"/>
          <w:szCs w:val="22"/>
          <w:lang w:val="en-US" w:eastAsia="zh-CN" w:bidi="ar-SA"/>
        </w:rPr>
        <w:t>2.项目实施背景</w:t>
      </w:r>
    </w:p>
    <w:p w14:paraId="5CC76B05">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以习近平新时代中国特色社会主义思想为指导，</w:t>
      </w:r>
      <w:r>
        <w:rPr>
          <w:rFonts w:hint="eastAsia" w:cs="Times New Roman"/>
          <w:b w:val="0"/>
          <w:bCs w:val="0"/>
          <w:color w:val="000000"/>
          <w:kern w:val="2"/>
          <w:sz w:val="28"/>
          <w:szCs w:val="22"/>
          <w:lang w:val="en-US" w:eastAsia="zh-CN" w:bidi="ar-SA"/>
        </w:rPr>
        <w:t>全面贯彻落实党的二十大精神</w:t>
      </w:r>
      <w:r>
        <w:rPr>
          <w:rFonts w:hint="eastAsia" w:ascii="Times New Roman" w:hAnsi="Times New Roman" w:eastAsia="仿宋_GB2312" w:cs="Times New Roman"/>
          <w:b w:val="0"/>
          <w:bCs w:val="0"/>
          <w:color w:val="000000"/>
          <w:kern w:val="2"/>
          <w:sz w:val="28"/>
          <w:szCs w:val="22"/>
          <w:lang w:val="en-US" w:eastAsia="zh-CN" w:bidi="ar-SA"/>
        </w:rPr>
        <w:t>，深入贯彻落实习近平生态文明思想和新发展理念，统筹推进山水林田湖草沙综合治理、系统治理、源头治理，不断丰富和完善新形势下防沙治沙工作思路，创建防沙治沙新格局、新样板，探索防沙治沙技术、模式、政策、机制等，优化沙区林草生产力布局，引导发展沙产业，与巩固拓展脱贫攻坚成果和农牧民增收致富相结合，加快沙区产业结构调整步伐，扎实推动生态文明建设，以点带面，稳步推进新时代防沙治沙高质量发展。</w:t>
      </w:r>
    </w:p>
    <w:p w14:paraId="150B1498">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2023年6月6日，习近平总书记在内蒙古巴彦淖尔主持召开加强荒漠化综合防治和推进“三北”等重点生态工程建设座谈会并发表重要讲话，强调要弘扬“艰苦奋斗、无私奉献、锲而不舍、久久为功”的“三北精神”，发出了“打好三北工程攻坚战，努力创造新时代中国防沙治沙新奇迹”的伟大号召。</w:t>
      </w:r>
    </w:p>
    <w:p w14:paraId="5CE88768">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领悟“三北精神”，勇担使命，强化责任担当。保护修复草原，是三北地区防治荒漠化的重要内容和载体。根据国土三调数据，“三北”工程区草原面积21.96亿亩，占全国草原总面积的55.35%，约为森林面积的2.5倍，是我国重要的畜牧业生产基地，是我国防沙治沙工作的前沿阵地，同时也是当前“三北”工程生态系统中修复难度最大、任务最重的区域。我们要担起历史使命，全面贯彻新发展理念，加快补齐草原短板，从人与自然和谐共生的高度来谋划草原保护修复工作，以勇于担当的精神和脚踏实地的行动加快治理修复退化草原，促进草原生态环境持续改善，切实承担起新时代“三北”工程建设赋予的责任与担当，不断将草原保护发展事业推向前进。</w:t>
      </w:r>
    </w:p>
    <w:p w14:paraId="11FCC586">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弘扬“三北精神”，不畏艰辛，汲取奋进力量。“不畏苦寒，自得其芳。”早在上世纪八十年代，“三北”工程总体规划中就提出在草原地区建设以防止草场退化、提高牧场质量为目的，以灌木为主、乔灌草结合的立体结构的草原防护林体系，同时在重点建设项目中，布局安排了一批种草育草任务。经过45年的艰苦奋斗，“三北”工程累计治理退化草原12.8亿亩，草原生态持续恶化的状况得到初步遏制，呈现出“绿进沙退”的良好局面。进入新时代，坚持系统观念，扎实推进山水林田湖草沙一体化保护和系统治理，保护好来之不易的草原，促进草原休养生息成为草原建设的主要任务。“三北”工程在总规修编中，突破防护林体系建设框架，将退化草原修复等统筹纳入重点任务；在六期规划编制中，科学部署草原修复治理项目，加大草原治理份额，切实提高了草原植被恢复力度。站在新的起跑线上，我们要时刻做好“艰苦创业”的准备，以“不以事艰而不为，不以任重而畏缩”的锐气勇气，厚植草原绿色，斩断沙尘之害，驻守祖国北疆“青绿”。</w:t>
      </w:r>
    </w:p>
    <w:p w14:paraId="725279AB">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赓续“三北精神”，集智攻关，立足科学发展。新时代“三北”工程攻坚战，是统筹森林、草原、湿地、荒漠生态保护修复，协调生态全要素的协同治理，是综合考虑沙漠边缘和腹地、上风口和下风口、沙源区和路径区的综合治理，是推进全域生态修复协同带动全域高质量发展的国家重大战略工程。因此，必须要动员国内各行业、社会各层面的力量，全国“一盘棋”，建立强大的科技支撑体系。尽快设立一批国家重大科技专项，形成支持“三北”工程攻坚战的“科技专项一张网”。集中国内优秀科研团队力量，在三大标志性主战区建设防沙治沙科技创新高地，建立一批科技创新园和科技示范园，开展科技公关行动。采取“揭榜挂帅”等多种形式，吸引信息科学、地质科学、气象科学、中药资源学、材料学、草原草业科学、现代农林科学等参与开展交叉学科研究，打好打赢“三北”工程科技攻坚战。</w:t>
      </w:r>
    </w:p>
    <w:p w14:paraId="21CD0167">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传承“三北精神”，久久为功，践行实干笃行。一道绿色长城，万里生态屏障。一种执着精神，几代人接续奋斗。习近平总书记强调，要充分认识防沙治沙工作的长期性、艰巨性、反复性和不确定性，进一步提高站位，增强使命感和紧迫感。经过不懈奋斗，“三北”工程区林草建设取得了巨大成就，但由于恶劣的自然环境加之长期超载放牧等人为因素的影响，三北地区草原质量状况仍不容乐观。2022年林草湿综合监测成果表明，“三北”工程区草原综合植被盖度46%，比全国平均水平低4个百分点，退化草原16亿亩，约占总面积的70%，草原保护修复工作任重道远。我们要始终保持战略定力，提高政治站位，坚持一张蓝图绘到底、一茬接着一茬干，以“难必克”的坚定决心凝聚起“生态兴”的磅礴力量，让绿色成为美丽中国最鲜明、最厚重、最牢靠的底色！</w:t>
      </w:r>
    </w:p>
    <w:p w14:paraId="25705E48">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沙化土地治理和恢复主要包括防沙治沙、沙地资源开发和沙地生态修复。通过加强防沙治沙工作，控制沙尘暴的发生和扩散，减少沙化土地的面积和影响。同时，加大沙地资源的开发利用力度，改善沙地的土壤质量和生态环境。此外，还需要通过生态修复技术手段，恢复沙地的生态系统，保护和利用沙地资源。</w:t>
      </w:r>
    </w:p>
    <w:p w14:paraId="18490F31">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于田县2024年壮大村集体经济建设项目（英巴格乡）主要内容为：平整土地400亩，分3个地块，平整土地土方总量为161631.3m³。</w:t>
      </w:r>
    </w:p>
    <w:p w14:paraId="215B9395">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由于上述原因开展于田县2024年壮大村集体经济建设项目（英巴格乡），本项目由于田县农业农村局主管，于田县英巴格乡人民政府负责实施，项目施工期为2024年3月-2024年5月。</w:t>
      </w:r>
    </w:p>
    <w:p w14:paraId="6B560122">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工程实施后，本项目平整土地400亩，分3个地块，平整土地土方总量为161631.3m³。遏制沙漠化趋势，改善当地生态环境，提高人民生活水平，通过对项目区的沙地平整，能够满足后期高效节水及防沙治沙植物红柳种植提供便利的土地条件。</w:t>
      </w:r>
    </w:p>
    <w:p w14:paraId="353CA534">
      <w:pPr>
        <w:spacing w:line="560" w:lineRule="exact"/>
        <w:ind w:firstLine="562" w:firstLineChars="200"/>
        <w:rPr>
          <w:rFonts w:hint="eastAsia" w:ascii="仿宋_GB2312" w:hAnsi="Times New Roman" w:eastAsia="仿宋_GB2312" w:cs="Times New Roman"/>
          <w:b/>
          <w:bCs/>
          <w:color w:val="000000"/>
          <w:sz w:val="28"/>
          <w:szCs w:val="32"/>
        </w:rPr>
      </w:pPr>
      <w:r>
        <w:rPr>
          <w:rFonts w:hint="eastAsia" w:ascii="仿宋_GB2312" w:hAnsi="Times New Roman" w:eastAsia="仿宋_GB2312" w:cs="Times New Roman"/>
          <w:b/>
          <w:bCs/>
          <w:color w:val="000000"/>
          <w:sz w:val="28"/>
          <w:szCs w:val="32"/>
        </w:rPr>
        <w:t>3、项目实施依据及范围</w:t>
      </w:r>
    </w:p>
    <w:p w14:paraId="7B5C010E">
      <w:pPr>
        <w:pStyle w:val="52"/>
        <w:spacing w:line="560" w:lineRule="exact"/>
        <w:ind w:left="3" w:right="3" w:firstLine="560"/>
        <w:rPr>
          <w:rFonts w:hint="eastAsia" w:ascii="方正仿宋_GBK" w:hAnsi="方正仿宋_GBK" w:eastAsia="方正仿宋_GBK" w:cs="方正仿宋_GBK"/>
          <w:color w:val="auto"/>
          <w:sz w:val="32"/>
          <w:szCs w:val="32"/>
          <w:highlight w:val="none"/>
        </w:rPr>
      </w:pPr>
      <w:r>
        <w:rPr>
          <w:rFonts w:hint="eastAsia" w:ascii="Times New Roman" w:hAnsi="Times New Roman" w:eastAsia="仿宋_GB2312" w:cs="Times New Roman"/>
          <w:b w:val="0"/>
          <w:bCs w:val="0"/>
          <w:color w:val="000000"/>
          <w:kern w:val="2"/>
          <w:sz w:val="28"/>
          <w:szCs w:val="22"/>
          <w:lang w:val="en-US" w:eastAsia="zh-CN" w:bidi="ar-SA"/>
        </w:rPr>
        <w:t>于田县2024年壮大村集体经济建设项目（英巴格乡），根据于田县农业农村局、财政局下发的《于田县2024年壮大村集体经济建设项目（英巴格乡）的批复》（于农村项目〔2024〕005号），实施范围涉及1个行政村即喀瓦艾日克村。建设内容：平整土地400亩，分3个地块，平整土地土方总量为161631.3m³。</w:t>
      </w:r>
    </w:p>
    <w:p w14:paraId="083C7894">
      <w:pPr>
        <w:spacing w:line="560" w:lineRule="exact"/>
        <w:ind w:firstLine="562" w:firstLineChars="200"/>
        <w:rPr>
          <w:rFonts w:hint="eastAsia" w:ascii="仿宋_GB2312" w:hAnsi="Times New Roman" w:eastAsia="仿宋_GB2312" w:cs="Times New Roman"/>
          <w:b/>
          <w:bCs/>
          <w:color w:val="000000"/>
          <w:sz w:val="28"/>
          <w:szCs w:val="32"/>
        </w:rPr>
      </w:pPr>
      <w:r>
        <w:rPr>
          <w:rFonts w:hint="eastAsia" w:ascii="仿宋_GB2312" w:hAnsi="Times New Roman" w:eastAsia="仿宋_GB2312" w:cs="Times New Roman"/>
          <w:b/>
          <w:bCs/>
          <w:color w:val="000000"/>
          <w:sz w:val="28"/>
          <w:szCs w:val="32"/>
        </w:rPr>
        <w:t>4、项目基本性质及类别</w:t>
      </w:r>
    </w:p>
    <w:p w14:paraId="37655287">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于田县2024年壮大村集体经济建设项目（英巴格乡）性质为</w:t>
      </w:r>
      <w:r>
        <w:rPr>
          <w:rFonts w:hint="eastAsia" w:cs="Times New Roman"/>
          <w:b w:val="0"/>
          <w:bCs w:val="0"/>
          <w:color w:val="000000"/>
          <w:kern w:val="2"/>
          <w:sz w:val="28"/>
          <w:szCs w:val="22"/>
          <w:lang w:val="en-US" w:eastAsia="zh-CN" w:bidi="ar-SA"/>
        </w:rPr>
        <w:t>其他</w:t>
      </w:r>
      <w:r>
        <w:rPr>
          <w:rFonts w:hint="eastAsia" w:ascii="Times New Roman" w:hAnsi="Times New Roman" w:eastAsia="仿宋_GB2312" w:cs="Times New Roman"/>
          <w:b w:val="0"/>
          <w:bCs w:val="0"/>
          <w:color w:val="000000"/>
          <w:kern w:val="2"/>
          <w:sz w:val="28"/>
          <w:szCs w:val="22"/>
          <w:lang w:val="en-US" w:eastAsia="zh-CN" w:bidi="ar-SA"/>
        </w:rPr>
        <w:t>项目，属于乡村振兴衔接资金项目。</w:t>
      </w:r>
    </w:p>
    <w:p w14:paraId="31C9999D">
      <w:pPr>
        <w:spacing w:line="560" w:lineRule="exact"/>
        <w:ind w:firstLine="546" w:firstLineChars="200"/>
        <w:rPr>
          <w:rStyle w:val="19"/>
          <w:rFonts w:hint="eastAsia" w:ascii="楷体_GB2312" w:hAnsi="楷体" w:eastAsia="宋体" w:cs="Times New Roman"/>
          <w:spacing w:val="-4"/>
          <w:sz w:val="28"/>
          <w:szCs w:val="32"/>
        </w:rPr>
      </w:pPr>
      <w:r>
        <w:rPr>
          <w:rStyle w:val="19"/>
          <w:rFonts w:hint="eastAsia" w:ascii="楷体_GB2312" w:hAnsi="楷体" w:eastAsia="宋体" w:cs="Times New Roman"/>
          <w:spacing w:val="-4"/>
          <w:sz w:val="28"/>
          <w:szCs w:val="32"/>
        </w:rPr>
        <w:t>（二）财政专项乡村振兴衔接资金项目绩效目标设定情况</w:t>
      </w:r>
    </w:p>
    <w:p w14:paraId="42D64F8D">
      <w:pPr>
        <w:spacing w:line="560" w:lineRule="exact"/>
        <w:ind w:firstLine="546" w:firstLineChars="200"/>
        <w:rPr>
          <w:rStyle w:val="19"/>
          <w:rFonts w:hint="eastAsia" w:ascii="楷体_GB2312" w:hAnsi="楷体" w:eastAsia="宋体" w:cs="Times New Roman"/>
          <w:spacing w:val="-4"/>
          <w:sz w:val="28"/>
          <w:szCs w:val="32"/>
        </w:rPr>
      </w:pPr>
      <w:r>
        <w:rPr>
          <w:rStyle w:val="19"/>
          <w:rFonts w:hint="eastAsia" w:ascii="楷体_GB2312" w:hAnsi="楷体" w:eastAsia="宋体" w:cs="Times New Roman"/>
          <w:spacing w:val="-4"/>
          <w:sz w:val="28"/>
          <w:szCs w:val="32"/>
        </w:rPr>
        <w:t>1.项目绩效总体目标</w:t>
      </w:r>
    </w:p>
    <w:p w14:paraId="1F3459A9">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于田县2024年壮大村集体经济建设项目（英巴格乡）总投资79.71万元，全部申请以乡村振兴衔接资金。主要内容为：平整土地400亩，分3个地块，平整土地土方总量为161631.3m³。</w:t>
      </w:r>
    </w:p>
    <w:p w14:paraId="3248461C">
      <w:pPr>
        <w:pStyle w:val="52"/>
        <w:spacing w:line="560" w:lineRule="exact"/>
        <w:ind w:left="3" w:right="3" w:firstLine="560"/>
        <w:rPr>
          <w:rFonts w:hint="eastAsia" w:ascii="方正仿宋_GBK" w:hAnsi="方正仿宋_GBK" w:eastAsia="方正仿宋_GBK" w:cs="方正仿宋_GBK"/>
          <w:color w:val="auto"/>
          <w:kern w:val="2"/>
          <w:sz w:val="32"/>
          <w:szCs w:val="3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通过于田县2024年壮大村集体经济建设项目（英巴格乡）实施，遏制沙漠化趋势，改善当地生态环境，提高人民生活水平，通过对项目区的沙地平整，能够</w:t>
      </w:r>
      <w:r>
        <w:rPr>
          <w:rFonts w:hint="eastAsia" w:cs="Times New Roman"/>
          <w:b w:val="0"/>
          <w:bCs w:val="0"/>
          <w:color w:val="000000"/>
          <w:kern w:val="2"/>
          <w:sz w:val="28"/>
          <w:szCs w:val="22"/>
          <w:lang w:val="en-US" w:eastAsia="zh-CN" w:bidi="ar-SA"/>
        </w:rPr>
        <w:t>为</w:t>
      </w:r>
      <w:r>
        <w:rPr>
          <w:rFonts w:hint="eastAsia" w:ascii="Times New Roman" w:hAnsi="Times New Roman" w:eastAsia="仿宋_GB2312" w:cs="Times New Roman"/>
          <w:b w:val="0"/>
          <w:bCs w:val="0"/>
          <w:color w:val="000000"/>
          <w:kern w:val="2"/>
          <w:sz w:val="28"/>
          <w:szCs w:val="22"/>
          <w:lang w:val="en-US" w:eastAsia="zh-CN" w:bidi="ar-SA"/>
        </w:rPr>
        <w:t>满足后期高效节水及防沙治沙植物红柳种植提供便利的土地条件。</w:t>
      </w:r>
      <w:r>
        <w:rPr>
          <w:rFonts w:hint="eastAsia" w:ascii="Times New Roman" w:hAnsi="Times New Roman" w:eastAsia="仿宋_GB2312" w:cs="Times New Roman"/>
          <w:b w:val="0"/>
          <w:bCs w:val="0"/>
          <w:color w:val="000000"/>
          <w:kern w:val="2"/>
          <w:sz w:val="28"/>
          <w:szCs w:val="22"/>
          <w:lang w:val="en-US" w:eastAsia="zh-CN" w:bidi="ar-SA"/>
        </w:rPr>
        <w:tab/>
      </w:r>
      <w:r>
        <w:rPr>
          <w:rFonts w:hint="eastAsia" w:ascii="Times New Roman" w:hAnsi="Times New Roman" w:eastAsia="仿宋_GB2312" w:cs="Times New Roman"/>
          <w:b w:val="0"/>
          <w:bCs w:val="0"/>
          <w:color w:val="000000"/>
          <w:kern w:val="2"/>
          <w:sz w:val="28"/>
          <w:szCs w:val="22"/>
          <w:lang w:val="en-US" w:eastAsia="zh-CN" w:bidi="ar-SA"/>
        </w:rPr>
        <w:tab/>
      </w:r>
      <w:r>
        <w:rPr>
          <w:rFonts w:hint="eastAsia" w:ascii="方正仿宋_GBK" w:hAnsi="方正仿宋_GBK" w:eastAsia="方正仿宋_GBK" w:cs="方正仿宋_GBK"/>
          <w:color w:val="auto"/>
          <w:kern w:val="2"/>
          <w:sz w:val="32"/>
          <w:szCs w:val="32"/>
          <w:lang w:val="en-US" w:eastAsia="zh-CN" w:bidi="ar-SA"/>
        </w:rPr>
        <w:tab/>
      </w:r>
      <w:r>
        <w:rPr>
          <w:rFonts w:hint="eastAsia" w:ascii="方正仿宋_GBK" w:hAnsi="方正仿宋_GBK" w:eastAsia="方正仿宋_GBK" w:cs="方正仿宋_GBK"/>
          <w:color w:val="auto"/>
          <w:kern w:val="2"/>
          <w:sz w:val="32"/>
          <w:szCs w:val="32"/>
          <w:lang w:val="en-US" w:eastAsia="zh-CN" w:bidi="ar-SA"/>
        </w:rPr>
        <w:tab/>
      </w:r>
      <w:r>
        <w:rPr>
          <w:rFonts w:hint="eastAsia" w:ascii="方正仿宋_GBK" w:hAnsi="方正仿宋_GBK" w:eastAsia="方正仿宋_GBK" w:cs="方正仿宋_GBK"/>
          <w:color w:val="auto"/>
          <w:kern w:val="2"/>
          <w:sz w:val="32"/>
          <w:szCs w:val="32"/>
          <w:lang w:val="en-US" w:eastAsia="zh-CN" w:bidi="ar-SA"/>
        </w:rPr>
        <w:tab/>
      </w:r>
    </w:p>
    <w:p w14:paraId="374B6FC8">
      <w:pPr>
        <w:pStyle w:val="52"/>
        <w:keepNext w:val="0"/>
        <w:keepLines w:val="0"/>
        <w:pageBreakBefore w:val="0"/>
        <w:widowControl w:val="0"/>
        <w:kinsoku/>
        <w:wordWrap/>
        <w:overflowPunct/>
        <w:topLinePunct w:val="0"/>
        <w:autoSpaceDE/>
        <w:autoSpaceDN/>
        <w:bidi w:val="0"/>
        <w:adjustRightInd/>
        <w:spacing w:line="240" w:lineRule="auto"/>
        <w:ind w:left="3" w:right="3" w:firstLine="562"/>
        <w:textAlignment w:val="auto"/>
        <w:rPr>
          <w:rStyle w:val="19"/>
          <w:rFonts w:hint="eastAsia" w:ascii="楷体_GB2312" w:hAnsi="楷体" w:eastAsia="宋体" w:cs="Times New Roman"/>
          <w:color w:val="auto"/>
          <w:spacing w:val="-4"/>
          <w:kern w:val="2"/>
          <w:sz w:val="28"/>
          <w:szCs w:val="32"/>
          <w:lang w:val="en-US" w:eastAsia="zh-CN" w:bidi="ar-SA"/>
        </w:rPr>
      </w:pPr>
      <w:r>
        <w:rPr>
          <w:rStyle w:val="19"/>
          <w:rFonts w:hint="eastAsia" w:ascii="楷体_GB2312" w:hAnsi="楷体" w:eastAsia="宋体" w:cs="Times New Roman"/>
          <w:color w:val="auto"/>
          <w:spacing w:val="-4"/>
          <w:kern w:val="2"/>
          <w:sz w:val="28"/>
          <w:szCs w:val="32"/>
          <w:lang w:val="en-US" w:eastAsia="zh-CN" w:bidi="ar-SA"/>
        </w:rPr>
        <w:t>2.具体绩效指标</w:t>
      </w:r>
    </w:p>
    <w:p w14:paraId="1D74A91F">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根据《自治区财政专项扶贫资金绩效管理操作指南》（新财预〔2019〕170号）的规定，结合项目具体情况，本项目共设置一级指标3个，二级指标6个，三级指标11个。</w:t>
      </w:r>
    </w:p>
    <w:p w14:paraId="194B4AD7">
      <w:pPr>
        <w:pStyle w:val="29"/>
        <w:spacing w:before="120"/>
        <w:ind w:left="0" w:leftChars="0" w:right="3" w:firstLine="562" w:firstLineChars="200"/>
        <w:rPr>
          <w:rFonts w:hint="eastAsia" w:ascii="宋体" w:hAnsi="宋体"/>
          <w:b/>
          <w:bCs/>
        </w:rPr>
      </w:pPr>
      <w:r>
        <w:rPr>
          <w:rFonts w:hint="eastAsia" w:ascii="宋体" w:hAnsi="宋体"/>
          <w:b/>
          <w:bCs/>
        </w:rPr>
        <w:t>二、绩效自评工作开展情况</w:t>
      </w:r>
    </w:p>
    <w:p w14:paraId="239655F2">
      <w:pPr>
        <w:pStyle w:val="29"/>
        <w:spacing w:before="120"/>
        <w:ind w:left="0" w:leftChars="0" w:right="3" w:firstLine="562" w:firstLineChars="200"/>
        <w:rPr>
          <w:rFonts w:hint="eastAsia" w:ascii="宋体" w:hAnsi="宋体"/>
          <w:b/>
          <w:bCs/>
        </w:rPr>
      </w:pPr>
      <w:r>
        <w:rPr>
          <w:rFonts w:hint="eastAsia" w:ascii="宋体" w:hAnsi="宋体"/>
          <w:b/>
          <w:bCs/>
        </w:rPr>
        <w:t>（一）绩效自评工作开展范围</w:t>
      </w:r>
    </w:p>
    <w:p w14:paraId="6E070869">
      <w:pPr>
        <w:pStyle w:val="29"/>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本次自评范围涵盖项目总体绩效目标、各项绩效指标完成情况以及预算执行情况。</w:t>
      </w:r>
    </w:p>
    <w:p w14:paraId="177F1B75">
      <w:pPr>
        <w:pStyle w:val="29"/>
        <w:spacing w:before="120"/>
        <w:ind w:left="0" w:leftChars="0" w:right="3" w:firstLine="562" w:firstLineChars="200"/>
        <w:rPr>
          <w:rFonts w:hint="eastAsia" w:ascii="宋体" w:hAnsi="宋体"/>
          <w:b/>
          <w:bCs/>
        </w:rPr>
      </w:pPr>
      <w:r>
        <w:rPr>
          <w:rFonts w:hint="eastAsia" w:ascii="宋体" w:hAnsi="宋体"/>
          <w:b/>
          <w:bCs/>
        </w:rPr>
        <w:t>（二）绩效自评工作对象</w:t>
      </w:r>
    </w:p>
    <w:p w14:paraId="516D4BD8">
      <w:pPr>
        <w:pStyle w:val="29"/>
        <w:spacing w:before="120"/>
        <w:ind w:left="0" w:leftChars="0" w:right="3" w:firstLine="560" w:firstLineChars="20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于田县2024年壮大村集体经济建设项目（英巴格乡）资金的使用管理、项目产出、综合效益等进行评价。</w:t>
      </w:r>
    </w:p>
    <w:p w14:paraId="3E7C1C8C">
      <w:pPr>
        <w:keepNext w:val="0"/>
        <w:keepLines w:val="0"/>
        <w:pageBreakBefore w:val="0"/>
        <w:widowControl w:val="0"/>
        <w:kinsoku/>
        <w:wordWrap/>
        <w:overflowPunct/>
        <w:topLinePunct w:val="0"/>
        <w:autoSpaceDE/>
        <w:autoSpaceDN/>
        <w:bidi w:val="0"/>
        <w:adjustRightInd/>
        <w:spacing w:line="240" w:lineRule="auto"/>
        <w:ind w:firstLine="562" w:firstLineChars="200"/>
        <w:textAlignment w:val="auto"/>
        <w:rPr>
          <w:rFonts w:hint="eastAsia" w:ascii="宋体" w:hAnsi="宋体" w:eastAsia="黑体" w:cstheme="minorBidi"/>
          <w:b/>
          <w:bCs/>
          <w:color w:val="000000"/>
          <w:kern w:val="2"/>
          <w:sz w:val="28"/>
          <w:szCs w:val="44"/>
          <w:lang w:val="en-US" w:eastAsia="zh-CN" w:bidi="ar-SA"/>
        </w:rPr>
      </w:pPr>
      <w:r>
        <w:rPr>
          <w:rFonts w:hint="eastAsia" w:ascii="宋体" w:hAnsi="宋体" w:eastAsia="黑体" w:cstheme="minorBidi"/>
          <w:b/>
          <w:bCs/>
          <w:color w:val="000000"/>
          <w:kern w:val="2"/>
          <w:sz w:val="28"/>
          <w:szCs w:val="44"/>
          <w:lang w:val="en-US" w:eastAsia="zh-CN" w:bidi="ar-SA"/>
        </w:rPr>
        <w:t>（三）绩效自评工作方式</w:t>
      </w:r>
    </w:p>
    <w:p w14:paraId="183606CD">
      <w:pPr>
        <w:pStyle w:val="33"/>
        <w:rPr>
          <w:rFonts w:hint="eastAsia" w:hAnsi="宋体"/>
        </w:rPr>
      </w:pPr>
      <w:r>
        <w:rPr>
          <w:rFonts w:hint="eastAsia" w:hAnsi="宋体"/>
        </w:rPr>
        <w:t>1.前期准备</w:t>
      </w:r>
    </w:p>
    <w:p w14:paraId="11AE6DAA">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2024年，认真学习相关要求与规定，成立绩效自评工作组，作为绩效自评工作具体实施机构。成员构成如下：</w:t>
      </w:r>
    </w:p>
    <w:p w14:paraId="734D80A7">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 xml:space="preserve">组  长：艾山江·吐尔送           党委副书记、乡长 </w:t>
      </w:r>
    </w:p>
    <w:p w14:paraId="0DA44009">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副组长：艾斯克尔·热西丁       农村经济办主任</w:t>
      </w:r>
    </w:p>
    <w:p w14:paraId="30BFD82C">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成 员：葛玉翔                           党委委员武装部部长</w:t>
      </w:r>
    </w:p>
    <w:p w14:paraId="31806AF6">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麦图荪·买买提           财政所所长</w:t>
      </w:r>
    </w:p>
    <w:p w14:paraId="491BEB84">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周文韬                           乡村振兴专干</w:t>
      </w:r>
    </w:p>
    <w:p w14:paraId="38619459">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周伟义                           乡村振兴专干</w:t>
      </w:r>
    </w:p>
    <w:p w14:paraId="5C889372">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吾布加                           乡村振兴专干</w:t>
      </w:r>
    </w:p>
    <w:p w14:paraId="093D2929">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办公室负责项目的计划制定、实施，督查、指导相关单位共同做好项目管理工作。切实把该项目作为乡村振兴建设的重要举措来抓，加强领导，明确分工，落实责任，密切配合，形成合力，推动该项目顺利实施。由项目办牵头，负责整个项目的统筹安排和经费使用管理工作，实现分级管理制度。</w:t>
      </w:r>
    </w:p>
    <w:p w14:paraId="279315D0">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2.组织实施</w:t>
      </w:r>
    </w:p>
    <w:p w14:paraId="405C88B7">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成立绩效自评工作组后，经评价组通过实地调研等方式，采用综合分析法对项目的决策、管理、绩效进行的综合评价分析。</w:t>
      </w:r>
    </w:p>
    <w:p w14:paraId="09A3297C">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3.分析评价</w:t>
      </w:r>
    </w:p>
    <w:p w14:paraId="6E363CE5">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首先按照指标体系进行定量、定性分析。其次开展量化打分、综合评价工作，形成初步评价结论。最后归纳整体项目情况与存在问题，撰写绩效自评报告。</w:t>
      </w:r>
    </w:p>
    <w:p w14:paraId="7CBB5810">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（1）绩效自评指标体系</w:t>
      </w:r>
    </w:p>
    <w:p w14:paraId="0328FEAC">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按照《自治区财政专项扶贫资金绩效管理操作指南》（新财预〔2019〕170号）文件要求，并根据项目各项指标重要程度确定二级指标的分值，并对核心指标赋予更高的权重。其中：数量指标</w:t>
      </w:r>
      <w:r>
        <w:rPr>
          <w:rFonts w:hint="eastAsia" w:cs="Times New Roman"/>
          <w:b w:val="0"/>
          <w:bCs w:val="0"/>
          <w:color w:val="000000"/>
          <w:kern w:val="2"/>
          <w:sz w:val="28"/>
          <w:szCs w:val="22"/>
          <w:lang w:val="en-US" w:eastAsia="zh-CN" w:bidi="ar-SA"/>
        </w:rPr>
        <w:t>12</w:t>
      </w:r>
      <w:r>
        <w:rPr>
          <w:rFonts w:hint="eastAsia" w:ascii="Times New Roman" w:hAnsi="Times New Roman" w:eastAsia="仿宋_GB2312" w:cs="Times New Roman"/>
          <w:b w:val="0"/>
          <w:bCs w:val="0"/>
          <w:color w:val="000000"/>
          <w:kern w:val="2"/>
          <w:sz w:val="28"/>
          <w:szCs w:val="22"/>
          <w:lang w:val="en-US" w:eastAsia="zh-CN" w:bidi="ar-SA"/>
        </w:rPr>
        <w:t>分、质量指标</w:t>
      </w:r>
      <w:r>
        <w:rPr>
          <w:rFonts w:hint="eastAsia" w:cs="Times New Roman"/>
          <w:b w:val="0"/>
          <w:bCs w:val="0"/>
          <w:color w:val="000000"/>
          <w:kern w:val="2"/>
          <w:sz w:val="28"/>
          <w:szCs w:val="22"/>
          <w:lang w:val="en-US" w:eastAsia="zh-CN" w:bidi="ar-SA"/>
        </w:rPr>
        <w:t>11</w:t>
      </w:r>
      <w:r>
        <w:rPr>
          <w:rFonts w:hint="eastAsia" w:ascii="Times New Roman" w:hAnsi="Times New Roman" w:eastAsia="仿宋_GB2312" w:cs="Times New Roman"/>
          <w:b w:val="0"/>
          <w:bCs w:val="0"/>
          <w:color w:val="000000"/>
          <w:kern w:val="2"/>
          <w:sz w:val="28"/>
          <w:szCs w:val="22"/>
          <w:lang w:val="en-US" w:eastAsia="zh-CN" w:bidi="ar-SA"/>
        </w:rPr>
        <w:t>分，时效指标</w:t>
      </w:r>
      <w:r>
        <w:rPr>
          <w:rFonts w:hint="eastAsia" w:cs="Times New Roman"/>
          <w:b w:val="0"/>
          <w:bCs w:val="0"/>
          <w:color w:val="000000"/>
          <w:kern w:val="2"/>
          <w:sz w:val="28"/>
          <w:szCs w:val="22"/>
          <w:lang w:val="en-US" w:eastAsia="zh-CN" w:bidi="ar-SA"/>
        </w:rPr>
        <w:t>15</w:t>
      </w:r>
      <w:r>
        <w:rPr>
          <w:rFonts w:hint="eastAsia" w:ascii="Times New Roman" w:hAnsi="Times New Roman" w:eastAsia="仿宋_GB2312" w:cs="Times New Roman"/>
          <w:b w:val="0"/>
          <w:bCs w:val="0"/>
          <w:color w:val="000000"/>
          <w:kern w:val="2"/>
          <w:sz w:val="28"/>
          <w:szCs w:val="22"/>
          <w:lang w:val="en-US" w:eastAsia="zh-CN" w:bidi="ar-SA"/>
        </w:rPr>
        <w:t>分、成本指标</w:t>
      </w:r>
      <w:r>
        <w:rPr>
          <w:rFonts w:hint="eastAsia" w:cs="Times New Roman"/>
          <w:b w:val="0"/>
          <w:bCs w:val="0"/>
          <w:color w:val="000000"/>
          <w:kern w:val="2"/>
          <w:sz w:val="28"/>
          <w:szCs w:val="22"/>
          <w:lang w:val="en-US" w:eastAsia="zh-CN" w:bidi="ar-SA"/>
        </w:rPr>
        <w:t>12</w:t>
      </w:r>
      <w:r>
        <w:rPr>
          <w:rFonts w:hint="eastAsia" w:ascii="Times New Roman" w:hAnsi="Times New Roman" w:eastAsia="仿宋_GB2312" w:cs="Times New Roman"/>
          <w:b w:val="0"/>
          <w:bCs w:val="0"/>
          <w:color w:val="000000"/>
          <w:kern w:val="2"/>
          <w:sz w:val="28"/>
          <w:szCs w:val="22"/>
          <w:lang w:val="en-US" w:eastAsia="zh-CN" w:bidi="ar-SA"/>
        </w:rPr>
        <w:t>分、社会效益指标30分、满意度指标10分，预算资金执行率10分，满分100分。</w:t>
      </w:r>
    </w:p>
    <w:p w14:paraId="7FDA294A">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（2）绩效自评方法</w:t>
      </w:r>
    </w:p>
    <w:p w14:paraId="63972238">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本次绩效自评采用比较法和综合分析法对项目资金的使用管理、项目产出、综合效益等进行评价。</w:t>
      </w:r>
    </w:p>
    <w:p w14:paraId="1512AA43">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（3）绩效自评标准</w:t>
      </w:r>
    </w:p>
    <w:p w14:paraId="34AE3568">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86289B7">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（4）绩效自评等级</w:t>
      </w:r>
    </w:p>
    <w:p w14:paraId="55671562">
      <w:pPr>
        <w:pStyle w:val="52"/>
        <w:spacing w:line="560" w:lineRule="exact"/>
        <w:ind w:left="3" w:right="3" w:firstLine="560"/>
        <w:rPr>
          <w:rFonts w:hint="eastAsia" w:ascii="Times New Roman" w:hAnsi="Times New Roman" w:eastAsia="仿宋_GB2312" w:cs="Times New Roman"/>
          <w:b w:val="0"/>
          <w:bCs w:val="0"/>
          <w:color w:val="000000"/>
          <w:kern w:val="2"/>
          <w:sz w:val="28"/>
          <w:szCs w:val="22"/>
          <w:lang w:val="en-US" w:eastAsia="zh-CN" w:bidi="ar-SA"/>
        </w:rPr>
      </w:pPr>
      <w:r>
        <w:rPr>
          <w:rFonts w:hint="eastAsia" w:ascii="Times New Roman" w:hAnsi="Times New Roman" w:eastAsia="仿宋_GB2312" w:cs="Times New Roman"/>
          <w:b w:val="0"/>
          <w:bCs w:val="0"/>
          <w:color w:val="000000"/>
          <w:kern w:val="2"/>
          <w:sz w:val="28"/>
          <w:szCs w:val="22"/>
          <w:lang w:val="en-US" w:eastAsia="zh-CN" w:bidi="ar-SA"/>
        </w:rPr>
        <w:t>绩效自评总分值100分，根据评分结果，90（含）-100分为优、80（含）-90分为良、60（含）-80分为中、60分以下为差。</w:t>
      </w:r>
    </w:p>
    <w:p w14:paraId="7E1295C5">
      <w:pPr>
        <w:pStyle w:val="29"/>
        <w:spacing w:before="120"/>
        <w:ind w:leftChars="0" w:right="3" w:firstLine="562" w:firstLineChars="200"/>
        <w:rPr>
          <w:rFonts w:hint="eastAsia" w:ascii="宋体" w:hAnsi="宋体"/>
        </w:rPr>
      </w:pPr>
      <w:r>
        <w:rPr>
          <w:rFonts w:hint="eastAsia" w:ascii="宋体" w:hAnsi="宋体"/>
        </w:rPr>
        <w:t>三、绩效目标自评完成情况分析</w:t>
      </w:r>
    </w:p>
    <w:p w14:paraId="0F4E4D48">
      <w:pPr>
        <w:pStyle w:val="29"/>
        <w:spacing w:before="120"/>
        <w:ind w:leftChars="0" w:right="3" w:firstLine="562" w:firstLineChars="200"/>
        <w:rPr>
          <w:rFonts w:hint="eastAsia" w:ascii="宋体" w:hAnsi="宋体"/>
        </w:rPr>
      </w:pPr>
      <w:r>
        <w:rPr>
          <w:rFonts w:hint="eastAsia" w:ascii="宋体" w:hAnsi="宋体"/>
        </w:rPr>
        <w:t>（一）资金投入情况分析</w:t>
      </w:r>
    </w:p>
    <w:p w14:paraId="4FE745F5">
      <w:pPr>
        <w:pStyle w:val="33"/>
        <w:rPr>
          <w:rFonts w:hint="eastAsia" w:hAnsi="宋体"/>
          <w:lang w:val="en-US" w:eastAsia="zh-CN"/>
        </w:rPr>
      </w:pPr>
      <w:r>
        <w:rPr>
          <w:rFonts w:hint="eastAsia" w:hAnsi="宋体"/>
          <w:lang w:val="en-US" w:eastAsia="zh-CN"/>
        </w:rPr>
        <w:t>1.项目资金到位情况分析</w:t>
      </w:r>
    </w:p>
    <w:p w14:paraId="2BA39432">
      <w:pPr>
        <w:pStyle w:val="33"/>
        <w:rPr>
          <w:rFonts w:hint="eastAsia" w:hAnsi="宋体"/>
        </w:rPr>
      </w:pPr>
      <w:r>
        <w:rPr>
          <w:rFonts w:hint="eastAsia" w:hAnsi="宋体"/>
          <w:lang w:eastAsia="zh-CN"/>
        </w:rPr>
        <w:t>于田县2024年壮大村集体经济建设项目（英巴格乡）</w:t>
      </w:r>
      <w:r>
        <w:rPr>
          <w:rFonts w:hint="eastAsia" w:hAnsi="宋体"/>
        </w:rPr>
        <w:t>预算安排总额为</w:t>
      </w:r>
      <w:r>
        <w:rPr>
          <w:rFonts w:hint="eastAsia" w:hAnsi="宋体"/>
          <w:lang w:val="en-US" w:eastAsia="zh-CN"/>
        </w:rPr>
        <w:t>79.71万元</w:t>
      </w:r>
      <w:r>
        <w:rPr>
          <w:rFonts w:hint="eastAsia" w:hAnsi="宋体"/>
        </w:rPr>
        <w:t>，其中：</w:t>
      </w:r>
      <w:r>
        <w:rPr>
          <w:rFonts w:hint="eastAsia" w:hAnsi="宋体"/>
          <w:lang w:val="en-US" w:eastAsia="zh-CN"/>
        </w:rPr>
        <w:t>乡村振兴衔接</w:t>
      </w:r>
      <w:r>
        <w:rPr>
          <w:rFonts w:hint="eastAsia" w:hAnsi="宋体"/>
        </w:rPr>
        <w:t>资金</w:t>
      </w:r>
      <w:r>
        <w:rPr>
          <w:rFonts w:hint="eastAsia" w:hAnsi="宋体"/>
          <w:lang w:val="en-US" w:eastAsia="zh-CN"/>
        </w:rPr>
        <w:t>79.71万元</w:t>
      </w:r>
      <w:r>
        <w:rPr>
          <w:rFonts w:hint="eastAsia" w:hAnsi="宋体"/>
        </w:rPr>
        <w:t>。预算资金到位率为100.00%。</w:t>
      </w:r>
    </w:p>
    <w:p w14:paraId="51CC45CB">
      <w:pPr>
        <w:pStyle w:val="33"/>
        <w:rPr>
          <w:rFonts w:hint="eastAsia" w:hAnsi="宋体"/>
          <w:lang w:val="en-US" w:eastAsia="zh-CN"/>
        </w:rPr>
      </w:pPr>
      <w:r>
        <w:rPr>
          <w:rFonts w:hint="eastAsia" w:hAnsi="宋体"/>
          <w:lang w:val="en-US" w:eastAsia="zh-CN"/>
        </w:rPr>
        <w:t>2.项目资金执行情况分析</w:t>
      </w:r>
    </w:p>
    <w:p w14:paraId="7DF11BDE">
      <w:pPr>
        <w:pStyle w:val="33"/>
        <w:rPr>
          <w:rFonts w:hint="eastAsia" w:hAnsi="宋体"/>
        </w:rPr>
      </w:pPr>
      <w:r>
        <w:rPr>
          <w:rFonts w:hint="eastAsia" w:hAnsi="宋体"/>
          <w:lang w:eastAsia="zh-CN"/>
        </w:rPr>
        <w:t>于田县2024年壮大村集体经济建设项目（英巴格乡）预算投入资金</w:t>
      </w:r>
      <w:r>
        <w:rPr>
          <w:rFonts w:hint="eastAsia" w:hAnsi="宋体"/>
          <w:lang w:val="en-US" w:eastAsia="zh-CN"/>
        </w:rPr>
        <w:t>79.71万元</w:t>
      </w:r>
      <w:r>
        <w:rPr>
          <w:rFonts w:hint="eastAsia" w:hAnsi="宋体"/>
          <w:lang w:eastAsia="zh-CN"/>
        </w:rPr>
        <w:t>，经财</w:t>
      </w:r>
      <w:r>
        <w:rPr>
          <w:rFonts w:hint="eastAsia" w:hAnsi="宋体"/>
        </w:rPr>
        <w:t>务决算，项目实际完成投资共</w:t>
      </w:r>
      <w:r>
        <w:rPr>
          <w:rFonts w:hint="eastAsia" w:hAnsi="宋体"/>
          <w:lang w:val="en-US" w:eastAsia="zh-CN"/>
        </w:rPr>
        <w:t>73.64万</w:t>
      </w:r>
      <w:r>
        <w:rPr>
          <w:rFonts w:hint="eastAsia" w:hAnsi="宋体"/>
        </w:rPr>
        <w:t>元，其中：工程投资</w:t>
      </w:r>
      <w:r>
        <w:rPr>
          <w:rFonts w:hint="eastAsia" w:hAnsi="宋体"/>
          <w:lang w:val="en-US" w:eastAsia="zh-CN"/>
        </w:rPr>
        <w:t>62.504万</w:t>
      </w:r>
      <w:r>
        <w:rPr>
          <w:rFonts w:hint="eastAsia" w:hAnsi="宋体"/>
        </w:rPr>
        <w:t xml:space="preserve">元，待摊投资 </w:t>
      </w:r>
      <w:r>
        <w:rPr>
          <w:rFonts w:hint="eastAsia" w:hAnsi="宋体"/>
          <w:lang w:val="en-US" w:eastAsia="zh-CN"/>
        </w:rPr>
        <w:t>11.14万</w:t>
      </w:r>
      <w:r>
        <w:rPr>
          <w:rFonts w:hint="eastAsia" w:hAnsi="宋体"/>
        </w:rPr>
        <w:t>元；实际工程</w:t>
      </w:r>
      <w:r>
        <w:rPr>
          <w:rFonts w:hint="eastAsia" w:hAnsi="宋体"/>
          <w:lang w:val="en-US" w:eastAsia="zh-CN"/>
        </w:rPr>
        <w:t>结余</w:t>
      </w:r>
      <w:r>
        <w:rPr>
          <w:rFonts w:hint="eastAsia" w:hAnsi="宋体"/>
        </w:rPr>
        <w:t>资</w:t>
      </w:r>
      <w:r>
        <w:rPr>
          <w:rFonts w:hint="eastAsia" w:hAnsi="宋体"/>
          <w:lang w:val="en-US" w:eastAsia="zh-CN"/>
        </w:rPr>
        <w:t>金6.074万</w:t>
      </w:r>
      <w:r>
        <w:rPr>
          <w:rFonts w:hint="eastAsia" w:hAnsi="宋体"/>
        </w:rPr>
        <w:t>元。截至202</w:t>
      </w:r>
      <w:r>
        <w:rPr>
          <w:rFonts w:hint="eastAsia" w:hAnsi="宋体"/>
          <w:lang w:val="en-US" w:eastAsia="zh-CN"/>
        </w:rPr>
        <w:t>4</w:t>
      </w:r>
      <w:r>
        <w:rPr>
          <w:rFonts w:hint="eastAsia" w:hAnsi="宋体"/>
        </w:rPr>
        <w:t>年12月31日，项目实际支出</w:t>
      </w:r>
      <w:r>
        <w:rPr>
          <w:rFonts w:hint="eastAsia" w:hAnsi="宋体"/>
          <w:lang w:val="en-US" w:eastAsia="zh-CN"/>
        </w:rPr>
        <w:t>70.34万</w:t>
      </w:r>
      <w:r>
        <w:rPr>
          <w:rFonts w:hint="eastAsia" w:hAnsi="宋体"/>
        </w:rPr>
        <w:t>元，</w:t>
      </w:r>
      <w:r>
        <w:rPr>
          <w:rFonts w:hint="eastAsia" w:hAnsi="宋体"/>
          <w:lang w:val="en-US" w:eastAsia="zh-CN"/>
        </w:rPr>
        <w:t>剩余资金待支付，</w:t>
      </w:r>
      <w:r>
        <w:rPr>
          <w:rFonts w:hint="eastAsia" w:hAnsi="宋体"/>
        </w:rPr>
        <w:t>预算资金执行率</w:t>
      </w:r>
      <w:r>
        <w:rPr>
          <w:rFonts w:hint="eastAsia" w:hAnsi="宋体"/>
          <w:lang w:val="en-US" w:eastAsia="zh-CN"/>
        </w:rPr>
        <w:t>88.24</w:t>
      </w:r>
      <w:r>
        <w:rPr>
          <w:rFonts w:hint="eastAsia" w:hAnsi="宋体"/>
        </w:rPr>
        <w:t>%。</w:t>
      </w:r>
    </w:p>
    <w:p w14:paraId="3C035AA5">
      <w:pPr>
        <w:pStyle w:val="33"/>
        <w:rPr>
          <w:rFonts w:hint="eastAsia" w:hAnsi="宋体"/>
        </w:rPr>
      </w:pPr>
      <w:r>
        <w:rPr>
          <w:rFonts w:hint="eastAsia" w:hAnsi="宋体"/>
        </w:rPr>
        <w:t>3.项目资金管理情况分析</w:t>
      </w:r>
    </w:p>
    <w:p w14:paraId="0FB07978">
      <w:pPr>
        <w:pStyle w:val="33"/>
        <w:rPr>
          <w:rFonts w:hint="eastAsia" w:hAnsi="宋体"/>
        </w:rPr>
      </w:pPr>
      <w:r>
        <w:rPr>
          <w:rFonts w:hint="eastAsia" w:hAnsi="宋体"/>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76DC021B">
      <w:pPr>
        <w:pStyle w:val="33"/>
        <w:rPr>
          <w:rFonts w:hint="eastAsia" w:hAnsi="宋体"/>
        </w:rPr>
      </w:pPr>
      <w:r>
        <w:rPr>
          <w:rFonts w:hint="eastAsia" w:hAnsi="宋体"/>
          <w:lang w:val="en-US" w:eastAsia="zh-CN"/>
        </w:rPr>
        <w:t>4.项目管理情况分析</w:t>
      </w:r>
    </w:p>
    <w:p w14:paraId="59129BAB">
      <w:pPr>
        <w:pStyle w:val="33"/>
        <w:rPr>
          <w:rFonts w:hint="eastAsia" w:hAnsi="宋体"/>
        </w:rPr>
      </w:pPr>
      <w:r>
        <w:rPr>
          <w:rFonts w:hint="eastAsia" w:hAnsi="宋体"/>
        </w:rPr>
        <w:t>在项目实施中，</w:t>
      </w:r>
      <w:r>
        <w:rPr>
          <w:rFonts w:hint="eastAsia" w:hAnsi="宋体"/>
          <w:lang w:val="en-US" w:eastAsia="zh-CN"/>
        </w:rPr>
        <w:t>于田县英巴格乡人民政府</w:t>
      </w:r>
      <w:r>
        <w:rPr>
          <w:rFonts w:hint="eastAsia" w:hAnsi="宋体"/>
        </w:rPr>
        <w:t>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2E15BEB9">
      <w:pPr>
        <w:pStyle w:val="33"/>
        <w:rPr>
          <w:rFonts w:hint="eastAsia" w:hAnsi="宋体"/>
          <w:b/>
          <w:bCs w:val="0"/>
        </w:rPr>
      </w:pPr>
      <w:r>
        <w:rPr>
          <w:rFonts w:hint="eastAsia" w:hAnsi="宋体"/>
          <w:b/>
          <w:bCs w:val="0"/>
        </w:rPr>
        <w:t>（二）绩效目标完成情况分析</w:t>
      </w:r>
    </w:p>
    <w:p w14:paraId="6DC69AF0">
      <w:pPr>
        <w:pStyle w:val="33"/>
        <w:rPr>
          <w:rFonts w:hint="eastAsia" w:hAnsi="宋体"/>
          <w:lang w:val="en-US" w:eastAsia="zh-CN"/>
        </w:rPr>
      </w:pPr>
      <w:r>
        <w:rPr>
          <w:rFonts w:hint="eastAsia" w:hAnsi="宋体"/>
          <w:lang w:val="en-US" w:eastAsia="zh-CN"/>
        </w:rPr>
        <w:t>本项目在2024年截止4月26日，工程实际完成本项目平整土地400亩，分3个地块，平整土地土方总量为161631.3m³。</w:t>
      </w:r>
    </w:p>
    <w:p w14:paraId="3EC90918">
      <w:pPr>
        <w:pStyle w:val="33"/>
        <w:rPr>
          <w:rFonts w:hint="eastAsia" w:hAnsi="宋体"/>
          <w:lang w:val="en-US" w:eastAsia="zh-CN"/>
        </w:rPr>
      </w:pPr>
      <w:r>
        <w:rPr>
          <w:rFonts w:hint="eastAsia" w:hAnsi="宋体"/>
          <w:lang w:val="en-US" w:eastAsia="zh-CN"/>
        </w:rPr>
        <w:t>本项目共设置一级指标3个，二级指标6个，三级指标11个，其中已完成三级指标8个，指标完成率为</w:t>
      </w:r>
      <w:r>
        <w:rPr>
          <w:rFonts w:hint="eastAsia"/>
          <w:lang w:val="en-US" w:eastAsia="zh-CN"/>
        </w:rPr>
        <w:t>72.73</w:t>
      </w:r>
      <w:r>
        <w:rPr>
          <w:rFonts w:hint="eastAsia" w:hAnsi="宋体"/>
          <w:lang w:val="en-US" w:eastAsia="zh-CN"/>
        </w:rPr>
        <w:t>%，指标完成情况分析如下：</w:t>
      </w:r>
    </w:p>
    <w:p w14:paraId="24FFDD4D">
      <w:pPr>
        <w:pStyle w:val="52"/>
        <w:spacing w:line="580" w:lineRule="exact"/>
        <w:ind w:left="0" w:leftChars="0" w:right="0" w:rightChars="0" w:firstLine="562"/>
        <w:rPr>
          <w:rFonts w:hint="eastAsia" w:ascii="Times New Roman" w:hAnsi="Times New Roman" w:cs="Times New Roman"/>
          <w:b/>
        </w:rPr>
      </w:pPr>
      <w:r>
        <w:rPr>
          <w:rFonts w:hint="eastAsia" w:ascii="Times New Roman" w:hAnsi="Times New Roman" w:cs="Times New Roman"/>
          <w:b/>
        </w:rPr>
        <w:t>1.产出指标完成情况分析</w:t>
      </w:r>
    </w:p>
    <w:p w14:paraId="143205C7">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1.1项目完成数量</w:t>
      </w:r>
    </w:p>
    <w:p w14:paraId="67021E30">
      <w:pPr>
        <w:pStyle w:val="52"/>
        <w:spacing w:line="580" w:lineRule="exact"/>
        <w:ind w:left="0" w:leftChars="0" w:right="0" w:rightChars="0" w:firstLine="560"/>
        <w:rPr>
          <w:rFonts w:hint="eastAsia" w:ascii="仿宋_GB2312" w:hAnsi="Times New Roman" w:cs="Times New Roman"/>
          <w:lang w:eastAsia="zh-CN"/>
        </w:rPr>
      </w:pPr>
      <w:r>
        <w:rPr>
          <w:rFonts w:hint="eastAsia" w:ascii="仿宋_GB2312" w:hAnsi="Times New Roman" w:cs="Times New Roman"/>
        </w:rPr>
        <w:t>“项目覆盖脱贫村数量”指标，预期指标值为</w:t>
      </w:r>
      <w:r>
        <w:rPr>
          <w:rFonts w:hint="eastAsia" w:ascii="仿宋_GB2312" w:hAnsi="Times New Roman" w:cs="Times New Roman"/>
          <w:lang w:eastAsia="zh-CN"/>
        </w:rPr>
        <w:t>大于等于</w:t>
      </w:r>
      <w:r>
        <w:rPr>
          <w:rFonts w:hint="eastAsia" w:ascii="仿宋_GB2312" w:hAnsi="Times New Roman" w:cs="Times New Roman"/>
          <w:lang w:val="en-US" w:eastAsia="zh-CN"/>
        </w:rPr>
        <w:t>1</w:t>
      </w:r>
      <w:r>
        <w:rPr>
          <w:rFonts w:hint="eastAsia" w:ascii="仿宋_GB2312" w:hAnsi="Times New Roman" w:cs="Times New Roman"/>
        </w:rPr>
        <w:t>个,全年实际值为</w:t>
      </w:r>
      <w:r>
        <w:rPr>
          <w:rFonts w:hint="eastAsia" w:ascii="仿宋_GB2312" w:hAnsi="Times New Roman" w:cs="Times New Roman"/>
          <w:lang w:val="en-US" w:eastAsia="zh-CN"/>
        </w:rPr>
        <w:t>1</w:t>
      </w:r>
      <w:r>
        <w:rPr>
          <w:rFonts w:hint="eastAsia" w:ascii="仿宋_GB2312" w:hAnsi="Times New Roman" w:cs="Times New Roman"/>
        </w:rPr>
        <w:t>个，指标完成率为100.00%。所设分值</w:t>
      </w:r>
      <w:r>
        <w:rPr>
          <w:rFonts w:hint="eastAsia" w:ascii="仿宋_GB2312" w:hAnsi="Times New Roman" w:cs="Times New Roman"/>
          <w:lang w:val="en-US" w:eastAsia="zh-CN"/>
        </w:rPr>
        <w:t>6</w:t>
      </w:r>
      <w:r>
        <w:rPr>
          <w:rFonts w:hint="eastAsia" w:ascii="仿宋_GB2312" w:hAnsi="Times New Roman" w:cs="Times New Roman"/>
        </w:rPr>
        <w:t>分，实际得分</w:t>
      </w:r>
      <w:r>
        <w:rPr>
          <w:rFonts w:hint="eastAsia" w:ascii="仿宋_GB2312" w:hAnsi="Times New Roman" w:cs="Times New Roman"/>
          <w:lang w:val="en-US" w:eastAsia="zh-CN"/>
        </w:rPr>
        <w:t>6</w:t>
      </w:r>
      <w:r>
        <w:rPr>
          <w:rFonts w:hint="eastAsia" w:ascii="仿宋_GB2312" w:hAnsi="Times New Roman" w:cs="Times New Roman"/>
        </w:rPr>
        <w:t>分。</w:t>
      </w:r>
    </w:p>
    <w:p w14:paraId="7C7AD31F">
      <w:pPr>
        <w:pStyle w:val="52"/>
        <w:spacing w:line="580" w:lineRule="exact"/>
        <w:ind w:left="0" w:leftChars="0" w:right="0" w:rightChars="0" w:firstLine="560"/>
        <w:rPr>
          <w:rFonts w:hint="eastAsia" w:ascii="仿宋_GB2312" w:hAnsi="Times New Roman" w:cs="Times New Roman"/>
          <w:lang w:eastAsia="zh-CN"/>
        </w:rPr>
      </w:pPr>
      <w:r>
        <w:rPr>
          <w:rFonts w:hint="eastAsia" w:ascii="仿宋_GB2312" w:hAnsi="Times New Roman" w:cs="Times New Roman"/>
        </w:rPr>
        <w:t>“</w:t>
      </w:r>
      <w:r>
        <w:rPr>
          <w:rFonts w:hint="eastAsia" w:ascii="仿宋_GB2312" w:hAnsi="Times New Roman" w:cs="Times New Roman"/>
          <w:lang w:val="en-US" w:eastAsia="zh-CN"/>
        </w:rPr>
        <w:t>土地平整面积</w:t>
      </w:r>
      <w:r>
        <w:rPr>
          <w:rFonts w:hint="eastAsia" w:ascii="仿宋_GB2312" w:hAnsi="Times New Roman" w:cs="Times New Roman"/>
        </w:rPr>
        <w:t>”指标，预期指标值为</w:t>
      </w:r>
      <w:r>
        <w:rPr>
          <w:rFonts w:hint="eastAsia" w:ascii="仿宋_GB2312" w:hAnsi="Times New Roman" w:cs="Times New Roman"/>
          <w:lang w:eastAsia="zh-CN"/>
        </w:rPr>
        <w:t>大于等于</w:t>
      </w:r>
      <w:r>
        <w:rPr>
          <w:rFonts w:hint="eastAsia" w:ascii="仿宋_GB2312" w:hAnsi="Times New Roman" w:cs="Times New Roman"/>
          <w:lang w:val="en-US" w:eastAsia="zh-CN"/>
        </w:rPr>
        <w:t>400亩</w:t>
      </w:r>
      <w:r>
        <w:rPr>
          <w:rFonts w:hint="eastAsia" w:ascii="仿宋_GB2312" w:hAnsi="Times New Roman" w:cs="Times New Roman"/>
        </w:rPr>
        <w:t>,全年实际值为</w:t>
      </w:r>
      <w:r>
        <w:rPr>
          <w:rFonts w:hint="eastAsia" w:ascii="仿宋_GB2312" w:hAnsi="Times New Roman" w:cs="Times New Roman"/>
          <w:lang w:val="en-US" w:eastAsia="zh-CN"/>
        </w:rPr>
        <w:t>400亩</w:t>
      </w:r>
      <w:r>
        <w:rPr>
          <w:rFonts w:hint="eastAsia" w:ascii="仿宋_GB2312" w:hAnsi="Times New Roman" w:cs="Times New Roman"/>
        </w:rPr>
        <w:t>，指标完成率为100.00%。所设分值</w:t>
      </w:r>
      <w:r>
        <w:rPr>
          <w:rFonts w:hint="eastAsia" w:ascii="仿宋_GB2312" w:hAnsi="Times New Roman" w:cs="Times New Roman"/>
          <w:lang w:val="en-US" w:eastAsia="zh-CN"/>
        </w:rPr>
        <w:t>6</w:t>
      </w:r>
      <w:r>
        <w:rPr>
          <w:rFonts w:hint="eastAsia" w:ascii="仿宋_GB2312" w:hAnsi="Times New Roman" w:cs="Times New Roman"/>
        </w:rPr>
        <w:t>分，实际得分</w:t>
      </w:r>
      <w:r>
        <w:rPr>
          <w:rFonts w:hint="eastAsia" w:ascii="仿宋_GB2312" w:hAnsi="Times New Roman" w:cs="Times New Roman"/>
          <w:lang w:val="en-US" w:eastAsia="zh-CN"/>
        </w:rPr>
        <w:t>6</w:t>
      </w:r>
      <w:r>
        <w:rPr>
          <w:rFonts w:hint="eastAsia" w:ascii="仿宋_GB2312" w:hAnsi="Times New Roman" w:cs="Times New Roman"/>
        </w:rPr>
        <w:t>分。</w:t>
      </w:r>
    </w:p>
    <w:p w14:paraId="2CFD3BA0">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1.2项目完成质量</w:t>
      </w:r>
    </w:p>
    <w:p w14:paraId="0DD44D79">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“项目验收合格率”指标，预期指标值为</w:t>
      </w:r>
      <w:r>
        <w:rPr>
          <w:rFonts w:hint="eastAsia" w:ascii="仿宋_GB2312" w:hAnsi="Times New Roman" w:cs="Times New Roman"/>
          <w:lang w:eastAsia="zh-CN"/>
        </w:rPr>
        <w:t>等于</w:t>
      </w:r>
      <w:r>
        <w:rPr>
          <w:rFonts w:hint="eastAsia" w:ascii="仿宋_GB2312" w:hAnsi="Times New Roman" w:cs="Times New Roman"/>
        </w:rPr>
        <w:t>100.00%,全年实际值为100.00%，指标完成率为100.00%。所设分值</w:t>
      </w:r>
      <w:r>
        <w:rPr>
          <w:rFonts w:hint="eastAsia" w:ascii="仿宋_GB2312" w:hAnsi="Times New Roman" w:cs="Times New Roman"/>
          <w:lang w:val="en-US" w:eastAsia="zh-CN"/>
        </w:rPr>
        <w:t>6</w:t>
      </w:r>
      <w:r>
        <w:rPr>
          <w:rFonts w:hint="eastAsia" w:ascii="仿宋_GB2312" w:hAnsi="Times New Roman" w:cs="Times New Roman"/>
        </w:rPr>
        <w:t>分，实际得分</w:t>
      </w:r>
      <w:r>
        <w:rPr>
          <w:rFonts w:hint="eastAsia" w:ascii="仿宋_GB2312" w:hAnsi="Times New Roman" w:cs="Times New Roman"/>
          <w:lang w:val="en-US" w:eastAsia="zh-CN"/>
        </w:rPr>
        <w:t>6</w:t>
      </w:r>
      <w:r>
        <w:rPr>
          <w:rFonts w:hint="eastAsia" w:ascii="仿宋_GB2312" w:hAnsi="Times New Roman" w:cs="Times New Roman"/>
        </w:rPr>
        <w:t>分。</w:t>
      </w:r>
    </w:p>
    <w:p w14:paraId="31559E8F">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“资金支出合规率”指标，预期指标值为</w:t>
      </w:r>
      <w:r>
        <w:rPr>
          <w:rFonts w:hint="eastAsia" w:ascii="仿宋_GB2312" w:hAnsi="Times New Roman" w:cs="Times New Roman"/>
          <w:lang w:eastAsia="zh-CN"/>
        </w:rPr>
        <w:t>等于</w:t>
      </w:r>
      <w:r>
        <w:rPr>
          <w:rFonts w:hint="eastAsia" w:ascii="仿宋_GB2312" w:hAnsi="Times New Roman" w:cs="Times New Roman"/>
        </w:rPr>
        <w:t>100.00%,全年实际值为100.00%，指标完成率为100.00%。所设分值</w:t>
      </w:r>
      <w:r>
        <w:rPr>
          <w:rFonts w:hint="eastAsia" w:ascii="仿宋_GB2312" w:hAnsi="Times New Roman" w:cs="Times New Roman"/>
          <w:lang w:val="en-US" w:eastAsia="zh-CN"/>
        </w:rPr>
        <w:t>5</w:t>
      </w:r>
      <w:r>
        <w:rPr>
          <w:rFonts w:hint="eastAsia" w:ascii="仿宋_GB2312" w:hAnsi="Times New Roman" w:cs="Times New Roman"/>
        </w:rPr>
        <w:t>分，实际得分</w:t>
      </w:r>
      <w:r>
        <w:rPr>
          <w:rFonts w:hint="eastAsia" w:ascii="仿宋_GB2312" w:hAnsi="Times New Roman" w:cs="Times New Roman"/>
          <w:lang w:val="en-US" w:eastAsia="zh-CN"/>
        </w:rPr>
        <w:t>5</w:t>
      </w:r>
      <w:r>
        <w:rPr>
          <w:rFonts w:hint="eastAsia" w:ascii="仿宋_GB2312" w:hAnsi="Times New Roman" w:cs="Times New Roman"/>
        </w:rPr>
        <w:t>分。</w:t>
      </w:r>
    </w:p>
    <w:p w14:paraId="36433236">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1.3项目完成时效</w:t>
      </w:r>
    </w:p>
    <w:p w14:paraId="2FEF937D">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w:t>
      </w:r>
      <w:r>
        <w:rPr>
          <w:rFonts w:hint="eastAsia" w:ascii="仿宋_GB2312" w:hAnsi="Times New Roman" w:cs="Times New Roman"/>
          <w:lang w:val="en-US" w:eastAsia="zh-CN"/>
        </w:rPr>
        <w:t>资金支付及时率</w:t>
      </w:r>
      <w:r>
        <w:rPr>
          <w:rFonts w:hint="eastAsia" w:ascii="仿宋_GB2312" w:hAnsi="Times New Roman" w:cs="Times New Roman"/>
        </w:rPr>
        <w:t>”指标，预期指标值为</w:t>
      </w:r>
      <w:r>
        <w:rPr>
          <w:rFonts w:hint="eastAsia" w:ascii="仿宋_GB2312" w:hAnsi="Times New Roman" w:cs="Times New Roman"/>
          <w:lang w:eastAsia="zh-CN"/>
        </w:rPr>
        <w:t>等于</w:t>
      </w:r>
      <w:r>
        <w:rPr>
          <w:rFonts w:hint="eastAsia" w:ascii="仿宋_GB2312" w:hAnsi="Times New Roman" w:cs="Times New Roman"/>
          <w:lang w:val="en-US" w:eastAsia="zh-CN"/>
        </w:rPr>
        <w:t>100%</w:t>
      </w:r>
      <w:r>
        <w:rPr>
          <w:rFonts w:hint="eastAsia" w:ascii="仿宋_GB2312" w:hAnsi="Times New Roman" w:cs="Times New Roman"/>
        </w:rPr>
        <w:t>,全年实际值为</w:t>
      </w:r>
      <w:r>
        <w:rPr>
          <w:rFonts w:hint="eastAsia" w:ascii="仿宋_GB2312" w:hAnsi="Times New Roman" w:cs="Times New Roman"/>
          <w:lang w:val="en-US" w:eastAsia="zh-CN"/>
        </w:rPr>
        <w:t>100%</w:t>
      </w:r>
      <w:r>
        <w:rPr>
          <w:rFonts w:hint="eastAsia" w:ascii="仿宋_GB2312" w:hAnsi="Times New Roman" w:cs="Times New Roman"/>
        </w:rPr>
        <w:t>，指标完成率为100.00%。所设分值</w:t>
      </w:r>
      <w:r>
        <w:rPr>
          <w:rFonts w:hint="eastAsia" w:ascii="仿宋_GB2312" w:hAnsi="Times New Roman" w:cs="Times New Roman"/>
          <w:lang w:val="en-US" w:eastAsia="zh-CN"/>
        </w:rPr>
        <w:t>5</w:t>
      </w:r>
      <w:r>
        <w:rPr>
          <w:rFonts w:hint="eastAsia" w:ascii="仿宋_GB2312" w:hAnsi="Times New Roman" w:cs="Times New Roman"/>
        </w:rPr>
        <w:t>分，实际得分</w:t>
      </w:r>
      <w:r>
        <w:rPr>
          <w:rFonts w:hint="eastAsia" w:ascii="仿宋_GB2312" w:hAnsi="Times New Roman" w:cs="Times New Roman"/>
          <w:lang w:val="en-US" w:eastAsia="zh-CN"/>
        </w:rPr>
        <w:t>5</w:t>
      </w:r>
      <w:r>
        <w:rPr>
          <w:rFonts w:hint="eastAsia" w:ascii="仿宋_GB2312" w:hAnsi="Times New Roman" w:cs="Times New Roman"/>
        </w:rPr>
        <w:t>分。</w:t>
      </w:r>
    </w:p>
    <w:p w14:paraId="5B4F97F2">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“项目</w:t>
      </w:r>
      <w:r>
        <w:rPr>
          <w:rFonts w:hint="eastAsia" w:ascii="仿宋_GB2312" w:hAnsi="Times New Roman" w:cs="Times New Roman"/>
          <w:lang w:val="en-US" w:eastAsia="zh-CN"/>
        </w:rPr>
        <w:t>启动</w:t>
      </w:r>
      <w:r>
        <w:rPr>
          <w:rFonts w:hint="eastAsia" w:ascii="仿宋_GB2312" w:hAnsi="Times New Roman" w:cs="Times New Roman"/>
        </w:rPr>
        <w:t>时间”指标，预期指标值为202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3</w:t>
      </w:r>
      <w:r>
        <w:rPr>
          <w:rFonts w:hint="eastAsia" w:ascii="仿宋_GB2312" w:hAnsi="Times New Roman" w:cs="Times New Roman"/>
        </w:rPr>
        <w:t>月,全年实际值为202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3</w:t>
      </w:r>
      <w:r>
        <w:rPr>
          <w:rFonts w:hint="eastAsia" w:ascii="仿宋_GB2312" w:hAnsi="Times New Roman" w:cs="Times New Roman"/>
        </w:rPr>
        <w:t>月，指标完成率为100.00%。所设分值</w:t>
      </w:r>
      <w:r>
        <w:rPr>
          <w:rFonts w:hint="eastAsia" w:ascii="仿宋_GB2312" w:hAnsi="Times New Roman" w:cs="Times New Roman"/>
          <w:lang w:val="en-US" w:eastAsia="zh-CN"/>
        </w:rPr>
        <w:t>等5</w:t>
      </w:r>
      <w:r>
        <w:rPr>
          <w:rFonts w:hint="eastAsia" w:ascii="仿宋_GB2312" w:hAnsi="Times New Roman" w:cs="Times New Roman"/>
        </w:rPr>
        <w:t>分，实际得分</w:t>
      </w:r>
      <w:r>
        <w:rPr>
          <w:rFonts w:hint="eastAsia" w:ascii="仿宋_GB2312" w:hAnsi="Times New Roman" w:cs="Times New Roman"/>
          <w:lang w:val="en-US" w:eastAsia="zh-CN"/>
        </w:rPr>
        <w:t>5</w:t>
      </w:r>
      <w:r>
        <w:rPr>
          <w:rFonts w:hint="eastAsia" w:ascii="仿宋_GB2312" w:hAnsi="Times New Roman" w:cs="Times New Roman"/>
        </w:rPr>
        <w:t>分。</w:t>
      </w:r>
    </w:p>
    <w:p w14:paraId="185876A1">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“项目完工时间”指标，预期指标值为202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5</w:t>
      </w:r>
      <w:r>
        <w:rPr>
          <w:rFonts w:hint="eastAsia" w:ascii="仿宋_GB2312" w:hAnsi="Times New Roman" w:cs="Times New Roman"/>
        </w:rPr>
        <w:t>月,全年实际值为202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4</w:t>
      </w:r>
      <w:r>
        <w:rPr>
          <w:rFonts w:hint="eastAsia" w:ascii="仿宋_GB2312" w:hAnsi="Times New Roman" w:cs="Times New Roman"/>
        </w:rPr>
        <w:t>月，指标完成率为</w:t>
      </w:r>
      <w:r>
        <w:rPr>
          <w:rFonts w:hint="eastAsia" w:ascii="仿宋_GB2312" w:hAnsi="Times New Roman" w:cs="Times New Roman"/>
          <w:lang w:val="en-US" w:eastAsia="zh-CN"/>
        </w:rPr>
        <w:t>99.87</w:t>
      </w:r>
      <w:r>
        <w:rPr>
          <w:rFonts w:hint="eastAsia" w:ascii="仿宋_GB2312" w:hAnsi="Times New Roman" w:cs="Times New Roman"/>
        </w:rPr>
        <w:t>%。所设分值</w:t>
      </w:r>
      <w:r>
        <w:rPr>
          <w:rFonts w:hint="eastAsia" w:ascii="仿宋_GB2312" w:hAnsi="Times New Roman" w:cs="Times New Roman"/>
          <w:lang w:val="en-US" w:eastAsia="zh-CN"/>
        </w:rPr>
        <w:t>5</w:t>
      </w:r>
      <w:r>
        <w:rPr>
          <w:rFonts w:hint="eastAsia" w:ascii="仿宋_GB2312" w:hAnsi="Times New Roman" w:cs="Times New Roman"/>
        </w:rPr>
        <w:t>分，实际得分</w:t>
      </w:r>
      <w:r>
        <w:rPr>
          <w:rFonts w:hint="eastAsia" w:ascii="仿宋_GB2312" w:hAnsi="Times New Roman" w:cs="Times New Roman"/>
          <w:lang w:val="en-US" w:eastAsia="zh-CN"/>
        </w:rPr>
        <w:t>4.99</w:t>
      </w:r>
      <w:r>
        <w:rPr>
          <w:rFonts w:hint="eastAsia" w:ascii="仿宋_GB2312" w:hAnsi="Times New Roman" w:cs="Times New Roman"/>
        </w:rPr>
        <w:t>分。</w:t>
      </w:r>
      <w:r>
        <w:rPr>
          <w:rFonts w:hint="eastAsia" w:ascii="仿宋_GB2312" w:hAnsi="Times New Roman" w:cs="Times New Roman"/>
        </w:rPr>
        <w:tab/>
      </w:r>
      <w:r>
        <w:rPr>
          <w:rFonts w:hint="eastAsia" w:ascii="仿宋_GB2312" w:hAnsi="Times New Roman" w:cs="Times New Roman"/>
        </w:rPr>
        <w:t xml:space="preserve"> 偏差原因：项目提前完工，</w:t>
      </w:r>
    </w:p>
    <w:p w14:paraId="2F6E2F66">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改进措施：加强项目管理。</w:t>
      </w:r>
    </w:p>
    <w:p w14:paraId="33CDDF61">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1.4项目成本节约情况</w:t>
      </w:r>
    </w:p>
    <w:p w14:paraId="549D6750">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“建筑工程费用”指标，预期指标值为</w:t>
      </w:r>
      <w:r>
        <w:rPr>
          <w:rFonts w:hint="eastAsia" w:ascii="仿宋_GB2312" w:hAnsi="Times New Roman" w:cs="Times New Roman"/>
          <w:lang w:eastAsia="zh-CN"/>
        </w:rPr>
        <w:t>小于等于</w:t>
      </w:r>
      <w:r>
        <w:rPr>
          <w:rFonts w:hint="eastAsia" w:ascii="仿宋_GB2312" w:hAnsi="Times New Roman" w:cs="Times New Roman"/>
          <w:lang w:val="en-US" w:eastAsia="zh-CN"/>
        </w:rPr>
        <w:t>67.62</w:t>
      </w:r>
      <w:r>
        <w:rPr>
          <w:rFonts w:hint="eastAsia" w:ascii="仿宋_GB2312" w:hAnsi="Times New Roman" w:cs="Times New Roman"/>
        </w:rPr>
        <w:t>万元, 全年实际值为</w:t>
      </w:r>
      <w:r>
        <w:rPr>
          <w:rFonts w:hint="eastAsia" w:ascii="仿宋_GB2312" w:hAnsi="Times New Roman" w:cs="Times New Roman"/>
          <w:lang w:val="en-US" w:eastAsia="zh-CN"/>
        </w:rPr>
        <w:t>62.52</w:t>
      </w:r>
      <w:r>
        <w:rPr>
          <w:rFonts w:hint="eastAsia" w:ascii="仿宋_GB2312" w:hAnsi="Times New Roman" w:cs="Times New Roman"/>
        </w:rPr>
        <w:t>万元，指标完成率为</w:t>
      </w:r>
      <w:r>
        <w:rPr>
          <w:rFonts w:hint="eastAsia" w:ascii="仿宋_GB2312" w:hAnsi="Times New Roman" w:cs="Times New Roman"/>
          <w:lang w:val="en-US" w:eastAsia="zh-CN"/>
        </w:rPr>
        <w:t>92.46</w:t>
      </w:r>
      <w:r>
        <w:rPr>
          <w:rFonts w:hint="eastAsia" w:ascii="仿宋_GB2312" w:hAnsi="Times New Roman" w:cs="Times New Roman"/>
        </w:rPr>
        <w:t>%。所设分值</w:t>
      </w:r>
      <w:r>
        <w:rPr>
          <w:rFonts w:hint="eastAsia" w:ascii="仿宋_GB2312" w:hAnsi="Times New Roman" w:cs="Times New Roman"/>
          <w:lang w:val="en-US" w:eastAsia="zh-CN"/>
        </w:rPr>
        <w:t>6</w:t>
      </w:r>
      <w:r>
        <w:rPr>
          <w:rFonts w:hint="eastAsia" w:ascii="仿宋_GB2312" w:hAnsi="Times New Roman" w:cs="Times New Roman"/>
        </w:rPr>
        <w:t>分，实际得分</w:t>
      </w:r>
      <w:r>
        <w:rPr>
          <w:rFonts w:hint="eastAsia" w:ascii="仿宋_GB2312" w:hAnsi="Times New Roman" w:cs="Times New Roman"/>
          <w:lang w:val="en-US" w:eastAsia="zh-CN"/>
        </w:rPr>
        <w:t>5.55</w:t>
      </w:r>
      <w:r>
        <w:rPr>
          <w:rFonts w:hint="eastAsia" w:ascii="仿宋_GB2312" w:hAnsi="Times New Roman" w:cs="Times New Roman"/>
        </w:rPr>
        <w:t>分。</w:t>
      </w:r>
    </w:p>
    <w:p w14:paraId="2EC9652E">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偏差原因：项目已完工，经结算审定投资为73.64万元，截止2024年12月底已支付70.34万元，剩余资金待支付。</w:t>
      </w:r>
    </w:p>
    <w:p w14:paraId="5C6F592C">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改进措施：加强项目管理，加快资金支付进度。</w:t>
      </w:r>
    </w:p>
    <w:p w14:paraId="360C2E68">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“其他费用”指标，预期指标值为</w:t>
      </w:r>
      <w:r>
        <w:rPr>
          <w:rFonts w:hint="eastAsia" w:ascii="仿宋_GB2312" w:hAnsi="Times New Roman" w:cs="Times New Roman"/>
          <w:lang w:eastAsia="zh-CN"/>
        </w:rPr>
        <w:t>小于等于</w:t>
      </w:r>
      <w:r>
        <w:rPr>
          <w:rFonts w:hint="eastAsia" w:ascii="仿宋_GB2312" w:hAnsi="Times New Roman" w:cs="Times New Roman"/>
          <w:lang w:val="en-US" w:eastAsia="zh-CN"/>
        </w:rPr>
        <w:t>12.09</w:t>
      </w:r>
      <w:r>
        <w:rPr>
          <w:rFonts w:hint="eastAsia" w:ascii="仿宋_GB2312" w:hAnsi="Times New Roman" w:cs="Times New Roman"/>
        </w:rPr>
        <w:t>‬万元, 全年实际值为</w:t>
      </w:r>
      <w:r>
        <w:rPr>
          <w:rFonts w:hint="eastAsia" w:ascii="仿宋_GB2312" w:hAnsi="Times New Roman" w:cs="Times New Roman"/>
          <w:lang w:val="en-US" w:eastAsia="zh-CN"/>
        </w:rPr>
        <w:t>7.82</w:t>
      </w:r>
      <w:r>
        <w:rPr>
          <w:rFonts w:hint="eastAsia" w:ascii="仿宋_GB2312" w:hAnsi="Times New Roman" w:cs="Times New Roman"/>
        </w:rPr>
        <w:t>‬万元，指标完成率为</w:t>
      </w:r>
      <w:r>
        <w:rPr>
          <w:rFonts w:hint="eastAsia" w:ascii="仿宋_GB2312" w:hAnsi="Times New Roman" w:cs="Times New Roman"/>
          <w:lang w:val="en-US" w:eastAsia="zh-CN"/>
        </w:rPr>
        <w:t>64.68</w:t>
      </w:r>
      <w:r>
        <w:rPr>
          <w:rFonts w:hint="eastAsia" w:ascii="仿宋_GB2312" w:hAnsi="Times New Roman" w:cs="Times New Roman"/>
        </w:rPr>
        <w:t>%。所设分值</w:t>
      </w:r>
      <w:r>
        <w:rPr>
          <w:rFonts w:hint="eastAsia" w:ascii="仿宋_GB2312" w:hAnsi="Times New Roman" w:cs="Times New Roman"/>
          <w:lang w:val="en-US" w:eastAsia="zh-CN"/>
        </w:rPr>
        <w:t>6</w:t>
      </w:r>
      <w:r>
        <w:rPr>
          <w:rFonts w:hint="eastAsia" w:ascii="仿宋_GB2312" w:hAnsi="Times New Roman" w:cs="Times New Roman"/>
        </w:rPr>
        <w:t>分，实际得分</w:t>
      </w:r>
      <w:r>
        <w:rPr>
          <w:rFonts w:hint="eastAsia" w:ascii="仿宋_GB2312" w:hAnsi="Times New Roman" w:cs="Times New Roman"/>
          <w:lang w:val="en-US" w:eastAsia="zh-CN"/>
        </w:rPr>
        <w:t>3.88</w:t>
      </w:r>
      <w:r>
        <w:rPr>
          <w:rFonts w:hint="eastAsia" w:ascii="仿宋_GB2312" w:hAnsi="Times New Roman" w:cs="Times New Roman"/>
        </w:rPr>
        <w:t>分。</w:t>
      </w:r>
    </w:p>
    <w:p w14:paraId="6175C6E5">
      <w:pPr>
        <w:pStyle w:val="52"/>
        <w:spacing w:line="580" w:lineRule="exact"/>
        <w:ind w:left="0" w:leftChars="0" w:right="0" w:rightChars="0" w:firstLine="560"/>
        <w:rPr>
          <w:rFonts w:hint="eastAsia" w:ascii="仿宋_GB2312" w:hAnsi="Times New Roman" w:cs="Times New Roman"/>
          <w:lang w:val="en-US" w:eastAsia="zh-CN"/>
        </w:rPr>
      </w:pPr>
      <w:r>
        <w:rPr>
          <w:rFonts w:hint="eastAsia" w:ascii="仿宋_GB2312" w:hAnsi="Times New Roman" w:cs="Times New Roman"/>
          <w:lang w:val="en-US" w:eastAsia="zh-CN"/>
        </w:rPr>
        <w:t>偏差原因：项目已完工，经结算审定投资为73.64万元，截止2024年12月底已支付70.34万元，剩余资金待支付。</w:t>
      </w:r>
    </w:p>
    <w:p w14:paraId="0F39C097">
      <w:pPr>
        <w:pStyle w:val="52"/>
        <w:spacing w:line="580" w:lineRule="exact"/>
        <w:ind w:left="0" w:leftChars="0" w:right="0" w:rightChars="0" w:firstLine="560"/>
        <w:rPr>
          <w:rFonts w:hint="eastAsia" w:ascii="仿宋_GB2312" w:hAnsi="Times New Roman" w:cs="Times New Roman"/>
          <w:lang w:val="en-US" w:eastAsia="zh-CN"/>
        </w:rPr>
      </w:pPr>
      <w:r>
        <w:rPr>
          <w:rFonts w:hint="eastAsia" w:ascii="仿宋_GB2312" w:hAnsi="Times New Roman" w:cs="Times New Roman"/>
          <w:lang w:val="en-US" w:eastAsia="zh-CN"/>
        </w:rPr>
        <w:t>改进措施：加强项目管理，加快资金支付进度。</w:t>
      </w:r>
    </w:p>
    <w:p w14:paraId="23779418">
      <w:pPr>
        <w:pStyle w:val="52"/>
        <w:spacing w:line="580" w:lineRule="exact"/>
        <w:ind w:left="0" w:leftChars="0" w:right="0" w:rightChars="0" w:firstLine="560"/>
        <w:rPr>
          <w:rFonts w:hint="eastAsia" w:ascii="仿宋_GB2312" w:hAnsi="Times New Roman" w:cs="Times New Roman"/>
          <w:b/>
          <w:bCs/>
        </w:rPr>
      </w:pPr>
      <w:r>
        <w:rPr>
          <w:rFonts w:hint="eastAsia" w:ascii="仿宋_GB2312" w:hAnsi="Times New Roman" w:cs="Times New Roman"/>
          <w:b/>
          <w:bCs/>
        </w:rPr>
        <w:t>2.效益指标完成情况分析</w:t>
      </w:r>
    </w:p>
    <w:p w14:paraId="47BE0A9A">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2.</w:t>
      </w:r>
      <w:r>
        <w:rPr>
          <w:rFonts w:hint="eastAsia" w:ascii="仿宋_GB2312" w:hAnsi="Times New Roman" w:cs="Times New Roman"/>
          <w:lang w:val="en-US" w:eastAsia="zh-CN"/>
        </w:rPr>
        <w:t>1</w:t>
      </w:r>
      <w:r>
        <w:rPr>
          <w:rFonts w:hint="eastAsia" w:ascii="仿宋_GB2312" w:hAnsi="Times New Roman" w:cs="Times New Roman"/>
        </w:rPr>
        <w:t>项目实施的社会效益分析</w:t>
      </w:r>
    </w:p>
    <w:p w14:paraId="799BD1D0">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w:t>
      </w:r>
      <w:r>
        <w:rPr>
          <w:rFonts w:hint="eastAsia" w:ascii="仿宋_GB2312" w:hAnsi="Times New Roman" w:cs="Times New Roman"/>
          <w:lang w:val="en-US" w:eastAsia="zh-CN"/>
        </w:rPr>
        <w:t>改善农业生产条件</w:t>
      </w:r>
      <w:r>
        <w:rPr>
          <w:rFonts w:hint="eastAsia" w:ascii="仿宋_GB2312" w:hAnsi="Times New Roman" w:cs="Times New Roman"/>
        </w:rPr>
        <w:t>”指标，指标预期</w:t>
      </w:r>
      <w:r>
        <w:rPr>
          <w:rFonts w:hint="eastAsia" w:ascii="仿宋_GB2312" w:hAnsi="Times New Roman" w:cs="Times New Roman"/>
          <w:lang w:val="en-US" w:eastAsia="zh-CN"/>
        </w:rPr>
        <w:t>为有效改善</w:t>
      </w:r>
      <w:r>
        <w:rPr>
          <w:rFonts w:hint="eastAsia" w:ascii="仿宋_GB2312" w:hAnsi="Times New Roman" w:cs="Times New Roman"/>
        </w:rPr>
        <w:t>，实际完成</w:t>
      </w:r>
      <w:r>
        <w:rPr>
          <w:rFonts w:hint="eastAsia" w:ascii="仿宋_GB2312" w:hAnsi="Times New Roman" w:cs="Times New Roman"/>
          <w:lang w:val="en-US" w:eastAsia="zh-CN"/>
        </w:rPr>
        <w:t>为有效改善</w:t>
      </w:r>
      <w:r>
        <w:rPr>
          <w:rFonts w:hint="eastAsia" w:ascii="仿宋_GB2312" w:hAnsi="Times New Roman" w:cs="Times New Roman"/>
        </w:rPr>
        <w:t>，指标完成率为100.00%。所设分值</w:t>
      </w:r>
      <w:r>
        <w:rPr>
          <w:rFonts w:hint="eastAsia" w:ascii="仿宋_GB2312" w:hAnsi="Times New Roman" w:cs="Times New Roman"/>
          <w:lang w:val="en-US" w:eastAsia="zh-CN"/>
        </w:rPr>
        <w:t>30</w:t>
      </w:r>
      <w:r>
        <w:rPr>
          <w:rFonts w:hint="eastAsia" w:ascii="仿宋_GB2312" w:hAnsi="Times New Roman" w:cs="Times New Roman"/>
        </w:rPr>
        <w:t>分，实际得分</w:t>
      </w:r>
      <w:r>
        <w:rPr>
          <w:rFonts w:hint="eastAsia" w:ascii="仿宋_GB2312" w:hAnsi="Times New Roman" w:cs="Times New Roman"/>
          <w:lang w:val="en-US" w:eastAsia="zh-CN"/>
        </w:rPr>
        <w:t>30</w:t>
      </w:r>
      <w:r>
        <w:rPr>
          <w:rFonts w:hint="eastAsia" w:ascii="仿宋_GB2312" w:hAnsi="Times New Roman" w:cs="Times New Roman"/>
        </w:rPr>
        <w:t>分。</w:t>
      </w:r>
    </w:p>
    <w:p w14:paraId="05C5413E">
      <w:pPr>
        <w:pStyle w:val="52"/>
        <w:spacing w:line="580" w:lineRule="exact"/>
        <w:ind w:left="0" w:leftChars="0" w:right="0" w:rightChars="0" w:firstLine="560"/>
        <w:rPr>
          <w:rFonts w:hint="eastAsia" w:ascii="仿宋_GB2312" w:hAnsi="Times New Roman" w:cs="Times New Roman"/>
          <w:b/>
          <w:bCs/>
          <w:lang w:val="en-US" w:eastAsia="zh-CN"/>
        </w:rPr>
      </w:pPr>
      <w:r>
        <w:rPr>
          <w:rFonts w:hint="eastAsia" w:ascii="仿宋_GB2312" w:hAnsi="Times New Roman" w:cs="Times New Roman"/>
          <w:b/>
          <w:bCs/>
          <w:lang w:val="en-US" w:eastAsia="zh-CN"/>
        </w:rPr>
        <w:t>3.满意度指标完成情况分析</w:t>
      </w:r>
    </w:p>
    <w:p w14:paraId="71F2662F">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“项目区受益村满意度”指标，指标预期指标值为</w:t>
      </w:r>
      <w:r>
        <w:rPr>
          <w:rFonts w:hint="eastAsia" w:ascii="仿宋_GB2312" w:hAnsi="Times New Roman" w:cs="Times New Roman"/>
          <w:lang w:eastAsia="zh-CN"/>
        </w:rPr>
        <w:t>大于等于</w:t>
      </w:r>
      <w:r>
        <w:rPr>
          <w:rFonts w:hint="eastAsia" w:ascii="仿宋_GB2312" w:hAnsi="Times New Roman" w:cs="Times New Roman"/>
        </w:rPr>
        <w:t>95%，实际完成值为95%，指标完成率为100.00%。所设分值10分，实际得分10分。</w:t>
      </w:r>
    </w:p>
    <w:p w14:paraId="16DA0D56">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项目实施完成后我单位就该项目的满意度采取抽样发放调查问卷的方式开展调查，通过对调查问卷的梳理和统计，项目区受益村满意度指标综合满意率为95.00%。</w:t>
      </w:r>
    </w:p>
    <w:p w14:paraId="0E6BB138">
      <w:pPr>
        <w:pStyle w:val="29"/>
        <w:spacing w:before="120"/>
        <w:ind w:left="0" w:leftChars="0" w:right="3" w:firstLine="562" w:firstLineChars="200"/>
        <w:rPr>
          <w:rFonts w:hint="eastAsia" w:ascii="宋体" w:hAnsi="宋体"/>
        </w:rPr>
      </w:pPr>
      <w:r>
        <w:rPr>
          <w:rFonts w:hint="eastAsia" w:ascii="宋体" w:hAnsi="宋体"/>
        </w:rPr>
        <w:t>四、偏离绩效目标的原因和下一步改进措施</w:t>
      </w:r>
    </w:p>
    <w:p w14:paraId="0EA4D129">
      <w:pPr>
        <w:pStyle w:val="52"/>
        <w:spacing w:line="580" w:lineRule="exact"/>
        <w:ind w:left="0" w:leftChars="0" w:right="0" w:rightChars="0" w:firstLine="560"/>
        <w:rPr>
          <w:rFonts w:hint="eastAsia" w:ascii="仿宋_GB2312" w:hAnsi="Times New Roman" w:cs="Times New Roman"/>
        </w:rPr>
      </w:pPr>
      <w:r>
        <w:rPr>
          <w:rFonts w:hint="eastAsia" w:ascii="仿宋_GB2312" w:cs="Times New Roman"/>
          <w:lang w:val="en-US" w:eastAsia="zh-CN"/>
        </w:rPr>
        <w:t>1.时效指标-</w:t>
      </w:r>
      <w:r>
        <w:rPr>
          <w:rFonts w:hint="eastAsia" w:ascii="仿宋_GB2312" w:hAnsi="Times New Roman" w:cs="Times New Roman"/>
        </w:rPr>
        <w:t>“项目完工时间”指标，预期指标值为202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5</w:t>
      </w:r>
      <w:r>
        <w:rPr>
          <w:rFonts w:hint="eastAsia" w:ascii="仿宋_GB2312" w:hAnsi="Times New Roman" w:cs="Times New Roman"/>
        </w:rPr>
        <w:t>月,全年实际值为202</w:t>
      </w:r>
      <w:r>
        <w:rPr>
          <w:rFonts w:hint="eastAsia" w:ascii="仿宋_GB2312" w:hAnsi="Times New Roman" w:cs="Times New Roman"/>
          <w:lang w:val="en-US" w:eastAsia="zh-CN"/>
        </w:rPr>
        <w:t>4</w:t>
      </w:r>
      <w:r>
        <w:rPr>
          <w:rFonts w:hint="eastAsia" w:ascii="仿宋_GB2312" w:hAnsi="Times New Roman" w:cs="Times New Roman"/>
        </w:rPr>
        <w:t>年</w:t>
      </w:r>
      <w:r>
        <w:rPr>
          <w:rFonts w:hint="eastAsia" w:ascii="仿宋_GB2312" w:hAnsi="Times New Roman" w:cs="Times New Roman"/>
          <w:lang w:val="en-US" w:eastAsia="zh-CN"/>
        </w:rPr>
        <w:t>4</w:t>
      </w:r>
      <w:r>
        <w:rPr>
          <w:rFonts w:hint="eastAsia" w:ascii="仿宋_GB2312" w:hAnsi="Times New Roman" w:cs="Times New Roman"/>
        </w:rPr>
        <w:t>月。</w:t>
      </w:r>
      <w:r>
        <w:rPr>
          <w:rFonts w:hint="eastAsia" w:ascii="仿宋_GB2312" w:hAnsi="Times New Roman" w:cs="Times New Roman"/>
        </w:rPr>
        <w:tab/>
      </w:r>
      <w:r>
        <w:rPr>
          <w:rFonts w:hint="eastAsia" w:ascii="仿宋_GB2312" w:hAnsi="Times New Roman" w:cs="Times New Roman"/>
        </w:rPr>
        <w:t xml:space="preserve"> </w:t>
      </w:r>
    </w:p>
    <w:p w14:paraId="3F40074D">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偏差原因：项目提前完工，</w:t>
      </w:r>
    </w:p>
    <w:p w14:paraId="609A07DF">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改进措施：加强项目管理。</w:t>
      </w:r>
    </w:p>
    <w:p w14:paraId="1F5E9E57">
      <w:pPr>
        <w:pStyle w:val="52"/>
        <w:spacing w:line="580" w:lineRule="exact"/>
        <w:ind w:left="0" w:leftChars="0" w:right="0" w:rightChars="0" w:firstLine="560"/>
        <w:rPr>
          <w:rFonts w:hint="eastAsia" w:ascii="仿宋_GB2312" w:hAnsi="Times New Roman" w:cs="Times New Roman"/>
        </w:rPr>
      </w:pPr>
      <w:r>
        <w:rPr>
          <w:rFonts w:hint="eastAsia" w:ascii="仿宋_GB2312" w:cs="Times New Roman"/>
          <w:lang w:val="en-US" w:eastAsia="zh-CN"/>
        </w:rPr>
        <w:t>2.成本指标-</w:t>
      </w:r>
      <w:r>
        <w:rPr>
          <w:rFonts w:hint="eastAsia" w:ascii="仿宋_GB2312" w:hAnsi="Times New Roman" w:cs="Times New Roman"/>
        </w:rPr>
        <w:t>“建筑工程费用”指标，预期指标值为</w:t>
      </w:r>
      <w:r>
        <w:rPr>
          <w:rFonts w:hint="eastAsia" w:ascii="仿宋_GB2312" w:hAnsi="Times New Roman" w:cs="Times New Roman"/>
          <w:lang w:eastAsia="zh-CN"/>
        </w:rPr>
        <w:t>小于等于</w:t>
      </w:r>
      <w:r>
        <w:rPr>
          <w:rFonts w:hint="eastAsia" w:ascii="仿宋_GB2312" w:hAnsi="Times New Roman" w:cs="Times New Roman"/>
          <w:lang w:val="en-US" w:eastAsia="zh-CN"/>
        </w:rPr>
        <w:t>67.62</w:t>
      </w:r>
      <w:r>
        <w:rPr>
          <w:rFonts w:hint="eastAsia" w:ascii="仿宋_GB2312" w:hAnsi="Times New Roman" w:cs="Times New Roman"/>
        </w:rPr>
        <w:t>万元, 全年实际值为</w:t>
      </w:r>
      <w:r>
        <w:rPr>
          <w:rFonts w:hint="eastAsia" w:ascii="仿宋_GB2312" w:hAnsi="Times New Roman" w:cs="Times New Roman"/>
          <w:lang w:val="en-US" w:eastAsia="zh-CN"/>
        </w:rPr>
        <w:t>62.52</w:t>
      </w:r>
      <w:r>
        <w:rPr>
          <w:rFonts w:hint="eastAsia" w:ascii="仿宋_GB2312" w:hAnsi="Times New Roman" w:cs="Times New Roman"/>
        </w:rPr>
        <w:t>万元。</w:t>
      </w:r>
    </w:p>
    <w:p w14:paraId="4EA8E292">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偏差原因：项目已完工，经结算审定投资为73.64万元，截止2024年12月底已支付70.34万元，剩余资金待支付。</w:t>
      </w:r>
    </w:p>
    <w:p w14:paraId="4B0E6956">
      <w:pPr>
        <w:pStyle w:val="52"/>
        <w:spacing w:line="580" w:lineRule="exact"/>
        <w:ind w:left="0" w:leftChars="0" w:right="0" w:rightChars="0" w:firstLine="560"/>
        <w:rPr>
          <w:rFonts w:hint="eastAsia" w:ascii="仿宋_GB2312" w:hAnsi="Times New Roman" w:cs="Times New Roman"/>
        </w:rPr>
      </w:pPr>
      <w:r>
        <w:rPr>
          <w:rFonts w:hint="eastAsia" w:ascii="仿宋_GB2312" w:hAnsi="Times New Roman" w:cs="Times New Roman"/>
        </w:rPr>
        <w:t>改进措施：加强项目管理，加快资金支付进度。</w:t>
      </w:r>
    </w:p>
    <w:p w14:paraId="3842E563">
      <w:pPr>
        <w:pStyle w:val="52"/>
        <w:spacing w:line="580" w:lineRule="exact"/>
        <w:ind w:left="0" w:leftChars="0" w:right="0" w:rightChars="0" w:firstLine="560"/>
        <w:rPr>
          <w:rFonts w:hint="eastAsia" w:ascii="仿宋_GB2312" w:hAnsi="Times New Roman" w:cs="Times New Roman"/>
        </w:rPr>
      </w:pPr>
      <w:r>
        <w:rPr>
          <w:rFonts w:hint="eastAsia" w:ascii="仿宋_GB2312" w:cs="Times New Roman"/>
          <w:lang w:val="en-US" w:eastAsia="zh-CN"/>
        </w:rPr>
        <w:t>3.成本指标-</w:t>
      </w:r>
      <w:r>
        <w:rPr>
          <w:rFonts w:hint="eastAsia" w:ascii="仿宋_GB2312" w:hAnsi="Times New Roman" w:cs="Times New Roman"/>
        </w:rPr>
        <w:t>“其他费用”指标，预期指标值为</w:t>
      </w:r>
      <w:r>
        <w:rPr>
          <w:rFonts w:hint="eastAsia" w:ascii="仿宋_GB2312" w:hAnsi="Times New Roman" w:cs="Times New Roman"/>
          <w:lang w:eastAsia="zh-CN"/>
        </w:rPr>
        <w:t>小于等于</w:t>
      </w:r>
      <w:r>
        <w:rPr>
          <w:rFonts w:hint="eastAsia" w:ascii="仿宋_GB2312" w:hAnsi="Times New Roman" w:cs="Times New Roman"/>
          <w:lang w:val="en-US" w:eastAsia="zh-CN"/>
        </w:rPr>
        <w:t>12.09</w:t>
      </w:r>
      <w:r>
        <w:rPr>
          <w:rFonts w:hint="eastAsia" w:ascii="仿宋_GB2312" w:hAnsi="Times New Roman" w:cs="Times New Roman"/>
        </w:rPr>
        <w:t>‬万元, 全年实际值为</w:t>
      </w:r>
      <w:r>
        <w:rPr>
          <w:rFonts w:hint="eastAsia" w:ascii="仿宋_GB2312" w:hAnsi="Times New Roman" w:cs="Times New Roman"/>
          <w:lang w:val="en-US" w:eastAsia="zh-CN"/>
        </w:rPr>
        <w:t>7.82</w:t>
      </w:r>
      <w:r>
        <w:rPr>
          <w:rFonts w:hint="eastAsia" w:ascii="仿宋_GB2312" w:hAnsi="Times New Roman" w:cs="Times New Roman"/>
        </w:rPr>
        <w:t>‬万元。</w:t>
      </w:r>
    </w:p>
    <w:p w14:paraId="6B751B25">
      <w:pPr>
        <w:pStyle w:val="52"/>
        <w:spacing w:line="580" w:lineRule="exact"/>
        <w:ind w:left="0" w:leftChars="0" w:right="0" w:rightChars="0" w:firstLine="560"/>
        <w:rPr>
          <w:rFonts w:hint="eastAsia" w:ascii="仿宋_GB2312" w:hAnsi="Times New Roman" w:cs="Times New Roman"/>
          <w:lang w:val="en-US" w:eastAsia="zh-CN"/>
        </w:rPr>
      </w:pPr>
      <w:r>
        <w:rPr>
          <w:rFonts w:hint="eastAsia" w:ascii="仿宋_GB2312" w:hAnsi="Times New Roman" w:cs="Times New Roman"/>
          <w:lang w:val="en-US" w:eastAsia="zh-CN"/>
        </w:rPr>
        <w:t>偏差原因：项目已完工，经结算审定投资为73.64万元，截止2024年12月底已支付70.34万元，剩余资金待支付。</w:t>
      </w:r>
    </w:p>
    <w:p w14:paraId="25A7CBB1">
      <w:pPr>
        <w:pStyle w:val="52"/>
        <w:spacing w:line="580" w:lineRule="exact"/>
        <w:ind w:left="0" w:leftChars="0" w:right="0" w:rightChars="0" w:firstLine="560"/>
        <w:rPr>
          <w:rFonts w:hint="default" w:ascii="仿宋_GB2312" w:hAnsi="Times New Roman" w:eastAsia="仿宋_GB2312" w:cs="Times New Roman"/>
          <w:lang w:val="en-US" w:eastAsia="zh-CN"/>
        </w:rPr>
      </w:pPr>
      <w:r>
        <w:rPr>
          <w:rFonts w:hint="eastAsia" w:ascii="仿宋_GB2312" w:hAnsi="Times New Roman" w:cs="Times New Roman"/>
          <w:lang w:val="en-US" w:eastAsia="zh-CN"/>
        </w:rPr>
        <w:t>改进措施：加强项目管理，加快资金支付进度</w:t>
      </w:r>
    </w:p>
    <w:p w14:paraId="69479B57">
      <w:pPr>
        <w:pStyle w:val="29"/>
        <w:spacing w:before="120"/>
        <w:ind w:left="0" w:leftChars="0" w:right="3" w:firstLine="562" w:firstLineChars="200"/>
        <w:rPr>
          <w:rFonts w:hint="eastAsia" w:ascii="宋体" w:hAnsi="宋体"/>
        </w:rPr>
      </w:pPr>
      <w:r>
        <w:rPr>
          <w:rFonts w:hint="eastAsia" w:ascii="宋体" w:hAnsi="宋体"/>
        </w:rPr>
        <w:t>五、绩效自评结果拟应用和公开情况</w:t>
      </w:r>
    </w:p>
    <w:p w14:paraId="20263BDA">
      <w:pPr>
        <w:pStyle w:val="52"/>
        <w:spacing w:line="560" w:lineRule="exact"/>
        <w:ind w:left="3" w:right="3" w:firstLine="560"/>
        <w:rPr>
          <w:rFonts w:hint="eastAsia" w:ascii="仿宋_GB2312" w:hAnsi="Times New Roman" w:cs="Times New Roman"/>
        </w:rPr>
      </w:pPr>
      <w:r>
        <w:rPr>
          <w:rFonts w:hint="eastAsia" w:ascii="仿宋_GB2312" w:hAnsi="Times New Roman" w:cs="Times New Roman"/>
        </w:rPr>
        <w:t>项目本次评价通过文件研读、实地调研、数据采集、问卷调查方式下，全面了解</w:t>
      </w:r>
      <w:r>
        <w:rPr>
          <w:rFonts w:hint="eastAsia" w:ascii="仿宋_GB2312" w:hAnsi="Times New Roman" w:cs="Times New Roman"/>
          <w:lang w:eastAsia="zh-CN"/>
        </w:rPr>
        <w:t>于田县2024年壮大村集体经济建设项目（英巴格乡）</w:t>
      </w:r>
      <w:r>
        <w:rPr>
          <w:rFonts w:hint="eastAsia" w:ascii="仿宋_GB2312" w:hAnsi="Times New Roman" w:cs="Times New Roman"/>
        </w:rPr>
        <w:t>资金的使用效率和效果，从而得出以下综合评价结论：在绩效目标方面，本项目共设置</w:t>
      </w:r>
      <w:r>
        <w:rPr>
          <w:rFonts w:hint="eastAsia" w:ascii="仿宋_GB2312" w:hAnsi="Times New Roman" w:cs="Times New Roman"/>
          <w:lang w:eastAsia="zh-CN"/>
        </w:rPr>
        <w:t>一级指标3个，二级指标6个，三级指标11个</w:t>
      </w:r>
      <w:r>
        <w:rPr>
          <w:rFonts w:hint="eastAsia" w:ascii="仿宋_GB2312" w:hAnsi="Times New Roman" w:cs="Times New Roman"/>
        </w:rPr>
        <w:t>，其中已完成三级指标</w:t>
      </w:r>
      <w:r>
        <w:rPr>
          <w:rFonts w:hint="eastAsia" w:ascii="仿宋_GB2312" w:hAnsi="Times New Roman" w:cs="Times New Roman"/>
          <w:lang w:val="en-US" w:eastAsia="zh-CN"/>
        </w:rPr>
        <w:t>8</w:t>
      </w:r>
      <w:r>
        <w:rPr>
          <w:rFonts w:hint="eastAsia" w:ascii="仿宋_GB2312" w:hAnsi="Times New Roman" w:cs="Times New Roman"/>
        </w:rPr>
        <w:t>个，指标完成率为</w:t>
      </w:r>
      <w:r>
        <w:rPr>
          <w:rFonts w:hint="eastAsia" w:ascii="仿宋_GB2312" w:cs="Times New Roman"/>
          <w:lang w:val="en-US" w:eastAsia="zh-CN"/>
        </w:rPr>
        <w:t>72.73</w:t>
      </w:r>
      <w:r>
        <w:rPr>
          <w:rFonts w:hint="eastAsia" w:ascii="仿宋_GB2312" w:hAnsi="Times New Roman" w:cs="Times New Roman"/>
        </w:rPr>
        <w:t>%；在资金使用方面，严格按照《于田县扶贫资金财务管理制度》、《</w:t>
      </w:r>
      <w:r>
        <w:rPr>
          <w:rFonts w:hint="eastAsia" w:ascii="仿宋_GB2312" w:hAnsi="Times New Roman" w:cs="Times New Roman"/>
          <w:lang w:val="en-US" w:eastAsia="zh-CN"/>
        </w:rPr>
        <w:t>于田县财政局</w:t>
      </w:r>
      <w:r>
        <w:rPr>
          <w:rFonts w:hint="eastAsia" w:ascii="仿宋_GB2312" w:hAnsi="Times New Roman" w:cs="Times New Roman"/>
        </w:rPr>
        <w:t>财务管理制度》执行，保障了资金使用规范、安全，无挪用、截留资金的情况发生。在项目管理方面，制定了《</w:t>
      </w:r>
      <w:r>
        <w:rPr>
          <w:rFonts w:hint="eastAsia" w:ascii="仿宋_GB2312" w:hAnsi="Times New Roman" w:cs="Times New Roman"/>
          <w:lang w:eastAsia="zh-CN"/>
        </w:rPr>
        <w:t>于田县2024年壮大村集体经济建设项目（英巴格乡）</w:t>
      </w:r>
      <w:r>
        <w:rPr>
          <w:rFonts w:hint="eastAsia" w:ascii="仿宋_GB2312" w:hAnsi="Times New Roman" w:cs="Times New Roman"/>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1367B311">
      <w:pPr>
        <w:pStyle w:val="52"/>
        <w:spacing w:line="560" w:lineRule="exact"/>
        <w:ind w:left="3" w:right="3" w:firstLine="560"/>
        <w:rPr>
          <w:rFonts w:hint="eastAsia" w:ascii="仿宋_GB2312" w:hAnsi="Times New Roman" w:cs="Times New Roman"/>
        </w:rPr>
      </w:pPr>
      <w:r>
        <w:rPr>
          <w:rFonts w:hint="eastAsia" w:ascii="仿宋_GB2312" w:hAnsi="Times New Roman" w:cs="Times New Roman"/>
        </w:rPr>
        <w:t>项目最终得分为</w:t>
      </w:r>
      <w:r>
        <w:rPr>
          <w:rFonts w:hint="eastAsia" w:ascii="仿宋_GB2312" w:hAnsi="Times New Roman" w:cs="Times New Roman"/>
          <w:lang w:val="en-US" w:eastAsia="zh-CN"/>
        </w:rPr>
        <w:t>96.24</w:t>
      </w:r>
      <w:r>
        <w:rPr>
          <w:rFonts w:hint="eastAsia" w:ascii="仿宋_GB2312" w:hAnsi="Times New Roman" w:cs="Times New Roman"/>
        </w:rPr>
        <w:t>分，评价等级为优。</w:t>
      </w:r>
    </w:p>
    <w:p w14:paraId="70B57032">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（一）绩效自评结果拟应用情况</w:t>
      </w:r>
    </w:p>
    <w:p w14:paraId="3578F347">
      <w:pPr>
        <w:pStyle w:val="52"/>
        <w:spacing w:line="560" w:lineRule="exact"/>
        <w:ind w:left="3" w:right="3" w:firstLine="560"/>
        <w:rPr>
          <w:rFonts w:hint="eastAsia" w:ascii="仿宋_GB2312" w:hAnsi="Times New Roman" w:cs="Times New Roman"/>
        </w:rPr>
      </w:pPr>
      <w:r>
        <w:rPr>
          <w:rFonts w:hint="eastAsia" w:ascii="仿宋_GB2312" w:hAnsi="Times New Roman" w:cs="Times New Roman"/>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B8B4FA2">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（二）指标佐证材料说明</w:t>
      </w:r>
    </w:p>
    <w:p w14:paraId="535D7097">
      <w:pPr>
        <w:pStyle w:val="52"/>
        <w:spacing w:line="560" w:lineRule="exact"/>
        <w:ind w:left="3" w:right="3" w:firstLine="560"/>
        <w:rPr>
          <w:rFonts w:hint="eastAsia" w:ascii="仿宋_GB2312" w:hAnsi="Times New Roman" w:cs="Times New Roman"/>
        </w:rPr>
      </w:pPr>
      <w:r>
        <w:rPr>
          <w:rFonts w:hint="eastAsia" w:ascii="仿宋_GB2312" w:hAnsi="Times New Roman" w:cs="Times New Roman"/>
        </w:rPr>
        <w:t>项目状况：该项目由</w:t>
      </w:r>
      <w:r>
        <w:rPr>
          <w:rFonts w:hint="eastAsia" w:ascii="仿宋_GB2312" w:hAnsi="Times New Roman" w:cs="Times New Roman"/>
          <w:lang w:val="en-US" w:eastAsia="zh-CN"/>
        </w:rPr>
        <w:t>于田县英巴格乡人民政府</w:t>
      </w:r>
      <w:r>
        <w:rPr>
          <w:rFonts w:hint="eastAsia" w:ascii="仿宋_GB2312" w:hAnsi="Times New Roman" w:cs="Times New Roman"/>
        </w:rPr>
        <w:t>负责项目的实施方案，并由</w:t>
      </w:r>
      <w:r>
        <w:rPr>
          <w:rFonts w:hint="eastAsia" w:ascii="仿宋_GB2312" w:hAnsi="Times New Roman" w:cs="Times New Roman"/>
          <w:lang w:val="en-US" w:eastAsia="zh-CN"/>
        </w:rPr>
        <w:t>于田县农业农村局、财政局下发的《于田县2024年壮大村集体经济建设项目（英巴格乡）的批复》（于农村项目〔2024〕005号）</w:t>
      </w:r>
      <w:r>
        <w:rPr>
          <w:rFonts w:hint="eastAsia" w:ascii="仿宋_GB2312" w:hAnsi="Times New Roman" w:cs="Times New Roman"/>
        </w:rPr>
        <w:t>。</w:t>
      </w:r>
    </w:p>
    <w:p w14:paraId="0909E620">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rPr>
        <w:t>资金状况：预算资金来源为</w:t>
      </w:r>
      <w:r>
        <w:rPr>
          <w:rFonts w:hint="eastAsia" w:ascii="仿宋_GB2312" w:hAnsi="Times New Roman" w:cs="Times New Roman"/>
          <w:lang w:val="en-US" w:eastAsia="zh-CN"/>
        </w:rPr>
        <w:t>乡村振兴衔接</w:t>
      </w:r>
      <w:r>
        <w:rPr>
          <w:rFonts w:hint="eastAsia" w:ascii="仿宋_GB2312" w:hAnsi="Times New Roman" w:cs="Times New Roman"/>
        </w:rPr>
        <w:t>资金，文件依据：</w:t>
      </w:r>
      <w:r>
        <w:rPr>
          <w:rFonts w:hint="eastAsia" w:ascii="仿宋_GB2312" w:hAnsi="Times New Roman" w:cs="Times New Roman"/>
          <w:lang w:val="en-US" w:eastAsia="zh-CN"/>
        </w:rPr>
        <w:t>于田县农业农村局、财政局下发的《于田县2024年壮大村集体经济建设项目（英巴格乡）的批复》（于农村项目〔2024〕005号）。</w:t>
      </w:r>
    </w:p>
    <w:p w14:paraId="702F10FF">
      <w:pPr>
        <w:pStyle w:val="52"/>
        <w:spacing w:line="560" w:lineRule="exact"/>
        <w:ind w:left="3" w:right="3" w:firstLine="560"/>
        <w:rPr>
          <w:rFonts w:hint="eastAsia" w:ascii="仿宋_GB2312" w:hAnsi="Times New Roman" w:cs="Times New Roman"/>
        </w:rPr>
      </w:pPr>
      <w:r>
        <w:rPr>
          <w:rFonts w:hint="eastAsia" w:ascii="仿宋_GB2312" w:hAnsi="Times New Roman" w:cs="Times New Roman"/>
          <w:lang w:val="en-US" w:eastAsia="zh-CN"/>
        </w:rPr>
        <w:t>过程状况：该项目于2024年2月制订初步方案并得到批复，于于田县英巴格乡人民政府于2024年2月21日在政采云通过小额工程采购确定主体工程，施工单位为新疆友联建设工程有限公司，合同价格670000元，该项目于2024年4月26日完工。</w:t>
      </w:r>
    </w:p>
    <w:p w14:paraId="440B4B06">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lang w:val="en-US" w:eastAsia="zh-CN"/>
        </w:rPr>
        <w:t>结果状况：2024年5月11日，于田县乡村振兴局，于田县农业农村局，于田县林业和草原局、于县财政局、于田县档案局、于田县县委组织部，联合竣工验收结果状况：合格。</w:t>
      </w:r>
    </w:p>
    <w:p w14:paraId="5BE4DC26">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（三）主要经验及做法</w:t>
      </w:r>
    </w:p>
    <w:p w14:paraId="0A76A2CE">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lang w:val="en-US" w:eastAsia="zh-CN"/>
        </w:rPr>
        <w:t>于田县2024年壮大村集体经济建设项目（英巴格乡）资金安排、使用过程中严格执行乡村振兴项目资金管理制度，确保乡村振兴项目正常运行为构建长效稳定奠定物质基础。</w:t>
      </w:r>
    </w:p>
    <w:p w14:paraId="431415D4">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（四）存在的问题</w:t>
      </w:r>
    </w:p>
    <w:p w14:paraId="70E68FAE">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lang w:val="en-US" w:eastAsia="zh-CN"/>
        </w:rPr>
        <w:t>于田县2024年壮大村集体经济建设项目（英巴格乡）资金安排、使用过程中存在一些问题，主要是资金申报，审批，发放过程中存在对资金拨付缓慢问题。</w:t>
      </w:r>
    </w:p>
    <w:p w14:paraId="34607768">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（五）建议</w:t>
      </w:r>
    </w:p>
    <w:p w14:paraId="4F65A6D1">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lang w:val="en-US" w:eastAsia="zh-CN"/>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5C8C1079">
      <w:pPr>
        <w:pStyle w:val="52"/>
        <w:spacing w:line="560" w:lineRule="exact"/>
        <w:ind w:left="3" w:right="3" w:firstLine="560"/>
        <w:rPr>
          <w:rFonts w:hint="eastAsia" w:ascii="仿宋_GB2312" w:hAnsi="Times New Roman" w:cs="Times New Roman"/>
          <w:b/>
          <w:bCs/>
        </w:rPr>
      </w:pPr>
      <w:r>
        <w:rPr>
          <w:rFonts w:hint="eastAsia" w:ascii="仿宋_GB2312" w:hAnsi="Times New Roman" w:cs="Times New Roman"/>
          <w:b/>
          <w:bCs/>
        </w:rPr>
        <w:t>（六）项目绩效公告公示情况</w:t>
      </w:r>
    </w:p>
    <w:p w14:paraId="49AF7E90">
      <w:pPr>
        <w:pStyle w:val="52"/>
        <w:spacing w:line="560" w:lineRule="exact"/>
        <w:ind w:left="3" w:right="3" w:firstLine="560"/>
        <w:rPr>
          <w:rFonts w:hint="eastAsia" w:ascii="仿宋_GB2312" w:hAnsi="Times New Roman" w:cs="Times New Roman"/>
          <w:lang w:val="en-US" w:eastAsia="zh-CN"/>
        </w:rPr>
      </w:pPr>
      <w:r>
        <w:rPr>
          <w:rFonts w:hint="eastAsia" w:ascii="仿宋_GB2312" w:hAnsi="Times New Roman" w:cs="Times New Roman"/>
          <w:lang w:val="en-US" w:eastAsia="zh-CN"/>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19E45330">
        <w:pPr>
          <w:pStyle w:val="13"/>
          <w:jc w:val="center"/>
        </w:pPr>
        <w:r>
          <w:fldChar w:fldCharType="begin"/>
        </w:r>
        <w:r>
          <w:instrText xml:space="preserve">PAGE   \* MERGEFORMAT</w:instrText>
        </w:r>
        <w:r>
          <w:fldChar w:fldCharType="separate"/>
        </w:r>
        <w:r>
          <w:rPr>
            <w:lang w:val="zh-CN"/>
          </w:rPr>
          <w:t>1</w:t>
        </w:r>
        <w:r>
          <w:fldChar w:fldCharType="end"/>
        </w:r>
      </w:p>
    </w:sdtContent>
  </w:sdt>
  <w:p w14:paraId="27A2C407">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DD270">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4"/>
  </w:compat>
  <w:docVars>
    <w:docVar w:name="commondata" w:val="eyJoZGlkIjoiY2RlOGExMTJjOWFmYjNiZTJjMWUwNDM2NWFmZTM5NmEifQ=="/>
  </w:docVars>
  <w:rsids>
    <w:rsidRoot w:val="00172A27"/>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8823712"/>
    <w:rsid w:val="1821652C"/>
    <w:rsid w:val="184E439E"/>
    <w:rsid w:val="1C5E7CA4"/>
    <w:rsid w:val="1E9D1CE3"/>
    <w:rsid w:val="1FB8187C"/>
    <w:rsid w:val="26254825"/>
    <w:rsid w:val="2B751E6D"/>
    <w:rsid w:val="2D8F56D8"/>
    <w:rsid w:val="2E0B3A13"/>
    <w:rsid w:val="37FF759F"/>
    <w:rsid w:val="3A0642EC"/>
    <w:rsid w:val="3E982E81"/>
    <w:rsid w:val="3F23572E"/>
    <w:rsid w:val="43AC6524"/>
    <w:rsid w:val="46C66D06"/>
    <w:rsid w:val="4E0752B5"/>
    <w:rsid w:val="4E5068ED"/>
    <w:rsid w:val="500A43FB"/>
    <w:rsid w:val="563D0624"/>
    <w:rsid w:val="599B0E44"/>
    <w:rsid w:val="5A6016D8"/>
    <w:rsid w:val="662F5AB8"/>
    <w:rsid w:val="78FA43B7"/>
    <w:rsid w:val="7BAB58C5"/>
    <w:rsid w:val="7BC6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3">
    <w:name w:val="heading 1"/>
    <w:basedOn w:val="1"/>
    <w:next w:val="1"/>
    <w:link w:val="21"/>
    <w:qFormat/>
    <w:uiPriority w:val="9"/>
    <w:pPr>
      <w:keepNext/>
      <w:keepLines/>
      <w:spacing w:before="340" w:after="330" w:line="576" w:lineRule="auto"/>
      <w:outlineLvl w:val="0"/>
    </w:pPr>
    <w:rPr>
      <w:rFonts w:cs="宋体"/>
      <w:b/>
      <w:bCs/>
      <w:kern w:val="44"/>
      <w:sz w:val="44"/>
      <w:szCs w:val="44"/>
    </w:rPr>
  </w:style>
  <w:style w:type="paragraph" w:styleId="2">
    <w:name w:val="heading 2"/>
    <w:basedOn w:val="1"/>
    <w:next w:val="1"/>
    <w:link w:val="22"/>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3"/>
    <w:qFormat/>
    <w:uiPriority w:val="9"/>
    <w:pPr>
      <w:keepNext/>
      <w:keepLines/>
      <w:spacing w:before="260" w:after="260" w:line="415" w:lineRule="auto"/>
      <w:outlineLvl w:val="2"/>
    </w:pPr>
    <w:rPr>
      <w:rFonts w:cs="宋体"/>
      <w:b/>
      <w:bCs/>
      <w:szCs w:val="32"/>
    </w:rPr>
  </w:style>
  <w:style w:type="paragraph" w:styleId="5">
    <w:name w:val="heading 4"/>
    <w:basedOn w:val="1"/>
    <w:next w:val="1"/>
    <w:link w:val="24"/>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5"/>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6"/>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2"/>
    <w:qFormat/>
    <w:uiPriority w:val="9"/>
    <w:pPr>
      <w:keepNext/>
      <w:keepLines/>
      <w:spacing w:before="240" w:after="64" w:line="320" w:lineRule="auto"/>
      <w:outlineLvl w:val="6"/>
    </w:pPr>
    <w:rPr>
      <w:b/>
      <w:bCs/>
      <w:sz w:val="24"/>
      <w:szCs w:val="24"/>
    </w:rPr>
  </w:style>
  <w:style w:type="paragraph" w:styleId="9">
    <w:name w:val="heading 8"/>
    <w:basedOn w:val="1"/>
    <w:next w:val="1"/>
    <w:link w:val="63"/>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4"/>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67"/>
    <w:semiHidden/>
    <w:unhideWhenUsed/>
    <w:qFormat/>
    <w:uiPriority w:val="99"/>
    <w:pPr>
      <w:jc w:val="left"/>
    </w:pPr>
  </w:style>
  <w:style w:type="paragraph" w:styleId="12">
    <w:name w:val="Balloon Text"/>
    <w:basedOn w:val="1"/>
    <w:link w:val="69"/>
    <w:semiHidden/>
    <w:unhideWhenUsed/>
    <w:qFormat/>
    <w:uiPriority w:val="99"/>
    <w:rPr>
      <w:sz w:val="18"/>
      <w:szCs w:val="18"/>
    </w:rPr>
  </w:style>
  <w:style w:type="paragraph" w:styleId="13">
    <w:name w:val="footer"/>
    <w:basedOn w:val="1"/>
    <w:link w:val="66"/>
    <w:unhideWhenUsed/>
    <w:qFormat/>
    <w:uiPriority w:val="99"/>
    <w:pPr>
      <w:tabs>
        <w:tab w:val="center" w:pos="4153"/>
        <w:tab w:val="right" w:pos="8306"/>
      </w:tabs>
      <w:snapToGrid w:val="0"/>
      <w:jc w:val="left"/>
    </w:pPr>
    <w:rPr>
      <w:sz w:val="18"/>
      <w:szCs w:val="18"/>
    </w:rPr>
  </w:style>
  <w:style w:type="paragraph" w:styleId="14">
    <w:name w:val="header"/>
    <w:basedOn w:val="1"/>
    <w:link w:val="6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6">
    <w:name w:val="annotation subject"/>
    <w:basedOn w:val="11"/>
    <w:next w:val="11"/>
    <w:link w:val="68"/>
    <w:semiHidden/>
    <w:unhideWhenUsed/>
    <w:qFormat/>
    <w:uiPriority w:val="99"/>
    <w:rPr>
      <w:b/>
      <w:bCs/>
    </w:rPr>
  </w:style>
  <w:style w:type="character" w:styleId="19">
    <w:name w:val="Strong"/>
    <w:basedOn w:val="18"/>
    <w:qFormat/>
    <w:uiPriority w:val="0"/>
    <w:rPr>
      <w:b/>
      <w:bCs/>
    </w:rPr>
  </w:style>
  <w:style w:type="character" w:styleId="20">
    <w:name w:val="annotation reference"/>
    <w:basedOn w:val="18"/>
    <w:semiHidden/>
    <w:unhideWhenUsed/>
    <w:qFormat/>
    <w:uiPriority w:val="99"/>
    <w:rPr>
      <w:sz w:val="21"/>
      <w:szCs w:val="21"/>
    </w:rPr>
  </w:style>
  <w:style w:type="character" w:customStyle="1" w:styleId="21">
    <w:name w:val="标题 1 Char"/>
    <w:basedOn w:val="18"/>
    <w:link w:val="3"/>
    <w:qFormat/>
    <w:locked/>
    <w:uiPriority w:val="9"/>
    <w:rPr>
      <w:b/>
      <w:bCs/>
      <w:kern w:val="44"/>
      <w:sz w:val="44"/>
      <w:szCs w:val="44"/>
    </w:rPr>
  </w:style>
  <w:style w:type="character" w:customStyle="1" w:styleId="22">
    <w:name w:val="标题 2 Char"/>
    <w:basedOn w:val="18"/>
    <w:link w:val="2"/>
    <w:semiHidden/>
    <w:qFormat/>
    <w:locked/>
    <w:uiPriority w:val="9"/>
    <w:rPr>
      <w:rFonts w:hint="eastAsia" w:asciiTheme="majorHAnsi" w:hAnsiTheme="majorHAnsi" w:eastAsiaTheme="majorEastAsia" w:cstheme="majorBidi"/>
      <w:b/>
      <w:bCs/>
      <w:sz w:val="32"/>
      <w:szCs w:val="32"/>
    </w:rPr>
  </w:style>
  <w:style w:type="character" w:customStyle="1" w:styleId="23">
    <w:name w:val="标题 3 Char"/>
    <w:basedOn w:val="18"/>
    <w:link w:val="4"/>
    <w:semiHidden/>
    <w:qFormat/>
    <w:locked/>
    <w:uiPriority w:val="9"/>
    <w:rPr>
      <w:b/>
      <w:bCs/>
      <w:sz w:val="32"/>
      <w:szCs w:val="32"/>
    </w:rPr>
  </w:style>
  <w:style w:type="character" w:customStyle="1" w:styleId="24">
    <w:name w:val="标题 4 Char"/>
    <w:basedOn w:val="18"/>
    <w:link w:val="5"/>
    <w:semiHidden/>
    <w:qFormat/>
    <w:locked/>
    <w:uiPriority w:val="9"/>
    <w:rPr>
      <w:rFonts w:hint="eastAsia" w:asciiTheme="majorHAnsi" w:hAnsiTheme="majorHAnsi" w:eastAsiaTheme="majorEastAsia" w:cstheme="majorBidi"/>
      <w:b/>
      <w:bCs/>
      <w:sz w:val="28"/>
      <w:szCs w:val="28"/>
    </w:rPr>
  </w:style>
  <w:style w:type="character" w:customStyle="1" w:styleId="25">
    <w:name w:val="标题 5 Char"/>
    <w:basedOn w:val="18"/>
    <w:link w:val="6"/>
    <w:semiHidden/>
    <w:qFormat/>
    <w:locked/>
    <w:uiPriority w:val="9"/>
    <w:rPr>
      <w:b/>
      <w:bCs/>
      <w:sz w:val="28"/>
      <w:szCs w:val="28"/>
    </w:rPr>
  </w:style>
  <w:style w:type="character" w:customStyle="1" w:styleId="26">
    <w:name w:val="FZ标题1 字符"/>
    <w:basedOn w:val="18"/>
    <w:link w:val="27"/>
    <w:qFormat/>
    <w:locked/>
    <w:uiPriority w:val="0"/>
    <w:rPr>
      <w:rFonts w:hint="eastAsia" w:ascii="宋体" w:hAnsi="宋体" w:eastAsia="宋体"/>
      <w:b/>
      <w:color w:val="000000"/>
      <w:sz w:val="32"/>
    </w:rPr>
  </w:style>
  <w:style w:type="paragraph" w:customStyle="1" w:styleId="27">
    <w:name w:val="FZ标题1"/>
    <w:basedOn w:val="3"/>
    <w:link w:val="26"/>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8">
    <w:name w:val="FZ标题2 字符"/>
    <w:basedOn w:val="18"/>
    <w:link w:val="29"/>
    <w:qFormat/>
    <w:locked/>
    <w:uiPriority w:val="0"/>
    <w:rPr>
      <w:rFonts w:eastAsia="黑体"/>
      <w:b/>
      <w:bCs/>
      <w:color w:val="000000"/>
      <w:kern w:val="2"/>
      <w:sz w:val="28"/>
      <w:szCs w:val="44"/>
    </w:rPr>
  </w:style>
  <w:style w:type="paragraph" w:customStyle="1" w:styleId="29">
    <w:name w:val="FZ标题2"/>
    <w:basedOn w:val="2"/>
    <w:link w:val="28"/>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0">
    <w:name w:val="FZ标题3 字符"/>
    <w:basedOn w:val="18"/>
    <w:link w:val="31"/>
    <w:qFormat/>
    <w:locked/>
    <w:uiPriority w:val="0"/>
    <w:rPr>
      <w:rFonts w:eastAsia="仿宋_GB2312" w:cstheme="majorBidi"/>
      <w:b/>
      <w:bCs/>
      <w:color w:val="000000"/>
      <w:kern w:val="2"/>
      <w:sz w:val="28"/>
      <w:szCs w:val="32"/>
    </w:rPr>
  </w:style>
  <w:style w:type="paragraph" w:customStyle="1" w:styleId="31">
    <w:name w:val="FZ标题3"/>
    <w:basedOn w:val="4"/>
    <w:link w:val="30"/>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2">
    <w:name w:val="FZ标题4 字符"/>
    <w:basedOn w:val="18"/>
    <w:link w:val="33"/>
    <w:qFormat/>
    <w:locked/>
    <w:uiPriority w:val="0"/>
    <w:rPr>
      <w:rFonts w:ascii="仿宋_GB2312" w:eastAsia="仿宋_GB2312"/>
      <w:bCs/>
      <w:color w:val="000000"/>
      <w:kern w:val="2"/>
      <w:sz w:val="28"/>
      <w:szCs w:val="32"/>
    </w:rPr>
  </w:style>
  <w:style w:type="paragraph" w:customStyle="1" w:styleId="33">
    <w:name w:val="FZ标题4"/>
    <w:basedOn w:val="5"/>
    <w:link w:val="32"/>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4">
    <w:name w:val="FZ标题5 字符"/>
    <w:basedOn w:val="18"/>
    <w:link w:val="35"/>
    <w:qFormat/>
    <w:locked/>
    <w:uiPriority w:val="0"/>
    <w:rPr>
      <w:rFonts w:hint="eastAsia" w:ascii="宋体" w:hAnsi="宋体" w:eastAsia="宋体" w:cstheme="majorBidi"/>
      <w:bCs/>
      <w:color w:val="000000"/>
      <w:szCs w:val="28"/>
    </w:rPr>
  </w:style>
  <w:style w:type="paragraph" w:customStyle="1" w:styleId="35">
    <w:name w:val="FZ标题5"/>
    <w:basedOn w:val="6"/>
    <w:link w:val="34"/>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6">
    <w:name w:val="标题 6 Char"/>
    <w:basedOn w:val="18"/>
    <w:link w:val="7"/>
    <w:semiHidden/>
    <w:qFormat/>
    <w:uiPriority w:val="9"/>
    <w:rPr>
      <w:rFonts w:asciiTheme="majorHAnsi" w:hAnsiTheme="majorHAnsi" w:eastAsiaTheme="majorEastAsia" w:cstheme="majorBidi"/>
      <w:b/>
      <w:bCs/>
      <w:kern w:val="2"/>
      <w:sz w:val="24"/>
      <w:szCs w:val="24"/>
    </w:rPr>
  </w:style>
  <w:style w:type="character" w:customStyle="1" w:styleId="37">
    <w:name w:val="FZ标题6 字符"/>
    <w:basedOn w:val="18"/>
    <w:link w:val="38"/>
    <w:qFormat/>
    <w:locked/>
    <w:uiPriority w:val="0"/>
    <w:rPr>
      <w:rFonts w:hint="eastAsia" w:ascii="宋体" w:hAnsi="宋体" w:eastAsia="宋体"/>
      <w:bCs/>
      <w:color w:val="000000"/>
      <w:szCs w:val="28"/>
    </w:rPr>
  </w:style>
  <w:style w:type="paragraph" w:customStyle="1" w:styleId="38">
    <w:name w:val="FZ标题6"/>
    <w:basedOn w:val="7"/>
    <w:link w:val="37"/>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39">
    <w:name w:val="FZ表格标题行首列 字符"/>
    <w:basedOn w:val="18"/>
    <w:link w:val="40"/>
    <w:qFormat/>
    <w:locked/>
    <w:uiPriority w:val="0"/>
    <w:rPr>
      <w:rFonts w:hint="eastAsia" w:ascii="宋体" w:hAnsi="宋体" w:eastAsia="宋体"/>
      <w:color w:val="000000"/>
      <w:sz w:val="18"/>
    </w:rPr>
  </w:style>
  <w:style w:type="paragraph" w:customStyle="1" w:styleId="40">
    <w:name w:val="FZ表格标题行首列"/>
    <w:basedOn w:val="1"/>
    <w:link w:val="39"/>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1">
    <w:name w:val="FZ表格标题行 字符"/>
    <w:basedOn w:val="18"/>
    <w:link w:val="42"/>
    <w:qFormat/>
    <w:locked/>
    <w:uiPriority w:val="0"/>
    <w:rPr>
      <w:rFonts w:hint="eastAsia" w:ascii="宋体" w:hAnsi="宋体" w:eastAsia="宋体"/>
      <w:color w:val="000000"/>
      <w:sz w:val="18"/>
    </w:rPr>
  </w:style>
  <w:style w:type="paragraph" w:customStyle="1" w:styleId="42">
    <w:name w:val="FZ表格标题行"/>
    <w:basedOn w:val="1"/>
    <w:link w:val="41"/>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3">
    <w:name w:val="FZ表格正文行首列 字符"/>
    <w:basedOn w:val="18"/>
    <w:link w:val="44"/>
    <w:qFormat/>
    <w:locked/>
    <w:uiPriority w:val="0"/>
    <w:rPr>
      <w:rFonts w:hint="eastAsia" w:ascii="宋体" w:hAnsi="宋体" w:eastAsia="宋体"/>
      <w:color w:val="000000"/>
      <w:sz w:val="18"/>
    </w:rPr>
  </w:style>
  <w:style w:type="paragraph" w:customStyle="1" w:styleId="44">
    <w:name w:val="FZ表格正文行首列"/>
    <w:basedOn w:val="1"/>
    <w:link w:val="43"/>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5">
    <w:name w:val="FZ表格正文行 字符"/>
    <w:basedOn w:val="18"/>
    <w:link w:val="46"/>
    <w:qFormat/>
    <w:locked/>
    <w:uiPriority w:val="0"/>
    <w:rPr>
      <w:rFonts w:hint="eastAsia" w:ascii="宋体" w:hAnsi="宋体" w:eastAsia="宋体"/>
      <w:color w:val="000000"/>
      <w:sz w:val="18"/>
    </w:rPr>
  </w:style>
  <w:style w:type="paragraph" w:customStyle="1" w:styleId="46">
    <w:name w:val="FZ表格正文行"/>
    <w:basedOn w:val="1"/>
    <w:link w:val="45"/>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7">
    <w:name w:val="FZ表格合计行首列 字符"/>
    <w:basedOn w:val="18"/>
    <w:link w:val="48"/>
    <w:qFormat/>
    <w:locked/>
    <w:uiPriority w:val="0"/>
    <w:rPr>
      <w:rFonts w:hint="eastAsia" w:ascii="宋体" w:hAnsi="宋体" w:eastAsia="宋体"/>
      <w:color w:val="000000"/>
      <w:sz w:val="18"/>
    </w:rPr>
  </w:style>
  <w:style w:type="paragraph" w:customStyle="1" w:styleId="48">
    <w:name w:val="FZ表格合计行首列"/>
    <w:basedOn w:val="1"/>
    <w:link w:val="47"/>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9">
    <w:name w:val="FZ表格合计行 字符"/>
    <w:basedOn w:val="18"/>
    <w:link w:val="50"/>
    <w:qFormat/>
    <w:locked/>
    <w:uiPriority w:val="0"/>
    <w:rPr>
      <w:rFonts w:hint="eastAsia" w:ascii="宋体" w:hAnsi="宋体" w:eastAsia="宋体"/>
      <w:color w:val="000000"/>
      <w:sz w:val="18"/>
    </w:rPr>
  </w:style>
  <w:style w:type="paragraph" w:customStyle="1" w:styleId="50">
    <w:name w:val="FZ表格合计行"/>
    <w:basedOn w:val="1"/>
    <w:link w:val="49"/>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1">
    <w:name w:val="FZ正文 字符"/>
    <w:basedOn w:val="18"/>
    <w:link w:val="52"/>
    <w:qFormat/>
    <w:locked/>
    <w:uiPriority w:val="0"/>
    <w:rPr>
      <w:rFonts w:ascii="Times New Roman" w:hAnsi="Times New Roman" w:eastAsia="仿宋_GB2312" w:cs="Times New Roman"/>
      <w:color w:val="000000"/>
      <w:kern w:val="2"/>
      <w:sz w:val="28"/>
      <w:szCs w:val="22"/>
    </w:rPr>
  </w:style>
  <w:style w:type="paragraph" w:customStyle="1" w:styleId="52">
    <w:name w:val="FZ正文"/>
    <w:basedOn w:val="1"/>
    <w:link w:val="51"/>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3">
    <w:name w:val="FZ副标题 字符"/>
    <w:basedOn w:val="18"/>
    <w:link w:val="54"/>
    <w:qFormat/>
    <w:locked/>
    <w:uiPriority w:val="0"/>
    <w:rPr>
      <w:rFonts w:hint="eastAsia" w:ascii="宋体" w:hAnsi="宋体" w:eastAsia="宋体"/>
      <w:color w:val="000000"/>
    </w:rPr>
  </w:style>
  <w:style w:type="paragraph" w:customStyle="1" w:styleId="54">
    <w:name w:val="FZ副标题"/>
    <w:basedOn w:val="1"/>
    <w:link w:val="53"/>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5">
    <w:name w:val="FZ落款 字符"/>
    <w:basedOn w:val="18"/>
    <w:link w:val="56"/>
    <w:qFormat/>
    <w:locked/>
    <w:uiPriority w:val="0"/>
    <w:rPr>
      <w:rFonts w:hint="eastAsia" w:ascii="宋体" w:hAnsi="宋体" w:eastAsia="宋体"/>
      <w:color w:val="000000"/>
    </w:rPr>
  </w:style>
  <w:style w:type="paragraph" w:customStyle="1" w:styleId="56">
    <w:name w:val="FZ落款"/>
    <w:basedOn w:val="1"/>
    <w:link w:val="55"/>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7">
    <w:name w:val="FZ注释 字符"/>
    <w:basedOn w:val="18"/>
    <w:link w:val="58"/>
    <w:qFormat/>
    <w:locked/>
    <w:uiPriority w:val="0"/>
    <w:rPr>
      <w:rFonts w:hint="eastAsia" w:ascii="宋体" w:hAnsi="宋体" w:eastAsia="宋体"/>
      <w:color w:val="000000"/>
      <w:sz w:val="18"/>
    </w:rPr>
  </w:style>
  <w:style w:type="paragraph" w:customStyle="1" w:styleId="58">
    <w:name w:val="FZ注释"/>
    <w:basedOn w:val="1"/>
    <w:link w:val="57"/>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59">
    <w:name w:val="FZ小标题 字符"/>
    <w:basedOn w:val="18"/>
    <w:link w:val="60"/>
    <w:qFormat/>
    <w:locked/>
    <w:uiPriority w:val="0"/>
    <w:rPr>
      <w:rFonts w:hint="eastAsia" w:ascii="宋体" w:hAnsi="宋体" w:eastAsia="宋体"/>
      <w:color w:val="000000"/>
      <w:sz w:val="18"/>
    </w:rPr>
  </w:style>
  <w:style w:type="paragraph" w:customStyle="1" w:styleId="60">
    <w:name w:val="FZ小标题"/>
    <w:basedOn w:val="1"/>
    <w:link w:val="59"/>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1">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2">
    <w:name w:val="标题 7 Char"/>
    <w:basedOn w:val="18"/>
    <w:link w:val="8"/>
    <w:semiHidden/>
    <w:qFormat/>
    <w:uiPriority w:val="9"/>
    <w:rPr>
      <w:rFonts w:asciiTheme="minorHAnsi" w:hAnsiTheme="minorHAnsi" w:eastAsiaTheme="minorEastAsia"/>
      <w:b/>
      <w:bCs/>
      <w:kern w:val="2"/>
      <w:sz w:val="24"/>
      <w:szCs w:val="24"/>
    </w:rPr>
  </w:style>
  <w:style w:type="character" w:customStyle="1" w:styleId="63">
    <w:name w:val="标题 8 Char"/>
    <w:basedOn w:val="18"/>
    <w:link w:val="9"/>
    <w:semiHidden/>
    <w:qFormat/>
    <w:uiPriority w:val="9"/>
    <w:rPr>
      <w:rFonts w:asciiTheme="majorHAnsi" w:hAnsiTheme="majorHAnsi" w:eastAsiaTheme="majorEastAsia" w:cstheme="majorBidi"/>
      <w:kern w:val="2"/>
      <w:sz w:val="24"/>
      <w:szCs w:val="24"/>
    </w:rPr>
  </w:style>
  <w:style w:type="character" w:customStyle="1" w:styleId="64">
    <w:name w:val="标题 9 Char"/>
    <w:basedOn w:val="18"/>
    <w:link w:val="10"/>
    <w:semiHidden/>
    <w:qFormat/>
    <w:uiPriority w:val="9"/>
    <w:rPr>
      <w:rFonts w:asciiTheme="majorHAnsi" w:hAnsiTheme="majorHAnsi" w:eastAsiaTheme="majorEastAsia" w:cstheme="majorBidi"/>
      <w:kern w:val="2"/>
      <w:sz w:val="21"/>
      <w:szCs w:val="21"/>
    </w:rPr>
  </w:style>
  <w:style w:type="character" w:customStyle="1" w:styleId="65">
    <w:name w:val="页眉 Char"/>
    <w:basedOn w:val="18"/>
    <w:link w:val="14"/>
    <w:qFormat/>
    <w:uiPriority w:val="99"/>
    <w:rPr>
      <w:rFonts w:asciiTheme="minorHAnsi" w:hAnsiTheme="minorHAnsi" w:eastAsiaTheme="minorEastAsia"/>
      <w:kern w:val="2"/>
      <w:sz w:val="18"/>
      <w:szCs w:val="18"/>
    </w:rPr>
  </w:style>
  <w:style w:type="character" w:customStyle="1" w:styleId="66">
    <w:name w:val="页脚 Char"/>
    <w:basedOn w:val="18"/>
    <w:link w:val="13"/>
    <w:qFormat/>
    <w:uiPriority w:val="99"/>
    <w:rPr>
      <w:rFonts w:asciiTheme="minorHAnsi" w:hAnsiTheme="minorHAnsi" w:eastAsiaTheme="minorEastAsia"/>
      <w:kern w:val="2"/>
      <w:sz w:val="18"/>
      <w:szCs w:val="18"/>
    </w:rPr>
  </w:style>
  <w:style w:type="character" w:customStyle="1" w:styleId="67">
    <w:name w:val="批注文字 Char"/>
    <w:basedOn w:val="18"/>
    <w:link w:val="11"/>
    <w:semiHidden/>
    <w:qFormat/>
    <w:uiPriority w:val="99"/>
    <w:rPr>
      <w:rFonts w:asciiTheme="minorHAnsi" w:hAnsiTheme="minorHAnsi" w:eastAsiaTheme="minorEastAsia"/>
      <w:kern w:val="2"/>
      <w:sz w:val="21"/>
      <w:szCs w:val="22"/>
    </w:rPr>
  </w:style>
  <w:style w:type="character" w:customStyle="1" w:styleId="68">
    <w:name w:val="批注主题 Char"/>
    <w:basedOn w:val="67"/>
    <w:link w:val="16"/>
    <w:semiHidden/>
    <w:qFormat/>
    <w:uiPriority w:val="99"/>
    <w:rPr>
      <w:rFonts w:asciiTheme="minorHAnsi" w:hAnsiTheme="minorHAnsi" w:eastAsiaTheme="minorEastAsia"/>
      <w:b/>
      <w:bCs/>
      <w:kern w:val="2"/>
      <w:sz w:val="21"/>
      <w:szCs w:val="22"/>
    </w:rPr>
  </w:style>
  <w:style w:type="character" w:customStyle="1" w:styleId="69">
    <w:name w:val="批注框文本 Char"/>
    <w:basedOn w:val="18"/>
    <w:link w:val="12"/>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7047</Words>
  <Characters>7636</Characters>
  <Lines>9</Lines>
  <Paragraphs>15</Paragraphs>
  <TotalTime>3</TotalTime>
  <ScaleCrop>false</ScaleCrop>
  <LinksUpToDate>false</LinksUpToDate>
  <CharactersWithSpaces>7791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2025-12-15T09:38:54Z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D8042D538B4E4757846D3CB2238C52CD_12</vt:lpwstr>
  </property>
  <property fmtid="{D5CDD505-2E9C-101B-9397-08002B2CF9AE}" pid="4" name="KSOTemplateDocerSaveRecord">
    <vt:lpwstr>eyJoZGlkIjoiY2RlOGExMTJjOWFmYjNiZTJjMWUwNDM2NWFmZTM5NmEiLCJ1c2VySWQiOiIxMTAwNDE5NzU4In0=</vt:lpwstr>
  </property>
</Properties>
</file>