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87F706">
      <w:pPr>
        <w:spacing w:before="120" w:after="120" w:line="480" w:lineRule="auto"/>
        <w:ind w:firstLine="883" w:firstLineChars="200"/>
        <w:jc w:val="center"/>
        <w:outlineLvl w:val="0"/>
        <w:rPr>
          <w:rFonts w:ascii="仿宋_GB2312" w:hAnsi="Arial"/>
          <w:b/>
          <w:color w:val="auto"/>
          <w:sz w:val="44"/>
          <w:szCs w:val="44"/>
          <w:highlight w:val="none"/>
        </w:rPr>
      </w:pPr>
    </w:p>
    <w:p w14:paraId="549A93DA">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27C0B966">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2DD529EC">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363A075D">
      <w:pPr>
        <w:spacing w:line="540" w:lineRule="exact"/>
        <w:ind w:firstLine="600" w:firstLineChars="200"/>
        <w:jc w:val="center"/>
        <w:rPr>
          <w:rFonts w:hAnsi="宋体" w:cs="宋体"/>
          <w:color w:val="auto"/>
          <w:kern w:val="0"/>
          <w:sz w:val="30"/>
          <w:szCs w:val="30"/>
          <w:highlight w:val="none"/>
        </w:rPr>
      </w:pPr>
    </w:p>
    <w:p w14:paraId="58B1F2A3">
      <w:pPr>
        <w:spacing w:line="540" w:lineRule="exact"/>
        <w:ind w:firstLine="600" w:firstLineChars="200"/>
        <w:jc w:val="center"/>
        <w:rPr>
          <w:rFonts w:hAnsi="宋体" w:cs="宋体"/>
          <w:color w:val="auto"/>
          <w:kern w:val="0"/>
          <w:sz w:val="30"/>
          <w:szCs w:val="30"/>
          <w:highlight w:val="none"/>
        </w:rPr>
      </w:pPr>
    </w:p>
    <w:p w14:paraId="7F7C4F46">
      <w:pPr>
        <w:spacing w:line="540" w:lineRule="exact"/>
        <w:ind w:firstLine="600" w:firstLineChars="200"/>
        <w:jc w:val="center"/>
        <w:rPr>
          <w:rFonts w:hAnsi="宋体" w:cs="宋体"/>
          <w:color w:val="auto"/>
          <w:kern w:val="0"/>
          <w:sz w:val="30"/>
          <w:szCs w:val="30"/>
          <w:highlight w:val="none"/>
        </w:rPr>
      </w:pPr>
    </w:p>
    <w:p w14:paraId="5248B0A6">
      <w:pPr>
        <w:spacing w:line="540" w:lineRule="exact"/>
        <w:ind w:firstLine="600" w:firstLineChars="200"/>
        <w:jc w:val="center"/>
        <w:rPr>
          <w:rFonts w:hAnsi="宋体" w:cs="宋体"/>
          <w:color w:val="auto"/>
          <w:kern w:val="0"/>
          <w:sz w:val="30"/>
          <w:szCs w:val="30"/>
          <w:highlight w:val="none"/>
        </w:rPr>
      </w:pPr>
    </w:p>
    <w:p w14:paraId="0C4FD0B5">
      <w:pPr>
        <w:spacing w:line="540" w:lineRule="exact"/>
        <w:ind w:firstLine="600" w:firstLineChars="200"/>
        <w:rPr>
          <w:rFonts w:hAnsi="宋体" w:cs="宋体"/>
          <w:color w:val="auto"/>
          <w:kern w:val="0"/>
          <w:sz w:val="30"/>
          <w:szCs w:val="30"/>
          <w:highlight w:val="none"/>
        </w:rPr>
      </w:pPr>
    </w:p>
    <w:p w14:paraId="0B667B41">
      <w:pPr>
        <w:spacing w:line="540" w:lineRule="exact"/>
        <w:ind w:firstLine="600" w:firstLineChars="200"/>
        <w:rPr>
          <w:rFonts w:hAnsi="宋体" w:cs="宋体"/>
          <w:color w:val="auto"/>
          <w:kern w:val="0"/>
          <w:sz w:val="30"/>
          <w:szCs w:val="30"/>
          <w:highlight w:val="none"/>
        </w:rPr>
      </w:pPr>
    </w:p>
    <w:p w14:paraId="42D7B4E9">
      <w:pPr>
        <w:spacing w:line="360" w:lineRule="auto"/>
        <w:ind w:left="640" w:leftChars="200" w:firstLine="640" w:firstLineChars="200"/>
        <w:rPr>
          <w:rFonts w:ascii="仿宋" w:hAnsi="仿宋" w:eastAsia="仿宋" w:cs="仿宋"/>
          <w:color w:val="auto"/>
          <w:szCs w:val="32"/>
          <w:highlight w:val="none"/>
        </w:rPr>
      </w:pPr>
    </w:p>
    <w:p w14:paraId="36FFDE31">
      <w:pPr>
        <w:spacing w:line="360" w:lineRule="auto"/>
        <w:ind w:left="640" w:leftChars="200" w:firstLine="640" w:firstLineChars="200"/>
        <w:rPr>
          <w:rFonts w:ascii="仿宋" w:hAnsi="仿宋" w:eastAsia="仿宋" w:cs="仿宋"/>
          <w:color w:val="auto"/>
          <w:szCs w:val="32"/>
          <w:highlight w:val="none"/>
        </w:rPr>
      </w:pPr>
    </w:p>
    <w:p w14:paraId="2746724F">
      <w:pPr>
        <w:spacing w:line="560" w:lineRule="exact"/>
        <w:ind w:left="640" w:leftChars="200" w:firstLine="640" w:firstLineChars="200"/>
        <w:rPr>
          <w:rFonts w:ascii="仿宋" w:hAnsi="仿宋" w:eastAsia="仿宋" w:cs="仿宋"/>
          <w:color w:val="auto"/>
          <w:szCs w:val="32"/>
          <w:highlight w:val="none"/>
        </w:rPr>
      </w:pPr>
    </w:p>
    <w:p w14:paraId="20552681">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color w:val="auto"/>
          <w:szCs w:val="32"/>
          <w:highlight w:val="none"/>
          <w:lang w:eastAsia="zh-CN"/>
        </w:rPr>
        <w:t>：</w:t>
      </w:r>
      <w:r>
        <w:rPr>
          <w:rFonts w:hint="eastAsia" w:ascii="仿宋" w:hAnsi="仿宋" w:eastAsia="仿宋" w:cs="仿宋"/>
          <w:color w:val="auto"/>
          <w:szCs w:val="32"/>
          <w:highlight w:val="none"/>
        </w:rPr>
        <w:t>于田县木尕拉镇2024年壮大村集体经济建设项目</w:t>
      </w:r>
    </w:p>
    <w:p w14:paraId="1C7B711A">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实施单位(公章):于田县木尕拉镇人民政府</w:t>
      </w:r>
    </w:p>
    <w:p w14:paraId="707A6C13">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主管部门(公章):于田县</w:t>
      </w:r>
      <w:r>
        <w:rPr>
          <w:rFonts w:hint="eastAsia" w:ascii="仿宋" w:hAnsi="仿宋" w:eastAsia="仿宋" w:cs="仿宋"/>
          <w:color w:val="auto"/>
          <w:szCs w:val="32"/>
          <w:highlight w:val="none"/>
          <w:lang w:val="en-US" w:eastAsia="zh-CN"/>
        </w:rPr>
        <w:t>农业农村</w:t>
      </w:r>
      <w:r>
        <w:rPr>
          <w:rFonts w:hint="eastAsia" w:ascii="仿宋" w:hAnsi="仿宋" w:eastAsia="仿宋" w:cs="仿宋"/>
          <w:color w:val="auto"/>
          <w:szCs w:val="32"/>
          <w:highlight w:val="none"/>
        </w:rPr>
        <w:t>局</w:t>
      </w:r>
    </w:p>
    <w:p w14:paraId="7CF7EA19">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项目负责人(签章):高云</w:t>
      </w:r>
    </w:p>
    <w:p w14:paraId="0DE183D2">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20</w:t>
      </w:r>
      <w:r>
        <w:rPr>
          <w:rFonts w:ascii="仿宋" w:hAnsi="仿宋" w:eastAsia="仿宋" w:cs="仿宋"/>
          <w:color w:val="auto"/>
          <w:szCs w:val="32"/>
          <w:highlight w:val="none"/>
        </w:rPr>
        <w:t>日</w:t>
      </w:r>
    </w:p>
    <w:p w14:paraId="553B42DC">
      <w:pPr>
        <w:spacing w:line="560" w:lineRule="exact"/>
        <w:ind w:firstLine="640" w:firstLineChars="200"/>
        <w:rPr>
          <w:rFonts w:ascii="仿宋_GB2312" w:hAnsi="仿宋_GB2312" w:cs="仿宋_GB2312"/>
          <w:kern w:val="0"/>
          <w:szCs w:val="32"/>
          <w:highlight w:val="none"/>
          <w:lang w:bidi="en-US"/>
        </w:rPr>
      </w:pPr>
    </w:p>
    <w:p w14:paraId="00D27257">
      <w:pPr>
        <w:spacing w:line="560" w:lineRule="exact"/>
        <w:ind w:firstLine="640" w:firstLineChars="200"/>
        <w:rPr>
          <w:rFonts w:ascii="仿宋_GB2312" w:hAnsi="仿宋_GB2312" w:cs="仿宋_GB2312"/>
          <w:kern w:val="0"/>
          <w:szCs w:val="32"/>
          <w:highlight w:val="none"/>
          <w:lang w:bidi="en-US"/>
        </w:rPr>
      </w:pPr>
    </w:p>
    <w:p w14:paraId="3E9AA6EE">
      <w:pPr>
        <w:spacing w:line="360" w:lineRule="auto"/>
        <w:ind w:firstLine="627" w:firstLineChars="200"/>
        <w:rPr>
          <w:rStyle w:val="21"/>
          <w:rFonts w:ascii="黑体" w:hAnsi="黑体" w:eastAsia="黑体" w:cs="Times New Roman"/>
          <w:spacing w:val="-4"/>
          <w:szCs w:val="32"/>
          <w:highlight w:val="none"/>
        </w:rPr>
      </w:pPr>
    </w:p>
    <w:p w14:paraId="51E65B67">
      <w:pPr>
        <w:spacing w:line="360" w:lineRule="auto"/>
        <w:ind w:firstLine="627" w:firstLineChars="200"/>
        <w:rPr>
          <w:rStyle w:val="21"/>
          <w:rFonts w:ascii="黑体" w:hAnsi="黑体" w:eastAsia="黑体" w:cs="Times New Roman"/>
          <w:spacing w:val="-4"/>
          <w:szCs w:val="32"/>
          <w:highlight w:val="none"/>
        </w:rPr>
      </w:pPr>
      <w:r>
        <w:rPr>
          <w:rStyle w:val="21"/>
          <w:rFonts w:hint="eastAsia" w:ascii="黑体" w:hAnsi="黑体" w:eastAsia="黑体" w:cs="Times New Roman"/>
          <w:spacing w:val="-4"/>
          <w:szCs w:val="32"/>
          <w:highlight w:val="none"/>
        </w:rPr>
        <w:t>一、绩效目标分解下达情况</w:t>
      </w:r>
    </w:p>
    <w:p w14:paraId="36CFEB1A">
      <w:pPr>
        <w:spacing w:line="360" w:lineRule="auto"/>
        <w:ind w:firstLine="546" w:firstLineChars="200"/>
        <w:rPr>
          <w:highlight w:val="none"/>
        </w:rPr>
      </w:pPr>
      <w:r>
        <w:rPr>
          <w:rFonts w:hint="eastAsia" w:ascii="楷体_GB2312" w:hAnsi="楷体" w:cs="Times New Roman"/>
          <w:b/>
          <w:spacing w:val="-4"/>
          <w:sz w:val="28"/>
          <w:szCs w:val="32"/>
          <w:highlight w:val="none"/>
        </w:rPr>
        <w:t>（一）财政专项乡村振兴衔接资金下达预算及项目情况</w:t>
      </w:r>
    </w:p>
    <w:p w14:paraId="0026AB59">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5BD66EA2">
      <w:pPr>
        <w:pStyle w:val="54"/>
        <w:ind w:left="3" w:right="3" w:firstLine="560"/>
        <w:rPr>
          <w:rFonts w:ascii="仿宋_GB2312"/>
          <w:color w:val="auto"/>
          <w:szCs w:val="32"/>
          <w:highlight w:val="none"/>
        </w:rPr>
      </w:pPr>
      <w:r>
        <w:rPr>
          <w:rFonts w:hint="eastAsia" w:ascii="仿宋_GB2312"/>
          <w:color w:val="auto"/>
          <w:szCs w:val="32"/>
          <w:highlight w:val="none"/>
        </w:rPr>
        <w:t>本项目根据于田县财政局及于田县</w:t>
      </w:r>
      <w:r>
        <w:rPr>
          <w:rFonts w:hint="eastAsia" w:ascii="仿宋_GB2312"/>
          <w:color w:val="auto"/>
          <w:szCs w:val="32"/>
          <w:highlight w:val="none"/>
          <w:lang w:val="en-US" w:eastAsia="zh-CN"/>
        </w:rPr>
        <w:t>农业农村</w:t>
      </w:r>
      <w:r>
        <w:rPr>
          <w:rFonts w:hint="eastAsia" w:ascii="仿宋_GB2312"/>
          <w:color w:val="auto"/>
          <w:szCs w:val="32"/>
          <w:highlight w:val="none"/>
        </w:rPr>
        <w:t>局联合下发的《关于于田县木尕拉镇2024年壮大村集体经济建设项目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农村项目</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006</w:t>
      </w:r>
      <w:r>
        <w:rPr>
          <w:rFonts w:hint="eastAsia" w:ascii="仿宋_GB2312"/>
          <w:color w:val="auto"/>
          <w:szCs w:val="32"/>
          <w:highlight w:val="none"/>
        </w:rPr>
        <w:t>号）文批复立项实施，于田县木尕拉镇2024年壮大村集体经济建设项目预算安排总额为</w:t>
      </w:r>
      <w:r>
        <w:rPr>
          <w:rFonts w:hint="eastAsia" w:ascii="仿宋_GB2312"/>
          <w:color w:val="auto"/>
          <w:szCs w:val="32"/>
          <w:highlight w:val="none"/>
          <w:lang w:val="en-US" w:eastAsia="zh-CN"/>
        </w:rPr>
        <w:t>239.13</w:t>
      </w:r>
      <w:r>
        <w:rPr>
          <w:rFonts w:hint="eastAsia" w:ascii="仿宋_GB2312"/>
          <w:color w:val="auto"/>
          <w:szCs w:val="32"/>
          <w:highlight w:val="none"/>
        </w:rPr>
        <w:t>万元，其中：以乡村振兴衔接资金</w:t>
      </w:r>
      <w:r>
        <w:rPr>
          <w:rFonts w:hint="eastAsia" w:ascii="仿宋_GB2312" w:eastAsia="楷体_GB2312"/>
          <w:color w:val="auto"/>
          <w:szCs w:val="32"/>
          <w:highlight w:val="none"/>
          <w:lang w:val="en-US" w:eastAsia="zh-CN"/>
        </w:rPr>
        <w:t>239.13</w:t>
      </w:r>
      <w:r>
        <w:rPr>
          <w:rFonts w:hint="eastAsia" w:ascii="仿宋_GB2312"/>
          <w:color w:val="auto"/>
          <w:szCs w:val="32"/>
          <w:highlight w:val="none"/>
        </w:rPr>
        <w:t>万元。预算资金到位率为100.00%。</w:t>
      </w:r>
    </w:p>
    <w:p w14:paraId="29B9EBA6">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1A31477E">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一是温室效应越来越严重了，发达国家和发展中国家的之间的能源效益和减排空间的差异很大，碳排放交易由此应运而生。而和田地区的红柳，也成为减缓碳排放的主要支柱。二是通过专业化、标准化建设，应用先进科学技术，实行科学管理，形成以市场为导向、基地为中心、科技为保障的经营格局，促进大芸产业的健康发展和壮大，优化区域产业结构和资源配置，发挥林业社会、经济、生态功能与效益，实现兴林与富民的和谐统一。提高农民科技文化素质，推动乡村人才振兴。三是红柳是一种生长在荒漠地带中耐干旱、耐盐碱、耐贫瘠、耐沙埋的荒漠灌木树种，大芸就寄生于其根部。红柳大芸作为一种珍稀药材，具有补肾壮阳、悦色延年等一系列神奇功效，被广泛应用于我国民间的药疗、滋补、保健等领域，迄今已有1800多年的历史，被称之为“沙漠人参”。</w:t>
      </w:r>
    </w:p>
    <w:p w14:paraId="7DB018EA">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w:t>
      </w:r>
      <w:r>
        <w:rPr>
          <w:rFonts w:hint="eastAsia" w:ascii="仿宋_GB2312" w:hAnsi="Times New Roman" w:eastAsia="仿宋_GB2312" w:cs="Times New Roman"/>
          <w:sz w:val="28"/>
          <w:szCs w:val="32"/>
          <w:highlight w:val="none"/>
          <w:lang w:eastAsia="zh-CN"/>
        </w:rPr>
        <w:t>于田县木尕拉镇2024年壮大村集体经济建设项目</w:t>
      </w:r>
      <w:r>
        <w:rPr>
          <w:rFonts w:hint="eastAsia" w:ascii="仿宋_GB2312" w:hAnsi="Times New Roman" w:eastAsia="仿宋_GB2312" w:cs="Times New Roman"/>
          <w:sz w:val="28"/>
          <w:szCs w:val="32"/>
          <w:highlight w:val="none"/>
        </w:rPr>
        <w:t>，本项目由于田县</w:t>
      </w:r>
      <w:r>
        <w:rPr>
          <w:rFonts w:hint="eastAsia" w:ascii="仿宋_GB2312" w:hAnsi="Times New Roman" w:eastAsia="仿宋_GB2312" w:cs="Times New Roman"/>
          <w:sz w:val="28"/>
          <w:szCs w:val="32"/>
          <w:highlight w:val="none"/>
          <w:lang w:val="en-US" w:eastAsia="zh-CN"/>
        </w:rPr>
        <w:t>农业农村局</w:t>
      </w:r>
      <w:r>
        <w:rPr>
          <w:rFonts w:hint="eastAsia" w:ascii="仿宋_GB2312" w:hAnsi="Times New Roman" w:eastAsia="仿宋_GB2312" w:cs="Times New Roman"/>
          <w:sz w:val="28"/>
          <w:szCs w:val="32"/>
          <w:highlight w:val="none"/>
        </w:rPr>
        <w:t>监管，于田县木尕拉镇人民政府负责实施，项目施工期为202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1</w:t>
      </w:r>
      <w:r>
        <w:rPr>
          <w:rFonts w:hint="eastAsia" w:ascii="仿宋_GB2312" w:hAnsi="Times New Roman" w:eastAsia="仿宋_GB2312" w:cs="Times New Roman"/>
          <w:sz w:val="28"/>
          <w:szCs w:val="32"/>
          <w:highlight w:val="none"/>
        </w:rPr>
        <w:t>月-2023年</w:t>
      </w:r>
      <w:r>
        <w:rPr>
          <w:rFonts w:hint="eastAsia" w:ascii="仿宋_GB2312" w:hAnsi="Times New Roman" w:eastAsia="仿宋_GB2312" w:cs="Times New Roman"/>
          <w:sz w:val="28"/>
          <w:szCs w:val="32"/>
          <w:highlight w:val="none"/>
          <w:lang w:val="en-US" w:eastAsia="zh-CN"/>
        </w:rPr>
        <w:t>6</w:t>
      </w:r>
      <w:r>
        <w:rPr>
          <w:rFonts w:hint="eastAsia" w:ascii="仿宋_GB2312" w:hAnsi="Times New Roman" w:eastAsia="仿宋_GB2312" w:cs="Times New Roman"/>
          <w:sz w:val="28"/>
          <w:szCs w:val="32"/>
          <w:highlight w:val="none"/>
        </w:rPr>
        <w:t>月。</w:t>
      </w:r>
    </w:p>
    <w:p w14:paraId="77D8DF10">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工程实施后，本项目通过</w:t>
      </w:r>
      <w:r>
        <w:rPr>
          <w:rFonts w:hint="eastAsia" w:ascii="仿宋_GB2312" w:hAnsi="Times New Roman" w:eastAsia="仿宋_GB2312" w:cs="Times New Roman"/>
          <w:sz w:val="28"/>
          <w:szCs w:val="32"/>
          <w:highlight w:val="none"/>
          <w:lang w:val="en-US" w:eastAsia="zh-CN"/>
        </w:rPr>
        <w:t>后期种植</w:t>
      </w:r>
      <w:r>
        <w:rPr>
          <w:rFonts w:hint="eastAsia" w:ascii="仿宋_GB2312" w:hAnsi="Times New Roman" w:eastAsia="仿宋_GB2312" w:cs="Times New Roman"/>
          <w:sz w:val="28"/>
          <w:szCs w:val="32"/>
          <w:highlight w:val="none"/>
        </w:rPr>
        <w:t>红柳是一种生长在荒漠地带中耐干旱、耐盐碱、耐贫瘠、耐沙埋的荒漠灌木树种，大芸就寄生于其根部。红柳大芸作为一种珍稀药材，具有补肾壮阳、悦色延年等一系列神奇功效，被广泛应用于我国民间的药疗、滋补、保健等领域，迄今已有1800多年的历史，被称之为“沙漠人参”。项目建设对于推进</w:t>
      </w:r>
      <w:r>
        <w:rPr>
          <w:rFonts w:hint="eastAsia" w:ascii="仿宋_GB2312" w:hAnsi="Times New Roman" w:eastAsia="仿宋_GB2312" w:cs="Times New Roman"/>
          <w:sz w:val="28"/>
          <w:szCs w:val="32"/>
          <w:highlight w:val="none"/>
          <w:lang w:val="en-US" w:eastAsia="zh-CN"/>
        </w:rPr>
        <w:t>于田县防沙治沙治理和提升特色产业发展</w:t>
      </w:r>
      <w:r>
        <w:rPr>
          <w:rFonts w:hint="eastAsia" w:ascii="仿宋_GB2312" w:hAnsi="Times New Roman" w:eastAsia="仿宋_GB2312" w:cs="Times New Roman"/>
          <w:sz w:val="28"/>
          <w:szCs w:val="32"/>
          <w:highlight w:val="none"/>
        </w:rPr>
        <w:t>具有重要意义。该项目以农业增效、农民增收、农村增美为核心，以深化和提升</w:t>
      </w:r>
      <w:r>
        <w:rPr>
          <w:rFonts w:hint="eastAsia" w:ascii="仿宋_GB2312" w:hAnsi="Times New Roman" w:eastAsia="仿宋_GB2312" w:cs="Times New Roman"/>
          <w:sz w:val="28"/>
          <w:szCs w:val="32"/>
          <w:highlight w:val="none"/>
          <w:lang w:val="en-US" w:eastAsia="zh-CN"/>
        </w:rPr>
        <w:t>荒漠化</w:t>
      </w:r>
      <w:r>
        <w:rPr>
          <w:rFonts w:hint="eastAsia" w:ascii="仿宋_GB2312" w:hAnsi="Times New Roman" w:eastAsia="仿宋_GB2312" w:cs="Times New Roman"/>
          <w:sz w:val="28"/>
          <w:szCs w:val="32"/>
          <w:highlight w:val="none"/>
        </w:rPr>
        <w:t>环境卫生整治工程和现代</w:t>
      </w:r>
      <w:r>
        <w:rPr>
          <w:rFonts w:hint="eastAsia" w:ascii="仿宋_GB2312" w:hAnsi="Times New Roman" w:eastAsia="仿宋_GB2312" w:cs="Times New Roman"/>
          <w:sz w:val="28"/>
          <w:szCs w:val="32"/>
          <w:highlight w:val="none"/>
          <w:lang w:val="en-US" w:eastAsia="zh-CN"/>
        </w:rPr>
        <w:t>农业技术产业发展</w:t>
      </w:r>
      <w:r>
        <w:rPr>
          <w:rFonts w:hint="eastAsia" w:ascii="仿宋_GB2312" w:hAnsi="Times New Roman" w:eastAsia="仿宋_GB2312" w:cs="Times New Roman"/>
          <w:sz w:val="28"/>
          <w:szCs w:val="32"/>
          <w:highlight w:val="none"/>
        </w:rPr>
        <w:t>建设为载体，着力推进“生态经济体系、生态人居体系、生态文化体系、生态环境体系”等四大体系建设。因此，本项目的建设项目是十分必要的，是</w:t>
      </w:r>
      <w:r>
        <w:rPr>
          <w:rFonts w:hint="eastAsia" w:ascii="仿宋_GB2312" w:hAnsi="Times New Roman" w:eastAsia="仿宋_GB2312" w:cs="Times New Roman"/>
          <w:sz w:val="28"/>
          <w:szCs w:val="32"/>
          <w:highlight w:val="none"/>
          <w:lang w:val="en-US" w:eastAsia="zh-CN"/>
        </w:rPr>
        <w:t>带动群众增收就业</w:t>
      </w:r>
      <w:r>
        <w:rPr>
          <w:rFonts w:hint="eastAsia" w:ascii="仿宋_GB2312" w:hAnsi="Times New Roman" w:eastAsia="仿宋_GB2312" w:cs="Times New Roman"/>
          <w:sz w:val="28"/>
          <w:szCs w:val="32"/>
          <w:highlight w:val="none"/>
        </w:rPr>
        <w:t>，改善人居环境的需要，并且有着深远的意义</w:t>
      </w:r>
      <w:r>
        <w:rPr>
          <w:rFonts w:hint="eastAsia" w:ascii="仿宋_GB2312" w:hAnsi="Times New Roman" w:eastAsia="仿宋_GB2312" w:cs="Times New Roman"/>
          <w:sz w:val="28"/>
          <w:szCs w:val="32"/>
          <w:highlight w:val="none"/>
          <w:lang w:val="en-US" w:eastAsia="zh-CN"/>
        </w:rPr>
        <w:t>影响</w:t>
      </w:r>
      <w:r>
        <w:rPr>
          <w:rFonts w:hint="eastAsia" w:ascii="仿宋_GB2312" w:hAnsi="Times New Roman" w:eastAsia="仿宋_GB2312" w:cs="Times New Roman"/>
          <w:sz w:val="28"/>
          <w:szCs w:val="32"/>
          <w:highlight w:val="none"/>
        </w:rPr>
        <w:t>。</w:t>
      </w:r>
    </w:p>
    <w:p w14:paraId="5EBA4214">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3</w:t>
      </w:r>
      <w:r>
        <w:rPr>
          <w:rFonts w:hint="eastAsia" w:ascii="仿宋_GB2312" w:hAnsi="Times New Roman" w:eastAsia="仿宋_GB2312" w:cs="Times New Roman"/>
          <w:b/>
          <w:bCs/>
          <w:sz w:val="28"/>
          <w:szCs w:val="32"/>
          <w:highlight w:val="none"/>
        </w:rPr>
        <w:t>、项目实施依据及范围</w:t>
      </w:r>
    </w:p>
    <w:p w14:paraId="72FDC550">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于田县木尕拉镇2024年壮大村集体经济建设项目</w:t>
      </w:r>
      <w:r>
        <w:rPr>
          <w:rFonts w:hint="eastAsia" w:ascii="仿宋_GB2312" w:hAnsi="Times New Roman" w:eastAsia="仿宋_GB2312" w:cs="Times New Roman"/>
          <w:sz w:val="28"/>
          <w:szCs w:val="32"/>
          <w:highlight w:val="none"/>
        </w:rPr>
        <w:t>，根据于田县财政局及于田县</w:t>
      </w:r>
      <w:r>
        <w:rPr>
          <w:rFonts w:hint="eastAsia" w:ascii="仿宋_GB2312" w:hAnsi="Times New Roman" w:eastAsia="仿宋_GB2312" w:cs="Times New Roman"/>
          <w:sz w:val="28"/>
          <w:szCs w:val="32"/>
          <w:highlight w:val="none"/>
          <w:lang w:val="en-US" w:eastAsia="zh-CN"/>
        </w:rPr>
        <w:t>农业农村</w:t>
      </w:r>
      <w:r>
        <w:rPr>
          <w:rFonts w:hint="eastAsia" w:ascii="仿宋_GB2312" w:hAnsi="Times New Roman" w:eastAsia="仿宋_GB2312" w:cs="Times New Roman"/>
          <w:sz w:val="28"/>
          <w:szCs w:val="32"/>
          <w:highlight w:val="none"/>
        </w:rPr>
        <w:t>局联合下发的《关于</w:t>
      </w:r>
      <w:r>
        <w:rPr>
          <w:rFonts w:hint="eastAsia" w:ascii="仿宋_GB2312" w:hAnsi="Times New Roman" w:eastAsia="仿宋_GB2312" w:cs="Times New Roman"/>
          <w:sz w:val="28"/>
          <w:szCs w:val="32"/>
          <w:highlight w:val="none"/>
          <w:lang w:eastAsia="zh-CN"/>
        </w:rPr>
        <w:t>于田县木尕拉镇2024年壮大村集体经济建设项目</w:t>
      </w:r>
      <w:r>
        <w:rPr>
          <w:rFonts w:hint="eastAsia" w:ascii="仿宋_GB2312" w:hAnsi="Times New Roman" w:eastAsia="仿宋_GB2312" w:cs="Times New Roman"/>
          <w:sz w:val="28"/>
          <w:szCs w:val="32"/>
          <w:highlight w:val="none"/>
        </w:rPr>
        <w:t>实施方案的批复》（于</w:t>
      </w:r>
      <w:r>
        <w:rPr>
          <w:rFonts w:hint="eastAsia" w:ascii="仿宋_GB2312" w:hAnsi="Times New Roman" w:eastAsia="仿宋_GB2312" w:cs="Times New Roman"/>
          <w:sz w:val="28"/>
          <w:szCs w:val="32"/>
          <w:highlight w:val="none"/>
          <w:lang w:val="en-US" w:eastAsia="zh-CN"/>
        </w:rPr>
        <w:t>农村项目</w:t>
      </w:r>
      <w:r>
        <w:rPr>
          <w:rFonts w:hint="eastAsia" w:ascii="仿宋_GB2312" w:hAnsi="Times New Roman" w:eastAsia="仿宋_GB2312" w:cs="Times New Roman"/>
          <w:sz w:val="28"/>
          <w:szCs w:val="32"/>
          <w:highlight w:val="none"/>
        </w:rPr>
        <w:t>[202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w:t>
      </w:r>
      <w:r>
        <w:rPr>
          <w:rFonts w:hint="eastAsia" w:ascii="仿宋_GB2312" w:hAnsi="Times New Roman" w:eastAsia="仿宋_GB2312" w:cs="Times New Roman"/>
          <w:sz w:val="28"/>
          <w:szCs w:val="32"/>
          <w:highlight w:val="none"/>
          <w:lang w:val="en-US" w:eastAsia="zh-CN"/>
        </w:rPr>
        <w:t>006</w:t>
      </w:r>
      <w:r>
        <w:rPr>
          <w:rFonts w:hint="eastAsia" w:ascii="仿宋_GB2312" w:hAnsi="Times New Roman" w:eastAsia="仿宋_GB2312" w:cs="Times New Roman"/>
          <w:sz w:val="28"/>
          <w:szCs w:val="32"/>
          <w:highlight w:val="none"/>
        </w:rPr>
        <w:t>号），实施范围涉及</w:t>
      </w:r>
      <w:r>
        <w:rPr>
          <w:rFonts w:hint="eastAsia" w:ascii="仿宋_GB2312" w:hAnsi="Times New Roman" w:eastAsia="仿宋_GB2312" w:cs="Times New Roman"/>
          <w:sz w:val="28"/>
          <w:szCs w:val="32"/>
          <w:highlight w:val="none"/>
          <w:lang w:val="en-US" w:eastAsia="zh-CN"/>
        </w:rPr>
        <w:t>分配使用3</w:t>
      </w:r>
      <w:r>
        <w:rPr>
          <w:rFonts w:hint="eastAsia" w:ascii="仿宋_GB2312" w:hAnsi="Times New Roman" w:eastAsia="仿宋_GB2312" w:cs="Times New Roman"/>
          <w:sz w:val="28"/>
          <w:szCs w:val="32"/>
          <w:highlight w:val="none"/>
        </w:rPr>
        <w:t>个行政村即木尕拉镇</w:t>
      </w:r>
      <w:r>
        <w:rPr>
          <w:rFonts w:hint="eastAsia" w:ascii="仿宋_GB2312" w:hAnsi="Times New Roman" w:eastAsia="仿宋_GB2312" w:cs="Times New Roman"/>
          <w:sz w:val="28"/>
          <w:szCs w:val="32"/>
          <w:highlight w:val="none"/>
          <w:lang w:val="en-US" w:eastAsia="zh-CN"/>
        </w:rPr>
        <w:t>阿斯庭奥依村</w:t>
      </w:r>
      <w:r>
        <w:rPr>
          <w:rFonts w:hint="eastAsia" w:ascii="仿宋_GB2312" w:hAnsi="Times New Roman" w:eastAsia="仿宋_GB2312" w:cs="Times New Roman"/>
          <w:sz w:val="28"/>
          <w:szCs w:val="32"/>
          <w:highlight w:val="none"/>
        </w:rPr>
        <w:t>、</w:t>
      </w:r>
      <w:r>
        <w:rPr>
          <w:rFonts w:hint="eastAsia" w:ascii="仿宋_GB2312" w:hAnsi="Times New Roman" w:eastAsia="仿宋_GB2312" w:cs="Times New Roman"/>
          <w:sz w:val="28"/>
          <w:szCs w:val="32"/>
          <w:highlight w:val="none"/>
          <w:lang w:val="en-US" w:eastAsia="zh-CN"/>
        </w:rPr>
        <w:t>库开仁</w:t>
      </w:r>
      <w:r>
        <w:rPr>
          <w:rFonts w:hint="eastAsia" w:ascii="仿宋_GB2312" w:hAnsi="Times New Roman" w:eastAsia="仿宋_GB2312" w:cs="Times New Roman"/>
          <w:sz w:val="28"/>
          <w:szCs w:val="32"/>
          <w:highlight w:val="none"/>
        </w:rPr>
        <w:t>村</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木尕库勒贝希村。</w:t>
      </w:r>
      <w:r>
        <w:rPr>
          <w:rFonts w:hint="eastAsia" w:ascii="仿宋_GB2312" w:hAnsi="Times New Roman" w:eastAsia="仿宋_GB2312" w:cs="Times New Roman"/>
          <w:sz w:val="28"/>
          <w:szCs w:val="32"/>
          <w:highlight w:val="none"/>
        </w:rPr>
        <w:t>建设内容：</w:t>
      </w:r>
      <w:r>
        <w:rPr>
          <w:rFonts w:hint="eastAsia" w:ascii="仿宋_GB2312" w:hAnsi="Times New Roman" w:eastAsia="仿宋_GB2312" w:cs="Times New Roman"/>
          <w:sz w:val="28"/>
          <w:szCs w:val="32"/>
          <w:highlight w:val="none"/>
          <w:lang w:val="en-US" w:eastAsia="zh-CN"/>
        </w:rPr>
        <w:t>在沙漠里土地平整1200亩用于种植大芸，其中：库开仁村400亩、阿斯廷奥依村400 亩、木尕库勒贝希村400亩，土方调配总量为1626764.79 立方米</w:t>
      </w:r>
      <w:r>
        <w:rPr>
          <w:rFonts w:hint="eastAsia" w:ascii="仿宋_GB2312" w:hAnsi="Times New Roman" w:eastAsia="仿宋_GB2312" w:cs="Times New Roman"/>
          <w:sz w:val="28"/>
          <w:szCs w:val="32"/>
          <w:highlight w:val="none"/>
        </w:rPr>
        <w:t>。</w:t>
      </w:r>
    </w:p>
    <w:p w14:paraId="17D01B71">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4</w:t>
      </w:r>
      <w:r>
        <w:rPr>
          <w:rFonts w:hint="eastAsia" w:ascii="仿宋_GB2312" w:hAnsi="Times New Roman" w:eastAsia="仿宋_GB2312" w:cs="Times New Roman"/>
          <w:b/>
          <w:bCs/>
          <w:sz w:val="28"/>
          <w:szCs w:val="32"/>
          <w:highlight w:val="none"/>
        </w:rPr>
        <w:t>、项目基本性质及类别</w:t>
      </w:r>
    </w:p>
    <w:p w14:paraId="791E84A6">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于田县木尕拉镇2024年壮大村集体经济建设项目</w:t>
      </w:r>
      <w:r>
        <w:rPr>
          <w:rFonts w:hint="eastAsia" w:ascii="仿宋_GB2312" w:hAnsi="Times New Roman" w:eastAsia="仿宋_GB2312" w:cs="Times New Roman"/>
          <w:sz w:val="28"/>
          <w:szCs w:val="32"/>
          <w:highlight w:val="none"/>
        </w:rPr>
        <w:t>性质为</w:t>
      </w:r>
      <w:r>
        <w:rPr>
          <w:rFonts w:hint="eastAsia" w:ascii="仿宋_GB2312" w:hAnsi="Times New Roman" w:eastAsia="仿宋_GB2312" w:cs="Times New Roman"/>
          <w:sz w:val="28"/>
          <w:szCs w:val="32"/>
          <w:highlight w:val="none"/>
          <w:lang w:val="en-US" w:eastAsia="zh-CN"/>
        </w:rPr>
        <w:t>农业基础设施</w:t>
      </w:r>
      <w:r>
        <w:rPr>
          <w:rFonts w:hint="eastAsia" w:ascii="仿宋_GB2312" w:hAnsi="Times New Roman" w:eastAsia="仿宋_GB2312" w:cs="Times New Roman"/>
          <w:sz w:val="28"/>
          <w:szCs w:val="32"/>
          <w:highlight w:val="none"/>
        </w:rPr>
        <w:t>建设项目，属于乡村振兴衔接资金项目。</w:t>
      </w:r>
    </w:p>
    <w:p w14:paraId="056A9095">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（二）财政专项乡村振兴衔接资金项目绩效目标设定情况</w:t>
      </w:r>
    </w:p>
    <w:p w14:paraId="5D745082">
      <w:pPr>
        <w:spacing w:line="560" w:lineRule="exact"/>
        <w:ind w:firstLine="562" w:firstLineChars="200"/>
        <w:rPr>
          <w:rFonts w:ascii="仿宋_GB2312" w:hAnsi="Times New Roman" w:eastAsia="仿宋_GB2312" w:cs="Times New Roman"/>
          <w:b/>
          <w:bCs/>
          <w:sz w:val="28"/>
          <w:szCs w:val="32"/>
          <w:highlight w:val="none"/>
        </w:rPr>
      </w:pPr>
      <w:r>
        <w:rPr>
          <w:rFonts w:hint="eastAsia" w:ascii="仿宋_GB2312" w:hAnsi="Times New Roman" w:eastAsia="仿宋_GB2312" w:cs="Times New Roman"/>
          <w:b/>
          <w:bCs/>
          <w:sz w:val="28"/>
          <w:szCs w:val="32"/>
          <w:highlight w:val="none"/>
        </w:rPr>
        <w:t>1.项目绩效总体目标</w:t>
      </w:r>
    </w:p>
    <w:p w14:paraId="3A604735">
      <w:pPr>
        <w:pStyle w:val="54"/>
        <w:spacing w:line="560" w:lineRule="exact"/>
        <w:ind w:left="3" w:right="3" w:firstLine="560"/>
        <w:rPr>
          <w:rFonts w:hint="default" w:ascii="仿宋_GB2312" w:eastAsia="仿宋_GB2312"/>
          <w:color w:val="auto"/>
          <w:szCs w:val="32"/>
          <w:highlight w:val="none"/>
          <w:lang w:val="en-US" w:eastAsia="zh-CN"/>
        </w:rPr>
      </w:pPr>
      <w:r>
        <w:rPr>
          <w:rFonts w:hint="eastAsia" w:ascii="仿宋" w:hAnsi="仿宋" w:eastAsia="仿宋" w:cs="仿宋"/>
          <w:bCs/>
          <w:color w:val="auto"/>
          <w:kern w:val="0"/>
          <w:highlight w:val="none"/>
          <w:lang w:eastAsia="zh-CN"/>
        </w:rPr>
        <w:t>于田县木尕拉镇2024年壮大村集体经济建设项目</w:t>
      </w:r>
      <w:r>
        <w:rPr>
          <w:rFonts w:hint="eastAsia" w:ascii="仿宋_GB2312"/>
          <w:color w:val="auto"/>
          <w:szCs w:val="32"/>
          <w:highlight w:val="none"/>
        </w:rPr>
        <w:t>总投资</w:t>
      </w:r>
      <w:r>
        <w:rPr>
          <w:rFonts w:hint="eastAsia" w:ascii="仿宋_GB2312"/>
          <w:color w:val="auto"/>
          <w:szCs w:val="32"/>
          <w:highlight w:val="none"/>
          <w:lang w:val="en-US" w:eastAsia="zh-CN"/>
        </w:rPr>
        <w:t>239.13</w:t>
      </w:r>
      <w:r>
        <w:rPr>
          <w:rFonts w:hint="eastAsia" w:ascii="仿宋_GB2312"/>
          <w:color w:val="auto"/>
          <w:szCs w:val="32"/>
          <w:highlight w:val="none"/>
        </w:rPr>
        <w:t>万元，全部申请以乡村振兴衔接资金。主要内容为：</w:t>
      </w:r>
      <w:r>
        <w:rPr>
          <w:rFonts w:hint="eastAsia" w:ascii="仿宋_GB2312"/>
          <w:color w:val="auto"/>
          <w:szCs w:val="32"/>
          <w:highlight w:val="none"/>
          <w:lang w:val="en-US" w:eastAsia="zh-CN"/>
        </w:rPr>
        <w:t>在沙漠里土地平整1200亩用于种植大芸，其中：库开仁村400亩、阿斯廷奥依村400 亩、木尕库勒贝希村400亩，土方调配总量为1626764.79 立方米。</w:t>
      </w:r>
    </w:p>
    <w:p w14:paraId="55B4FAE9">
      <w:pPr>
        <w:pStyle w:val="54"/>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 w:hAnsi="仿宋" w:eastAsia="仿宋" w:cs="仿宋"/>
          <w:bCs/>
          <w:color w:val="auto"/>
          <w:kern w:val="0"/>
          <w:highlight w:val="none"/>
          <w:lang w:eastAsia="zh-CN"/>
        </w:rPr>
        <w:t>于田县木尕拉镇2024年壮大村集体经济建设项目</w:t>
      </w:r>
      <w:r>
        <w:rPr>
          <w:rFonts w:hint="eastAsia" w:ascii="仿宋_GB2312"/>
          <w:color w:val="auto"/>
          <w:szCs w:val="32"/>
          <w:highlight w:val="none"/>
        </w:rPr>
        <w:t>实施，完善</w:t>
      </w:r>
      <w:r>
        <w:rPr>
          <w:rFonts w:hint="eastAsia" w:ascii="仿宋_GB2312"/>
          <w:color w:val="auto"/>
          <w:szCs w:val="32"/>
          <w:highlight w:val="none"/>
          <w:lang w:val="en-US" w:eastAsia="zh-CN"/>
        </w:rPr>
        <w:t>农业</w:t>
      </w:r>
      <w:r>
        <w:rPr>
          <w:rFonts w:hint="eastAsia" w:ascii="仿宋_GB2312"/>
          <w:color w:val="auto"/>
          <w:szCs w:val="32"/>
          <w:highlight w:val="none"/>
        </w:rPr>
        <w:t>基础设施，促进</w:t>
      </w:r>
      <w:r>
        <w:rPr>
          <w:rFonts w:hint="eastAsia" w:ascii="仿宋_GB2312"/>
          <w:color w:val="auto"/>
          <w:szCs w:val="32"/>
          <w:highlight w:val="none"/>
          <w:lang w:val="en-US" w:eastAsia="zh-CN"/>
        </w:rPr>
        <w:t>沙漠</w:t>
      </w:r>
      <w:r>
        <w:rPr>
          <w:rFonts w:hint="eastAsia" w:ascii="仿宋_GB2312"/>
          <w:color w:val="auto"/>
          <w:szCs w:val="32"/>
          <w:highlight w:val="none"/>
        </w:rPr>
        <w:t>区域开发力度和</w:t>
      </w:r>
      <w:r>
        <w:rPr>
          <w:rFonts w:hint="eastAsia" w:ascii="仿宋_GB2312"/>
          <w:color w:val="auto"/>
          <w:szCs w:val="32"/>
          <w:highlight w:val="none"/>
          <w:lang w:val="en-US" w:eastAsia="zh-CN"/>
        </w:rPr>
        <w:t>基础设计</w:t>
      </w:r>
      <w:r>
        <w:rPr>
          <w:rFonts w:hint="eastAsia" w:ascii="仿宋_GB2312"/>
          <w:color w:val="auto"/>
          <w:szCs w:val="32"/>
          <w:highlight w:val="none"/>
        </w:rPr>
        <w:t>的建设，有力推动</w:t>
      </w:r>
      <w:r>
        <w:rPr>
          <w:rFonts w:hint="eastAsia" w:ascii="仿宋_GB2312"/>
          <w:color w:val="auto"/>
          <w:szCs w:val="32"/>
          <w:highlight w:val="none"/>
          <w:lang w:val="en-US" w:eastAsia="zh-CN"/>
        </w:rPr>
        <w:t>中药材种植</w:t>
      </w:r>
      <w:r>
        <w:rPr>
          <w:rFonts w:hint="eastAsia" w:ascii="仿宋_GB2312"/>
          <w:color w:val="auto"/>
          <w:szCs w:val="32"/>
          <w:highlight w:val="none"/>
        </w:rPr>
        <w:t>经济发展，且有利于</w:t>
      </w:r>
      <w:r>
        <w:rPr>
          <w:rFonts w:hint="eastAsia" w:ascii="仿宋_GB2312"/>
          <w:color w:val="auto"/>
          <w:szCs w:val="32"/>
          <w:highlight w:val="none"/>
          <w:lang w:val="en-US" w:eastAsia="zh-CN"/>
        </w:rPr>
        <w:t>帮助</w:t>
      </w:r>
      <w:r>
        <w:rPr>
          <w:rFonts w:hint="eastAsia" w:ascii="仿宋_GB2312"/>
          <w:color w:val="auto"/>
          <w:szCs w:val="32"/>
          <w:highlight w:val="none"/>
        </w:rPr>
        <w:t>村民的</w:t>
      </w:r>
      <w:r>
        <w:rPr>
          <w:rFonts w:hint="eastAsia" w:ascii="仿宋_GB2312"/>
          <w:color w:val="auto"/>
          <w:szCs w:val="32"/>
          <w:highlight w:val="none"/>
          <w:lang w:val="en-US" w:eastAsia="zh-CN"/>
        </w:rPr>
        <w:t>就业增收条件</w:t>
      </w:r>
      <w:r>
        <w:rPr>
          <w:rFonts w:hint="eastAsia" w:ascii="仿宋_GB2312"/>
          <w:color w:val="auto"/>
          <w:szCs w:val="32"/>
          <w:highlight w:val="none"/>
        </w:rPr>
        <w:t>，</w:t>
      </w:r>
      <w:r>
        <w:rPr>
          <w:rFonts w:hint="eastAsia" w:ascii="仿宋_GB2312"/>
          <w:color w:val="auto"/>
          <w:szCs w:val="32"/>
          <w:highlight w:val="none"/>
          <w:lang w:val="en-US" w:eastAsia="zh-CN"/>
        </w:rPr>
        <w:t>提升</w:t>
      </w:r>
      <w:r>
        <w:rPr>
          <w:rFonts w:hint="eastAsia" w:ascii="仿宋_GB2312"/>
          <w:color w:val="auto"/>
          <w:szCs w:val="32"/>
          <w:highlight w:val="none"/>
        </w:rPr>
        <w:t>村民幸福感，使其成为</w:t>
      </w:r>
      <w:r>
        <w:rPr>
          <w:rFonts w:hint="eastAsia" w:ascii="仿宋_GB2312"/>
          <w:color w:val="auto"/>
          <w:szCs w:val="32"/>
          <w:highlight w:val="none"/>
          <w:lang w:val="en-US" w:eastAsia="zh-CN"/>
        </w:rPr>
        <w:t>发展特色种植产业，提升</w:t>
      </w:r>
      <w:r>
        <w:rPr>
          <w:rFonts w:hint="eastAsia" w:ascii="仿宋_GB2312"/>
          <w:color w:val="auto"/>
          <w:szCs w:val="32"/>
          <w:highlight w:val="none"/>
        </w:rPr>
        <w:t>经济发展</w:t>
      </w:r>
      <w:r>
        <w:rPr>
          <w:rFonts w:hint="eastAsia" w:ascii="仿宋_GB2312"/>
          <w:color w:val="auto"/>
          <w:szCs w:val="32"/>
          <w:highlight w:val="none"/>
          <w:lang w:val="en-US" w:eastAsia="zh-CN"/>
        </w:rPr>
        <w:t>效益</w:t>
      </w:r>
      <w:r>
        <w:rPr>
          <w:rFonts w:hint="eastAsia" w:ascii="仿宋_GB2312"/>
          <w:color w:val="auto"/>
          <w:szCs w:val="32"/>
          <w:highlight w:val="none"/>
        </w:rPr>
        <w:t>。项目建设对于推进于田县</w:t>
      </w:r>
      <w:r>
        <w:rPr>
          <w:rFonts w:hint="eastAsia" w:ascii="仿宋_GB2312"/>
          <w:color w:val="auto"/>
          <w:szCs w:val="32"/>
          <w:highlight w:val="none"/>
          <w:lang w:val="en-US" w:eastAsia="zh-CN"/>
        </w:rPr>
        <w:t>防风固沙与特色种植经济发展</w:t>
      </w:r>
      <w:r>
        <w:rPr>
          <w:rFonts w:hint="eastAsia" w:ascii="仿宋_GB2312"/>
          <w:color w:val="auto"/>
          <w:szCs w:val="32"/>
          <w:highlight w:val="none"/>
        </w:rPr>
        <w:t>有重要意义。该项目以农业增效、农民增收、</w:t>
      </w:r>
      <w:r>
        <w:rPr>
          <w:rFonts w:hint="eastAsia" w:ascii="仿宋_GB2312"/>
          <w:color w:val="auto"/>
          <w:szCs w:val="32"/>
          <w:highlight w:val="none"/>
          <w:lang w:val="en-US" w:eastAsia="zh-CN"/>
        </w:rPr>
        <w:t>县域周边环境</w:t>
      </w:r>
      <w:r>
        <w:rPr>
          <w:rFonts w:hint="eastAsia" w:ascii="仿宋_GB2312"/>
          <w:color w:val="auto"/>
          <w:szCs w:val="32"/>
          <w:highlight w:val="none"/>
        </w:rPr>
        <w:t>增美为核心，以深化和提升</w:t>
      </w:r>
      <w:r>
        <w:rPr>
          <w:rFonts w:hint="eastAsia" w:ascii="仿宋_GB2312"/>
          <w:color w:val="auto"/>
          <w:szCs w:val="32"/>
          <w:highlight w:val="none"/>
          <w:lang w:val="en-US" w:eastAsia="zh-CN"/>
        </w:rPr>
        <w:t>防风固沙</w:t>
      </w:r>
      <w:r>
        <w:rPr>
          <w:rFonts w:hint="eastAsia" w:ascii="仿宋_GB2312"/>
          <w:color w:val="auto"/>
          <w:szCs w:val="32"/>
          <w:highlight w:val="none"/>
        </w:rPr>
        <w:t>整治工程，着力推进“生态经济体系、生态</w:t>
      </w:r>
      <w:r>
        <w:rPr>
          <w:rFonts w:hint="eastAsia" w:ascii="仿宋_GB2312"/>
          <w:color w:val="auto"/>
          <w:szCs w:val="32"/>
          <w:highlight w:val="none"/>
          <w:lang w:val="en-US" w:eastAsia="zh-CN"/>
        </w:rPr>
        <w:t>宜居</w:t>
      </w:r>
      <w:r>
        <w:rPr>
          <w:rFonts w:hint="eastAsia" w:ascii="仿宋_GB2312"/>
          <w:color w:val="auto"/>
          <w:szCs w:val="32"/>
          <w:highlight w:val="none"/>
        </w:rPr>
        <w:t>体系、生态文化体系、生态环境体系”等四大体系建设，带动</w:t>
      </w:r>
      <w:r>
        <w:rPr>
          <w:rFonts w:hint="eastAsia" w:ascii="仿宋_GB2312"/>
          <w:color w:val="auto"/>
          <w:szCs w:val="32"/>
          <w:highlight w:val="none"/>
          <w:lang w:val="en-US" w:eastAsia="zh-CN"/>
        </w:rPr>
        <w:t>农业</w:t>
      </w:r>
      <w:r>
        <w:rPr>
          <w:rFonts w:hint="eastAsia" w:ascii="仿宋_GB2312"/>
          <w:color w:val="auto"/>
          <w:szCs w:val="32"/>
          <w:highlight w:val="none"/>
        </w:rPr>
        <w:t>经济一体化快速发展，整体提升</w:t>
      </w:r>
      <w:r>
        <w:rPr>
          <w:rFonts w:hint="eastAsia" w:ascii="仿宋_GB2312"/>
          <w:color w:val="auto"/>
          <w:szCs w:val="32"/>
          <w:highlight w:val="none"/>
          <w:lang w:val="en-US" w:eastAsia="zh-CN"/>
        </w:rPr>
        <w:t>全县域防风固沙</w:t>
      </w:r>
      <w:r>
        <w:rPr>
          <w:rFonts w:hint="eastAsia" w:ascii="仿宋_GB2312"/>
          <w:color w:val="auto"/>
          <w:szCs w:val="32"/>
          <w:highlight w:val="none"/>
        </w:rPr>
        <w:t>水平。</w:t>
      </w:r>
    </w:p>
    <w:p w14:paraId="3CE1D675">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7F400001">
      <w:pPr>
        <w:pStyle w:val="54"/>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2</w:t>
      </w:r>
      <w:r>
        <w:rPr>
          <w:rFonts w:hint="eastAsia" w:ascii="仿宋_GB2312"/>
          <w:color w:val="auto"/>
          <w:szCs w:val="32"/>
          <w:highlight w:val="none"/>
        </w:rPr>
        <w:t>个。</w:t>
      </w:r>
    </w:p>
    <w:p w14:paraId="6F19F740">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1FA35396">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（一）绩效自评工作开展范围</w:t>
      </w:r>
    </w:p>
    <w:p w14:paraId="4907682B">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4F4E7C8B">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（二）绩效自评工作对象</w:t>
      </w:r>
    </w:p>
    <w:p w14:paraId="5F0C4324">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 w:hAnsi="仿宋" w:eastAsia="仿宋" w:cs="仿宋"/>
          <w:bCs/>
          <w:color w:val="auto"/>
          <w:kern w:val="0"/>
          <w:highlight w:val="none"/>
          <w:lang w:eastAsia="zh-CN"/>
        </w:rPr>
        <w:t>于田县木尕拉镇2024年壮大村集体经济建设项目</w:t>
      </w:r>
      <w:r>
        <w:rPr>
          <w:color w:val="auto"/>
          <w:highlight w:val="none"/>
        </w:rPr>
        <w:t>资金的使用管理、项目产出、综合效益等进行评价。</w:t>
      </w:r>
    </w:p>
    <w:p w14:paraId="022B062A">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（三）绩效自评工作方式</w:t>
      </w:r>
    </w:p>
    <w:p w14:paraId="18EDC66F">
      <w:pPr>
        <w:pStyle w:val="35"/>
        <w:rPr>
          <w:color w:val="auto"/>
          <w:highlight w:val="none"/>
        </w:rPr>
      </w:pPr>
      <w:r>
        <w:rPr>
          <w:rFonts w:hint="eastAsia"/>
          <w:color w:val="auto"/>
          <w:highlight w:val="none"/>
        </w:rPr>
        <w:t>1.前期准备</w:t>
      </w:r>
    </w:p>
    <w:p w14:paraId="4B21EA76">
      <w:pPr>
        <w:pStyle w:val="54"/>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707DC719">
      <w:pPr>
        <w:pStyle w:val="54"/>
        <w:spacing w:line="540" w:lineRule="exact"/>
        <w:ind w:left="3" w:right="3" w:firstLine="560"/>
        <w:rPr>
          <w:color w:val="auto"/>
          <w:highlight w:val="none"/>
        </w:rPr>
      </w:pPr>
      <w:r>
        <w:rPr>
          <w:rFonts w:hint="eastAsia"/>
          <w:color w:val="auto"/>
          <w:highlight w:val="none"/>
        </w:rPr>
        <w:t xml:space="preserve">组     长：程永杰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木尕拉镇党委书记</w:t>
      </w:r>
    </w:p>
    <w:p w14:paraId="0A7769BE">
      <w:pPr>
        <w:pStyle w:val="54"/>
        <w:spacing w:line="540" w:lineRule="exact"/>
        <w:ind w:left="3" w:right="3" w:firstLine="560"/>
        <w:rPr>
          <w:color w:val="auto"/>
          <w:highlight w:val="none"/>
        </w:rPr>
      </w:pPr>
      <w:r>
        <w:rPr>
          <w:rFonts w:hint="eastAsia"/>
          <w:color w:val="auto"/>
          <w:highlight w:val="none"/>
        </w:rPr>
        <w:t>副组长：麦托合提·麦麦提敏                    木尕拉镇政府镇长</w:t>
      </w:r>
    </w:p>
    <w:p w14:paraId="1AB9F4D6">
      <w:pPr>
        <w:pStyle w:val="54"/>
        <w:spacing w:line="540" w:lineRule="exact"/>
        <w:ind w:left="3080" w:leftChars="175" w:right="3" w:hanging="2520" w:hangingChars="900"/>
        <w:rPr>
          <w:rFonts w:hint="default" w:eastAsia="仿宋_GB2312"/>
          <w:color w:val="auto"/>
          <w:highlight w:val="none"/>
          <w:lang w:val="en-US" w:eastAsia="zh-CN"/>
        </w:rPr>
      </w:pPr>
      <w:r>
        <w:rPr>
          <w:rFonts w:hint="eastAsia"/>
          <w:color w:val="auto"/>
          <w:highlight w:val="none"/>
        </w:rPr>
        <w:t>成    员：</w:t>
      </w:r>
      <w:r>
        <w:rPr>
          <w:rFonts w:hint="eastAsia"/>
          <w:color w:val="auto"/>
          <w:highlight w:val="none"/>
          <w:lang w:val="en-US" w:eastAsia="zh-CN"/>
        </w:rPr>
        <w:t>买买提艾莎·如孜</w:t>
      </w:r>
      <w:r>
        <w:rPr>
          <w:rFonts w:hint="eastAsia"/>
          <w:color w:val="auto"/>
          <w:highlight w:val="none"/>
        </w:rPr>
        <w:t xml:space="preserve">          </w:t>
      </w:r>
      <w:r>
        <w:rPr>
          <w:rFonts w:hint="eastAsia"/>
          <w:color w:val="auto"/>
          <w:highlight w:val="none"/>
          <w:lang w:val="en-US" w:eastAsia="zh-CN"/>
        </w:rPr>
        <w:t xml:space="preserve">              木尕拉镇人大主席</w:t>
      </w:r>
    </w:p>
    <w:p w14:paraId="59A338B2">
      <w:pPr>
        <w:pStyle w:val="54"/>
        <w:spacing w:line="540" w:lineRule="exact"/>
        <w:ind w:right="3" w:firstLine="1680" w:firstLineChars="600"/>
        <w:rPr>
          <w:rFonts w:hint="eastAsia" w:eastAsia="仿宋_GB2312"/>
          <w:color w:val="auto"/>
          <w:highlight w:val="none"/>
          <w:lang w:val="en-US" w:eastAsia="zh-CN"/>
        </w:rPr>
      </w:pPr>
      <w:r>
        <w:rPr>
          <w:rFonts w:hint="eastAsia"/>
          <w:color w:val="auto"/>
          <w:highlight w:val="none"/>
        </w:rPr>
        <w:t xml:space="preserve">左 鹏                                   </w:t>
      </w:r>
      <w:r>
        <w:rPr>
          <w:rFonts w:hint="eastAsia"/>
          <w:color w:val="auto"/>
          <w:highlight w:val="none"/>
          <w:lang w:val="en-US" w:eastAsia="zh-CN"/>
        </w:rPr>
        <w:t xml:space="preserve">            木尕拉镇党委</w:t>
      </w:r>
      <w:r>
        <w:rPr>
          <w:rFonts w:hint="eastAsia"/>
          <w:color w:val="auto"/>
          <w:highlight w:val="none"/>
        </w:rPr>
        <w:t>副书记</w:t>
      </w:r>
      <w:r>
        <w:rPr>
          <w:rFonts w:hint="eastAsia"/>
          <w:color w:val="auto"/>
          <w:highlight w:val="none"/>
          <w:lang w:val="en-US" w:eastAsia="zh-CN"/>
        </w:rPr>
        <w:t xml:space="preserve"> </w:t>
      </w:r>
    </w:p>
    <w:p w14:paraId="179FB7ED">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郑昕元</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纪检书记</w:t>
      </w:r>
    </w:p>
    <w:p w14:paraId="7D83FDAF">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 xml:space="preserve">阿力木江·买吐送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3A80D986">
      <w:pPr>
        <w:pStyle w:val="54"/>
        <w:spacing w:line="540" w:lineRule="exact"/>
        <w:ind w:left="0" w:leftChars="0" w:right="3" w:firstLine="1680" w:firstLineChars="600"/>
        <w:rPr>
          <w:rFonts w:hint="eastAsia"/>
          <w:color w:val="auto"/>
          <w:highlight w:val="none"/>
        </w:rPr>
      </w:pPr>
      <w:r>
        <w:rPr>
          <w:rFonts w:hint="eastAsia"/>
          <w:color w:val="auto"/>
          <w:highlight w:val="none"/>
        </w:rPr>
        <w:t xml:space="preserve">高 云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52DEB7DA">
      <w:pPr>
        <w:pStyle w:val="54"/>
        <w:spacing w:line="540" w:lineRule="exact"/>
        <w:ind w:left="0" w:leftChars="0" w:right="3" w:firstLine="1680" w:firstLineChars="600"/>
        <w:rPr>
          <w:color w:val="auto"/>
          <w:highlight w:val="none"/>
        </w:rPr>
      </w:pPr>
      <w:r>
        <w:rPr>
          <w:rFonts w:hint="eastAsia"/>
          <w:color w:val="auto"/>
          <w:highlight w:val="none"/>
          <w:lang w:val="en-US" w:eastAsia="zh-CN"/>
        </w:rPr>
        <w:t xml:space="preserve">帕提古丽·伊敏                            </w:t>
      </w:r>
      <w:r>
        <w:rPr>
          <w:rFonts w:hint="eastAsia"/>
          <w:color w:val="auto"/>
          <w:highlight w:val="none"/>
        </w:rPr>
        <w:t>木尕拉镇</w:t>
      </w:r>
      <w:r>
        <w:rPr>
          <w:rFonts w:hint="eastAsia"/>
          <w:color w:val="auto"/>
          <w:highlight w:val="none"/>
          <w:lang w:val="en-US" w:eastAsia="zh-CN"/>
        </w:rPr>
        <w:t>财政所所长</w:t>
      </w:r>
    </w:p>
    <w:p w14:paraId="3B0843F7">
      <w:pPr>
        <w:pStyle w:val="54"/>
        <w:spacing w:line="560" w:lineRule="exact"/>
        <w:ind w:left="3" w:right="3" w:firstLine="560"/>
        <w:rPr>
          <w:color w:val="auto"/>
          <w:highlight w:val="none"/>
        </w:rPr>
      </w:pPr>
      <w:r>
        <w:rPr>
          <w:rFonts w:hint="eastAsia"/>
          <w:color w:val="auto"/>
          <w:highlight w:val="none"/>
          <w:lang w:val="en-US" w:eastAsia="zh-CN"/>
        </w:rPr>
        <w:t>项目</w:t>
      </w:r>
      <w:r>
        <w:rPr>
          <w:rFonts w:hint="eastAsia"/>
          <w:color w:val="auto"/>
          <w:highlight w:val="none"/>
        </w:rPr>
        <w:t>办负责项目的计划制定、实施，督查、指导相关单位共同做好项目管理工作。切实把该项目作为基础设施建设的重要举措来抓，加强领导，明确分工，落实责任，密切配合，形成合力，推动该项目顺利实施。由木尕拉镇人民政府牵头，负责整个项目的统筹安排和经费使用管理工作，实现分级管理制度。</w:t>
      </w:r>
    </w:p>
    <w:p w14:paraId="1573BB60">
      <w:pPr>
        <w:pStyle w:val="35"/>
        <w:rPr>
          <w:color w:val="auto"/>
          <w:highlight w:val="none"/>
        </w:rPr>
      </w:pPr>
      <w:r>
        <w:rPr>
          <w:rFonts w:hint="eastAsia"/>
          <w:color w:val="auto"/>
          <w:highlight w:val="none"/>
        </w:rPr>
        <w:t>2.组织实施</w:t>
      </w:r>
    </w:p>
    <w:p w14:paraId="185E9C7E">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495BCBC6">
      <w:pPr>
        <w:pStyle w:val="35"/>
        <w:rPr>
          <w:color w:val="auto"/>
          <w:highlight w:val="none"/>
        </w:rPr>
      </w:pPr>
      <w:r>
        <w:rPr>
          <w:rFonts w:hint="eastAsia"/>
          <w:color w:val="auto"/>
          <w:highlight w:val="none"/>
        </w:rPr>
        <w:t>3.分析评价。</w:t>
      </w:r>
    </w:p>
    <w:p w14:paraId="6221137E">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49AA015E">
      <w:pPr>
        <w:pStyle w:val="54"/>
        <w:spacing w:line="560" w:lineRule="exact"/>
        <w:ind w:left="3" w:right="3" w:firstLine="560"/>
        <w:rPr>
          <w:color w:val="auto"/>
          <w:highlight w:val="none"/>
        </w:rPr>
      </w:pPr>
      <w:r>
        <w:rPr>
          <w:color w:val="auto"/>
          <w:highlight w:val="none"/>
        </w:rPr>
        <w:t>（1）绩效自评指标体系</w:t>
      </w:r>
    </w:p>
    <w:p w14:paraId="36CF13C0">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15</w:t>
      </w:r>
      <w:r>
        <w:rPr>
          <w:color w:val="auto"/>
          <w:highlight w:val="none"/>
        </w:rPr>
        <w:t>分、质量指标</w:t>
      </w:r>
      <w:r>
        <w:rPr>
          <w:rFonts w:hint="eastAsia"/>
          <w:color w:val="auto"/>
          <w:highlight w:val="none"/>
          <w:lang w:val="en-US" w:eastAsia="zh-CN"/>
        </w:rPr>
        <w:t>10</w:t>
      </w:r>
      <w:r>
        <w:rPr>
          <w:color w:val="auto"/>
          <w:highlight w:val="none"/>
        </w:rPr>
        <w:t>分，时效指标1</w:t>
      </w:r>
      <w:r>
        <w:rPr>
          <w:rFonts w:hint="eastAsia"/>
          <w:color w:val="auto"/>
          <w:highlight w:val="none"/>
          <w:lang w:val="en-US" w:eastAsia="zh-CN"/>
        </w:rPr>
        <w:t>5</w:t>
      </w:r>
      <w:r>
        <w:rPr>
          <w:color w:val="auto"/>
          <w:highlight w:val="none"/>
        </w:rPr>
        <w:t>分、成本指标</w:t>
      </w:r>
      <w:r>
        <w:rPr>
          <w:rFonts w:hint="eastAsia"/>
          <w:color w:val="auto"/>
          <w:highlight w:val="none"/>
          <w:lang w:val="en-US" w:eastAsia="zh-CN"/>
        </w:rPr>
        <w:t>10</w:t>
      </w:r>
      <w:r>
        <w:rPr>
          <w:color w:val="auto"/>
          <w:highlight w:val="none"/>
        </w:rPr>
        <w:t>分、效益指标</w:t>
      </w:r>
      <w:r>
        <w:rPr>
          <w:rFonts w:hint="eastAsia"/>
          <w:color w:val="auto"/>
          <w:highlight w:val="none"/>
          <w:lang w:val="en-US" w:eastAsia="zh-CN"/>
        </w:rPr>
        <w:t>30</w:t>
      </w:r>
      <w:r>
        <w:rPr>
          <w:color w:val="auto"/>
          <w:highlight w:val="none"/>
        </w:rPr>
        <w:t>分、</w:t>
      </w:r>
      <w:r>
        <w:rPr>
          <w:rFonts w:hint="eastAsia"/>
          <w:color w:val="auto"/>
          <w:highlight w:val="none"/>
          <w:lang w:val="en-US" w:eastAsia="zh-CN"/>
        </w:rPr>
        <w:t>服务对象</w:t>
      </w:r>
      <w:r>
        <w:rPr>
          <w:color w:val="auto"/>
          <w:highlight w:val="none"/>
        </w:rPr>
        <w:t>满意度指标1</w:t>
      </w:r>
      <w:r>
        <w:rPr>
          <w:rFonts w:hint="eastAsia"/>
          <w:color w:val="auto"/>
          <w:highlight w:val="none"/>
          <w:lang w:val="en-US" w:eastAsia="zh-CN"/>
        </w:rPr>
        <w:t>0</w:t>
      </w:r>
      <w:r>
        <w:rPr>
          <w:color w:val="auto"/>
          <w:highlight w:val="none"/>
        </w:rPr>
        <w:t>分、预算资金执行率10分，满分100分。</w:t>
      </w:r>
    </w:p>
    <w:p w14:paraId="75986A20">
      <w:pPr>
        <w:pStyle w:val="54"/>
        <w:spacing w:line="560" w:lineRule="exact"/>
        <w:ind w:left="3" w:right="3" w:firstLine="560"/>
        <w:rPr>
          <w:color w:val="auto"/>
          <w:highlight w:val="none"/>
        </w:rPr>
      </w:pPr>
      <w:r>
        <w:rPr>
          <w:color w:val="auto"/>
          <w:highlight w:val="none"/>
        </w:rPr>
        <w:t>（2）绩效自评方法</w:t>
      </w:r>
    </w:p>
    <w:p w14:paraId="61E5B01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6E9BC7EF">
      <w:pPr>
        <w:pStyle w:val="54"/>
        <w:spacing w:line="560" w:lineRule="exact"/>
        <w:ind w:left="3" w:right="3" w:firstLine="560"/>
        <w:rPr>
          <w:color w:val="auto"/>
          <w:highlight w:val="none"/>
        </w:rPr>
      </w:pPr>
      <w:r>
        <w:rPr>
          <w:color w:val="auto"/>
          <w:highlight w:val="none"/>
        </w:rPr>
        <w:t>（3）绩效自评标准</w:t>
      </w:r>
    </w:p>
    <w:p w14:paraId="7527DAE7">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BC5AF8E">
      <w:pPr>
        <w:pStyle w:val="54"/>
        <w:spacing w:line="560" w:lineRule="exact"/>
        <w:ind w:left="3" w:right="3" w:firstLine="560"/>
        <w:rPr>
          <w:color w:val="auto"/>
          <w:highlight w:val="none"/>
        </w:rPr>
      </w:pPr>
      <w:r>
        <w:rPr>
          <w:color w:val="auto"/>
          <w:highlight w:val="none"/>
        </w:rPr>
        <w:t>（4）绩效自评等级</w:t>
      </w:r>
    </w:p>
    <w:p w14:paraId="57706031">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5EA38C4D">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1EEDD8E0">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（一）资金投入情况分析</w:t>
      </w:r>
    </w:p>
    <w:p w14:paraId="25BDBE11">
      <w:pPr>
        <w:pStyle w:val="35"/>
        <w:rPr>
          <w:color w:val="auto"/>
          <w:highlight w:val="none"/>
        </w:rPr>
      </w:pPr>
      <w:r>
        <w:rPr>
          <w:rFonts w:hint="eastAsia"/>
          <w:color w:val="auto"/>
          <w:highlight w:val="none"/>
        </w:rPr>
        <w:t>1.项目资金到位情况分析</w:t>
      </w:r>
    </w:p>
    <w:p w14:paraId="21BEF4A5">
      <w:pPr>
        <w:pStyle w:val="54"/>
        <w:spacing w:line="560" w:lineRule="exact"/>
        <w:ind w:left="0" w:leftChars="0" w:right="3" w:firstLine="560"/>
        <w:rPr>
          <w:color w:val="auto"/>
          <w:highlight w:val="yellow"/>
        </w:rPr>
      </w:pPr>
      <w:r>
        <w:rPr>
          <w:rFonts w:hint="eastAsia"/>
          <w:color w:val="auto"/>
          <w:highlight w:val="none"/>
          <w:lang w:eastAsia="zh-CN"/>
        </w:rPr>
        <w:t>于田县木尕拉镇2024年壮大村集体经济建设项目</w:t>
      </w:r>
      <w:r>
        <w:rPr>
          <w:rFonts w:hint="eastAsia"/>
          <w:color w:val="auto"/>
          <w:highlight w:val="none"/>
        </w:rPr>
        <w:t>预算安排总额为</w:t>
      </w:r>
      <w:r>
        <w:rPr>
          <w:rFonts w:hint="eastAsia"/>
          <w:color w:val="auto"/>
          <w:highlight w:val="none"/>
          <w:lang w:val="en-US" w:eastAsia="zh-CN"/>
        </w:rPr>
        <w:t>239.13</w:t>
      </w:r>
      <w:r>
        <w:rPr>
          <w:rFonts w:hint="eastAsia"/>
          <w:color w:val="auto"/>
          <w:highlight w:val="none"/>
        </w:rPr>
        <w:t>万元，其中：以乡村振兴衔接资金</w:t>
      </w:r>
      <w:r>
        <w:rPr>
          <w:rFonts w:hint="eastAsia" w:eastAsia="楷体_GB2312"/>
          <w:color w:val="auto"/>
          <w:highlight w:val="none"/>
          <w:lang w:val="en-US" w:eastAsia="zh-CN"/>
        </w:rPr>
        <w:t>239.13</w:t>
      </w:r>
      <w:r>
        <w:rPr>
          <w:rFonts w:hint="eastAsia"/>
          <w:color w:val="auto"/>
          <w:highlight w:val="none"/>
        </w:rPr>
        <w:t>万元。预算资金到位率为100%。</w:t>
      </w:r>
    </w:p>
    <w:p w14:paraId="603BEF30">
      <w:pPr>
        <w:pStyle w:val="54"/>
        <w:spacing w:line="560" w:lineRule="exact"/>
        <w:ind w:left="0" w:leftChars="0" w:right="3" w:firstLine="562"/>
        <w:rPr>
          <w:b w:val="0"/>
          <w:bCs/>
          <w:color w:val="auto"/>
          <w:highlight w:val="none"/>
        </w:rPr>
      </w:pPr>
      <w:r>
        <w:rPr>
          <w:rFonts w:hint="eastAsia"/>
          <w:b w:val="0"/>
          <w:bCs/>
          <w:color w:val="auto"/>
          <w:highlight w:val="none"/>
        </w:rPr>
        <w:t>2.项目资金执行情况分析</w:t>
      </w:r>
    </w:p>
    <w:p w14:paraId="51603501">
      <w:pPr>
        <w:pStyle w:val="54"/>
        <w:spacing w:line="560" w:lineRule="exact"/>
        <w:ind w:left="0" w:leftChars="0" w:right="3" w:firstLine="560"/>
        <w:rPr>
          <w:color w:val="auto"/>
          <w:highlight w:val="none"/>
        </w:rPr>
      </w:pPr>
      <w:r>
        <w:rPr>
          <w:rFonts w:hint="eastAsia"/>
          <w:color w:val="auto"/>
          <w:highlight w:val="none"/>
          <w:lang w:eastAsia="zh-CN"/>
        </w:rPr>
        <w:t>于田县木尕拉镇2024年壮大村集体经济建设项目</w:t>
      </w:r>
      <w:r>
        <w:rPr>
          <w:rFonts w:hint="eastAsia"/>
          <w:color w:val="auto"/>
          <w:highlight w:val="none"/>
        </w:rPr>
        <w:t>预算投入资金</w:t>
      </w:r>
      <w:r>
        <w:rPr>
          <w:rFonts w:hint="eastAsia"/>
          <w:color w:val="auto"/>
          <w:highlight w:val="none"/>
          <w:lang w:val="en-US" w:eastAsia="zh-CN"/>
        </w:rPr>
        <w:t>239.19</w:t>
      </w:r>
      <w:r>
        <w:rPr>
          <w:rFonts w:hint="eastAsia"/>
          <w:color w:val="auto"/>
          <w:highlight w:val="none"/>
        </w:rPr>
        <w:t>万元，经财务决算，项目实际完成投资共233</w:t>
      </w:r>
      <w:r>
        <w:rPr>
          <w:rFonts w:hint="eastAsia"/>
          <w:color w:val="auto"/>
          <w:highlight w:val="none"/>
          <w:lang w:val="en-US" w:eastAsia="zh-CN"/>
        </w:rPr>
        <w:t>.</w:t>
      </w:r>
      <w:r>
        <w:rPr>
          <w:rFonts w:hint="eastAsia"/>
          <w:color w:val="auto"/>
          <w:highlight w:val="none"/>
        </w:rPr>
        <w:t>3</w:t>
      </w:r>
      <w:r>
        <w:rPr>
          <w:rFonts w:hint="eastAsia"/>
          <w:color w:val="auto"/>
          <w:highlight w:val="none"/>
          <w:lang w:val="en-US" w:eastAsia="zh-CN"/>
        </w:rPr>
        <w:t>8</w:t>
      </w:r>
      <w:r>
        <w:rPr>
          <w:rFonts w:hint="eastAsia"/>
          <w:color w:val="auto"/>
          <w:highlight w:val="none"/>
        </w:rPr>
        <w:t>万元，其中：工程投资212</w:t>
      </w:r>
      <w:r>
        <w:rPr>
          <w:rFonts w:hint="eastAsia"/>
          <w:color w:val="auto"/>
          <w:highlight w:val="none"/>
          <w:lang w:val="en-US" w:eastAsia="zh-CN"/>
        </w:rPr>
        <w:t>.</w:t>
      </w:r>
      <w:r>
        <w:rPr>
          <w:rFonts w:hint="eastAsia"/>
          <w:color w:val="auto"/>
          <w:highlight w:val="none"/>
        </w:rPr>
        <w:t>05万元，待摊投资 2</w:t>
      </w:r>
      <w:r>
        <w:rPr>
          <w:rFonts w:hint="eastAsia"/>
          <w:color w:val="auto"/>
          <w:highlight w:val="none"/>
          <w:lang w:val="en-US" w:eastAsia="zh-CN"/>
        </w:rPr>
        <w:t>1.</w:t>
      </w:r>
      <w:r>
        <w:rPr>
          <w:rFonts w:hint="eastAsia"/>
          <w:color w:val="auto"/>
          <w:highlight w:val="none"/>
        </w:rPr>
        <w:t>3</w:t>
      </w:r>
      <w:r>
        <w:rPr>
          <w:rFonts w:hint="eastAsia"/>
          <w:color w:val="auto"/>
          <w:highlight w:val="none"/>
          <w:lang w:val="en-US" w:eastAsia="zh-CN"/>
        </w:rPr>
        <w:t>3</w:t>
      </w:r>
      <w:r>
        <w:rPr>
          <w:rFonts w:hint="eastAsia"/>
          <w:color w:val="auto"/>
          <w:highlight w:val="none"/>
        </w:rPr>
        <w:t>万元</w:t>
      </w:r>
      <w:r>
        <w:rPr>
          <w:rFonts w:hint="eastAsia"/>
          <w:color w:val="auto"/>
          <w:highlight w:val="none"/>
          <w:lang w:eastAsia="zh-CN"/>
        </w:rPr>
        <w:t>，</w:t>
      </w:r>
      <w:r>
        <w:rPr>
          <w:rFonts w:hint="eastAsia"/>
          <w:color w:val="auto"/>
          <w:highlight w:val="none"/>
          <w:lang w:val="en-US" w:eastAsia="zh-CN"/>
        </w:rPr>
        <w:t>剩余资金财政收回</w:t>
      </w:r>
      <w:r>
        <w:rPr>
          <w:rFonts w:hint="eastAsia"/>
          <w:color w:val="auto"/>
          <w:highlight w:val="none"/>
        </w:rPr>
        <w:t>。截至202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月31日，项目实际支出233</w:t>
      </w:r>
      <w:r>
        <w:rPr>
          <w:rFonts w:hint="eastAsia"/>
          <w:color w:val="auto"/>
          <w:highlight w:val="none"/>
          <w:lang w:val="en-US" w:eastAsia="zh-CN"/>
        </w:rPr>
        <w:t>.</w:t>
      </w:r>
      <w:r>
        <w:rPr>
          <w:rFonts w:hint="eastAsia"/>
          <w:color w:val="auto"/>
          <w:highlight w:val="none"/>
        </w:rPr>
        <w:t>3</w:t>
      </w:r>
      <w:r>
        <w:rPr>
          <w:rFonts w:hint="eastAsia"/>
          <w:color w:val="auto"/>
          <w:highlight w:val="none"/>
          <w:lang w:val="en-US" w:eastAsia="zh-CN"/>
        </w:rPr>
        <w:t>8</w:t>
      </w:r>
      <w:r>
        <w:rPr>
          <w:rFonts w:hint="eastAsia"/>
          <w:color w:val="auto"/>
          <w:highlight w:val="none"/>
        </w:rPr>
        <w:t>万元，预算资金执行率</w:t>
      </w:r>
      <w:r>
        <w:rPr>
          <w:rFonts w:hint="eastAsia"/>
          <w:color w:val="auto"/>
          <w:highlight w:val="none"/>
          <w:lang w:val="en-US" w:eastAsia="zh-CN"/>
        </w:rPr>
        <w:t>97.60</w:t>
      </w:r>
      <w:r>
        <w:rPr>
          <w:rFonts w:hint="eastAsia"/>
          <w:color w:val="auto"/>
          <w:highlight w:val="none"/>
        </w:rPr>
        <w:t>%。</w:t>
      </w:r>
    </w:p>
    <w:p w14:paraId="62D03768">
      <w:pPr>
        <w:pStyle w:val="35"/>
        <w:rPr>
          <w:color w:val="auto"/>
          <w:highlight w:val="none"/>
        </w:rPr>
      </w:pPr>
      <w:r>
        <w:rPr>
          <w:rFonts w:hint="eastAsia"/>
          <w:color w:val="auto"/>
          <w:highlight w:val="none"/>
        </w:rPr>
        <w:t>3.项目资金管理情况分析</w:t>
      </w:r>
    </w:p>
    <w:p w14:paraId="5D6B7A21">
      <w:pPr>
        <w:pStyle w:val="54"/>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980386B">
      <w:pPr>
        <w:pStyle w:val="54"/>
        <w:spacing w:line="560" w:lineRule="exact"/>
        <w:ind w:leftChars="0" w:right="3" w:firstLine="562"/>
        <w:rPr>
          <w:b/>
          <w:color w:val="auto"/>
          <w:highlight w:val="none"/>
        </w:rPr>
      </w:pPr>
      <w:r>
        <w:rPr>
          <w:rFonts w:hint="eastAsia"/>
          <w:b/>
          <w:color w:val="auto"/>
          <w:highlight w:val="none"/>
        </w:rPr>
        <w:t>4.项目管理情况分析</w:t>
      </w:r>
    </w:p>
    <w:p w14:paraId="4401ADEF">
      <w:pPr>
        <w:pStyle w:val="54"/>
        <w:spacing w:line="580" w:lineRule="exact"/>
        <w:ind w:left="0" w:leftChars="0" w:right="3" w:firstLine="560"/>
        <w:rPr>
          <w:color w:val="auto"/>
          <w:highlight w:val="none"/>
        </w:rPr>
      </w:pPr>
      <w:r>
        <w:rPr>
          <w:rFonts w:hint="eastAsia"/>
          <w:color w:val="auto"/>
          <w:highlight w:val="none"/>
        </w:rPr>
        <w:t>在项目实施中，于田县木尕拉镇人民政府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9F9DA8F">
      <w:pPr>
        <w:spacing w:line="58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（二）绩效目标完成情况分析</w:t>
      </w:r>
    </w:p>
    <w:p w14:paraId="3D07C067">
      <w:pPr>
        <w:pStyle w:val="54"/>
        <w:spacing w:line="580" w:lineRule="exact"/>
        <w:ind w:left="3" w:right="3" w:firstLine="560"/>
        <w:rPr>
          <w:color w:val="auto"/>
          <w:highlight w:val="none"/>
        </w:rPr>
      </w:pPr>
      <w:r>
        <w:rPr>
          <w:color w:val="auto"/>
          <w:highlight w:val="none"/>
        </w:rPr>
        <w:t>本项目在20</w:t>
      </w:r>
      <w:r>
        <w:rPr>
          <w:rFonts w:hint="eastAsia"/>
          <w:color w:val="auto"/>
          <w:highlight w:val="none"/>
          <w:lang w:val="en-US" w:eastAsia="zh-CN"/>
        </w:rPr>
        <w:t>24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w:t>
      </w:r>
      <w:r>
        <w:rPr>
          <w:rFonts w:hint="eastAsia"/>
          <w:color w:val="auto"/>
          <w:highlight w:val="none"/>
          <w:lang w:val="en-US" w:eastAsia="zh-CN"/>
        </w:rPr>
        <w:t>项目已完成在沙漠里土地平整1200亩用于种植大芸，其中：库开仁村400亩、阿斯廷奥依村400 亩、木尕库勒贝希村400亩，土方调配总量为1626764.79 立方米。</w:t>
      </w:r>
      <w:r>
        <w:rPr>
          <w:rFonts w:hint="eastAsia"/>
          <w:color w:val="auto"/>
          <w:highlight w:val="none"/>
        </w:rPr>
        <w:t>该工程已完成竣工验收，资产</w:t>
      </w:r>
      <w:r>
        <w:rPr>
          <w:rFonts w:hint="eastAsia"/>
          <w:color w:val="auto"/>
          <w:highlight w:val="none"/>
          <w:lang w:val="en-US" w:eastAsia="zh-CN"/>
        </w:rPr>
        <w:t>归属</w:t>
      </w:r>
      <w:r>
        <w:rPr>
          <w:rFonts w:hint="eastAsia"/>
          <w:color w:val="auto"/>
          <w:highlight w:val="none"/>
        </w:rPr>
        <w:t>于田县木尕拉镇人民政府</w:t>
      </w:r>
      <w:r>
        <w:rPr>
          <w:rFonts w:hint="eastAsia"/>
          <w:color w:val="auto"/>
          <w:highlight w:val="none"/>
          <w:lang w:eastAsia="zh-CN"/>
        </w:rPr>
        <w:t>，</w:t>
      </w:r>
      <w:r>
        <w:rPr>
          <w:rFonts w:hint="eastAsia"/>
          <w:color w:val="auto"/>
          <w:highlight w:val="none"/>
          <w:lang w:val="en-US" w:eastAsia="zh-CN"/>
        </w:rPr>
        <w:t>后期经过党委会研究后移交阿斯庭奥义村</w:t>
      </w:r>
      <w:r>
        <w:rPr>
          <w:rFonts w:hint="eastAsia"/>
          <w:color w:val="auto"/>
          <w:highlight w:val="none"/>
        </w:rPr>
        <w:t>、</w:t>
      </w:r>
      <w:r>
        <w:rPr>
          <w:rFonts w:hint="eastAsia"/>
          <w:color w:val="auto"/>
          <w:highlight w:val="none"/>
          <w:lang w:val="en-US" w:eastAsia="zh-CN"/>
        </w:rPr>
        <w:t>库开仁村、木尕库勒贝希村</w:t>
      </w:r>
      <w:r>
        <w:rPr>
          <w:rFonts w:hint="eastAsia"/>
          <w:color w:val="auto"/>
          <w:highlight w:val="none"/>
        </w:rPr>
        <w:t>负责</w:t>
      </w:r>
      <w:r>
        <w:rPr>
          <w:rFonts w:hint="eastAsia"/>
          <w:color w:val="auto"/>
          <w:highlight w:val="none"/>
          <w:lang w:val="en-US" w:eastAsia="zh-CN"/>
        </w:rPr>
        <w:t>实际</w:t>
      </w:r>
      <w:r>
        <w:rPr>
          <w:rFonts w:hint="eastAsia"/>
          <w:color w:val="auto"/>
          <w:highlight w:val="none"/>
        </w:rPr>
        <w:t>运行，维护</w:t>
      </w:r>
      <w:r>
        <w:rPr>
          <w:rFonts w:hint="eastAsia"/>
          <w:color w:val="auto"/>
          <w:highlight w:val="none"/>
          <w:lang w:eastAsia="zh-CN"/>
        </w:rPr>
        <w:t>，</w:t>
      </w:r>
      <w:r>
        <w:rPr>
          <w:rFonts w:hint="eastAsia"/>
          <w:color w:val="auto"/>
          <w:highlight w:val="none"/>
          <w:lang w:val="en-US" w:eastAsia="zh-CN"/>
        </w:rPr>
        <w:t>受益等</w:t>
      </w:r>
      <w:r>
        <w:rPr>
          <w:rFonts w:hint="eastAsia"/>
          <w:color w:val="auto"/>
          <w:highlight w:val="none"/>
        </w:rPr>
        <w:t>。通过</w:t>
      </w:r>
      <w:r>
        <w:rPr>
          <w:rFonts w:hint="eastAsia"/>
          <w:color w:val="auto"/>
          <w:highlight w:val="none"/>
          <w:lang w:eastAsia="zh-CN"/>
        </w:rPr>
        <w:t>于田县木尕拉镇2024年壮大村集体经济建设项目</w:t>
      </w:r>
      <w:r>
        <w:rPr>
          <w:rFonts w:hint="eastAsia"/>
          <w:color w:val="auto"/>
          <w:highlight w:val="none"/>
        </w:rPr>
        <w:t>实施，完善</w:t>
      </w:r>
      <w:r>
        <w:rPr>
          <w:rFonts w:hint="eastAsia"/>
          <w:color w:val="auto"/>
          <w:highlight w:val="none"/>
          <w:lang w:val="en-US" w:eastAsia="zh-CN"/>
        </w:rPr>
        <w:t>农业</w:t>
      </w:r>
      <w:r>
        <w:rPr>
          <w:rFonts w:hint="eastAsia"/>
          <w:color w:val="auto"/>
          <w:highlight w:val="none"/>
        </w:rPr>
        <w:t>基础设施</w:t>
      </w:r>
      <w:r>
        <w:rPr>
          <w:rFonts w:hint="eastAsia"/>
          <w:color w:val="auto"/>
          <w:highlight w:val="none"/>
          <w:lang w:val="en-US" w:eastAsia="zh-CN"/>
        </w:rPr>
        <w:t>建设</w:t>
      </w:r>
      <w:r>
        <w:rPr>
          <w:rFonts w:hint="eastAsia"/>
          <w:color w:val="auto"/>
          <w:highlight w:val="none"/>
        </w:rPr>
        <w:t>，促进</w:t>
      </w:r>
      <w:r>
        <w:rPr>
          <w:rFonts w:hint="eastAsia"/>
          <w:color w:val="auto"/>
          <w:highlight w:val="none"/>
          <w:lang w:val="en-US" w:eastAsia="zh-CN"/>
        </w:rPr>
        <w:t>沙漠</w:t>
      </w:r>
      <w:r>
        <w:rPr>
          <w:rFonts w:hint="eastAsia"/>
          <w:color w:val="auto"/>
          <w:highlight w:val="none"/>
        </w:rPr>
        <w:t>区域</w:t>
      </w:r>
      <w:r>
        <w:rPr>
          <w:rFonts w:hint="eastAsia"/>
          <w:color w:val="auto"/>
          <w:highlight w:val="none"/>
          <w:lang w:val="en-US" w:eastAsia="zh-CN"/>
        </w:rPr>
        <w:t>土地</w:t>
      </w:r>
      <w:r>
        <w:rPr>
          <w:rFonts w:hint="eastAsia"/>
          <w:color w:val="auto"/>
          <w:highlight w:val="none"/>
        </w:rPr>
        <w:t>开发力度和</w:t>
      </w:r>
      <w:r>
        <w:rPr>
          <w:rFonts w:hint="eastAsia"/>
          <w:color w:val="auto"/>
          <w:highlight w:val="none"/>
          <w:lang w:val="en-US" w:eastAsia="zh-CN"/>
        </w:rPr>
        <w:t>基础设计</w:t>
      </w:r>
      <w:r>
        <w:rPr>
          <w:rFonts w:hint="eastAsia"/>
          <w:color w:val="auto"/>
          <w:highlight w:val="none"/>
        </w:rPr>
        <w:t>的建设，有力推动</w:t>
      </w:r>
      <w:r>
        <w:rPr>
          <w:rFonts w:hint="eastAsia"/>
          <w:color w:val="auto"/>
          <w:highlight w:val="none"/>
          <w:lang w:val="en-US" w:eastAsia="zh-CN"/>
        </w:rPr>
        <w:t>特色中药材种植</w:t>
      </w:r>
      <w:r>
        <w:rPr>
          <w:rFonts w:hint="eastAsia"/>
          <w:color w:val="auto"/>
          <w:highlight w:val="none"/>
        </w:rPr>
        <w:t>经济</w:t>
      </w:r>
      <w:r>
        <w:rPr>
          <w:rFonts w:hint="eastAsia"/>
          <w:color w:val="auto"/>
          <w:highlight w:val="none"/>
          <w:lang w:val="en-US" w:eastAsia="zh-CN"/>
        </w:rPr>
        <w:t>的</w:t>
      </w:r>
      <w:r>
        <w:rPr>
          <w:rFonts w:hint="eastAsia"/>
          <w:color w:val="auto"/>
          <w:highlight w:val="none"/>
        </w:rPr>
        <w:t>发展，且有利于</w:t>
      </w:r>
      <w:r>
        <w:rPr>
          <w:rFonts w:hint="eastAsia"/>
          <w:color w:val="auto"/>
          <w:highlight w:val="none"/>
          <w:lang w:val="en-US" w:eastAsia="zh-CN"/>
        </w:rPr>
        <w:t>帮助</w:t>
      </w:r>
      <w:r>
        <w:rPr>
          <w:rFonts w:hint="eastAsia"/>
          <w:color w:val="auto"/>
          <w:highlight w:val="none"/>
        </w:rPr>
        <w:t>村民的</w:t>
      </w:r>
      <w:r>
        <w:rPr>
          <w:rFonts w:hint="eastAsia"/>
          <w:color w:val="auto"/>
          <w:highlight w:val="none"/>
          <w:lang w:val="en-US" w:eastAsia="zh-CN"/>
        </w:rPr>
        <w:t>就业增收条件</w:t>
      </w:r>
      <w:r>
        <w:rPr>
          <w:rFonts w:hint="eastAsia"/>
          <w:color w:val="auto"/>
          <w:highlight w:val="none"/>
        </w:rPr>
        <w:t>，</w:t>
      </w:r>
      <w:r>
        <w:rPr>
          <w:rFonts w:hint="eastAsia"/>
          <w:color w:val="auto"/>
          <w:highlight w:val="none"/>
          <w:lang w:val="en-US" w:eastAsia="zh-CN"/>
        </w:rPr>
        <w:t>提升农牧民群众</w:t>
      </w:r>
      <w:r>
        <w:rPr>
          <w:rFonts w:hint="eastAsia"/>
          <w:color w:val="auto"/>
          <w:highlight w:val="none"/>
        </w:rPr>
        <w:t>幸福感，使其成为</w:t>
      </w:r>
      <w:r>
        <w:rPr>
          <w:rFonts w:hint="eastAsia"/>
          <w:color w:val="auto"/>
          <w:highlight w:val="none"/>
          <w:lang w:val="en-US" w:eastAsia="zh-CN"/>
        </w:rPr>
        <w:t>发展特色种植产业，提升</w:t>
      </w:r>
      <w:r>
        <w:rPr>
          <w:rFonts w:hint="eastAsia"/>
          <w:color w:val="auto"/>
          <w:highlight w:val="none"/>
        </w:rPr>
        <w:t>经济发展</w:t>
      </w:r>
      <w:r>
        <w:rPr>
          <w:rFonts w:hint="eastAsia"/>
          <w:color w:val="auto"/>
          <w:highlight w:val="none"/>
          <w:lang w:val="en-US" w:eastAsia="zh-CN"/>
        </w:rPr>
        <w:t>效益的重要保障</w:t>
      </w:r>
      <w:r>
        <w:rPr>
          <w:rFonts w:hint="eastAsia"/>
          <w:color w:val="auto"/>
          <w:highlight w:val="none"/>
        </w:rPr>
        <w:t>。项目建设对于推进于田县</w:t>
      </w:r>
      <w:r>
        <w:rPr>
          <w:rFonts w:hint="eastAsia"/>
          <w:color w:val="auto"/>
          <w:highlight w:val="none"/>
          <w:lang w:val="en-US" w:eastAsia="zh-CN"/>
        </w:rPr>
        <w:t>防风固沙与特色种植产业经济发展具有</w:t>
      </w:r>
      <w:r>
        <w:rPr>
          <w:rFonts w:hint="eastAsia"/>
          <w:color w:val="auto"/>
          <w:highlight w:val="none"/>
        </w:rPr>
        <w:t>有重要意义。该项目以农业增效、农民增收、</w:t>
      </w:r>
      <w:r>
        <w:rPr>
          <w:rFonts w:hint="eastAsia"/>
          <w:color w:val="auto"/>
          <w:highlight w:val="none"/>
          <w:lang w:val="en-US" w:eastAsia="zh-CN"/>
        </w:rPr>
        <w:t>县域环境</w:t>
      </w:r>
      <w:r>
        <w:rPr>
          <w:rFonts w:hint="eastAsia"/>
          <w:color w:val="auto"/>
          <w:highlight w:val="none"/>
        </w:rPr>
        <w:t>增美为核心，以深化</w:t>
      </w:r>
      <w:r>
        <w:rPr>
          <w:rFonts w:hint="eastAsia"/>
          <w:color w:val="auto"/>
          <w:highlight w:val="none"/>
          <w:lang w:val="en-US" w:eastAsia="zh-CN"/>
        </w:rPr>
        <w:t>农业基础发展</w:t>
      </w:r>
      <w:r>
        <w:rPr>
          <w:rFonts w:hint="eastAsia"/>
          <w:color w:val="auto"/>
          <w:highlight w:val="none"/>
        </w:rPr>
        <w:t>和提升</w:t>
      </w:r>
      <w:r>
        <w:rPr>
          <w:rFonts w:hint="eastAsia"/>
          <w:color w:val="auto"/>
          <w:highlight w:val="none"/>
          <w:lang w:val="en-US" w:eastAsia="zh-CN"/>
        </w:rPr>
        <w:t>防风固沙</w:t>
      </w:r>
      <w:r>
        <w:rPr>
          <w:rFonts w:hint="eastAsia"/>
          <w:color w:val="auto"/>
          <w:highlight w:val="none"/>
        </w:rPr>
        <w:t>整治工程，着力推进“生态经济体系、生态</w:t>
      </w:r>
      <w:r>
        <w:rPr>
          <w:rFonts w:hint="eastAsia"/>
          <w:color w:val="auto"/>
          <w:highlight w:val="none"/>
          <w:lang w:val="en-US" w:eastAsia="zh-CN"/>
        </w:rPr>
        <w:t>宜居</w:t>
      </w:r>
      <w:r>
        <w:rPr>
          <w:rFonts w:hint="eastAsia"/>
          <w:color w:val="auto"/>
          <w:highlight w:val="none"/>
        </w:rPr>
        <w:t>体系、生态文化体系、生态环境体系”等四大体系建设，带动</w:t>
      </w:r>
      <w:r>
        <w:rPr>
          <w:rFonts w:hint="eastAsia"/>
          <w:color w:val="auto"/>
          <w:highlight w:val="none"/>
          <w:lang w:val="en-US" w:eastAsia="zh-CN"/>
        </w:rPr>
        <w:t>农业</w:t>
      </w:r>
      <w:r>
        <w:rPr>
          <w:rFonts w:hint="eastAsia"/>
          <w:color w:val="auto"/>
          <w:highlight w:val="none"/>
        </w:rPr>
        <w:t>经济一体化快速发展，整体提升</w:t>
      </w:r>
      <w:r>
        <w:rPr>
          <w:rFonts w:hint="eastAsia"/>
          <w:color w:val="auto"/>
          <w:highlight w:val="none"/>
          <w:lang w:val="en-US" w:eastAsia="zh-CN"/>
        </w:rPr>
        <w:t>县域防风固沙治理</w:t>
      </w:r>
      <w:r>
        <w:rPr>
          <w:rFonts w:hint="eastAsia"/>
          <w:color w:val="auto"/>
          <w:highlight w:val="none"/>
        </w:rPr>
        <w:t>水平。</w:t>
      </w:r>
    </w:p>
    <w:p w14:paraId="0ED5354E">
      <w:pPr>
        <w:pStyle w:val="54"/>
        <w:ind w:left="0" w:leftChars="0" w:right="0" w:rightChars="0" w:firstLine="560"/>
        <w:rPr>
          <w:color w:val="auto"/>
          <w:highlight w:val="none"/>
        </w:rPr>
      </w:pPr>
      <w:r>
        <w:rPr>
          <w:color w:val="auto"/>
          <w:highlight w:val="none"/>
        </w:rPr>
        <w:t>本</w:t>
      </w:r>
      <w:r>
        <w:rPr>
          <w:rFonts w:hint="eastAsia"/>
          <w:color w:val="auto"/>
          <w:highlight w:val="none"/>
        </w:rPr>
        <w:t>项</w:t>
      </w:r>
      <w:r>
        <w:rPr>
          <w:rFonts w:hint="eastAsia" w:ascii="仿宋_GB2312"/>
          <w:color w:val="auto"/>
          <w:szCs w:val="32"/>
          <w:highlight w:val="none"/>
        </w:rPr>
        <w:t>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2</w:t>
      </w:r>
      <w:r>
        <w:rPr>
          <w:rFonts w:hint="eastAsia" w:ascii="仿宋_GB2312"/>
          <w:color w:val="auto"/>
          <w:szCs w:val="32"/>
          <w:highlight w:val="none"/>
        </w:rPr>
        <w:t>个</w:t>
      </w:r>
      <w:r>
        <w:rPr>
          <w:rFonts w:hint="eastAsia"/>
          <w:color w:val="auto"/>
          <w:highlight w:val="none"/>
        </w:rPr>
        <w:t>，指标完成率为</w:t>
      </w:r>
      <w:r>
        <w:rPr>
          <w:rFonts w:hint="eastAsia"/>
          <w:color w:val="auto"/>
          <w:highlight w:val="none"/>
          <w:lang w:val="en-US" w:eastAsia="zh-CN"/>
        </w:rPr>
        <w:t>66.67</w:t>
      </w:r>
      <w:r>
        <w:rPr>
          <w:rFonts w:hint="eastAsia"/>
          <w:color w:val="auto"/>
          <w:highlight w:val="none"/>
        </w:rPr>
        <w:t>%，指标完成情况分析如下：</w:t>
      </w:r>
    </w:p>
    <w:p w14:paraId="7D964D00">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3401F35C">
      <w:pPr>
        <w:pStyle w:val="54"/>
        <w:spacing w:line="580" w:lineRule="exact"/>
        <w:ind w:left="0" w:leftChars="0" w:right="0" w:rightChars="0" w:firstLine="560"/>
        <w:rPr>
          <w:rFonts w:ascii="仿宋_GB2312"/>
          <w:color w:val="auto"/>
          <w:highlight w:val="none"/>
        </w:rPr>
      </w:pPr>
      <w:r>
        <w:rPr>
          <w:rFonts w:hint="eastAsia" w:ascii="仿宋_GB2312"/>
          <w:color w:val="auto"/>
          <w:highlight w:val="none"/>
        </w:rPr>
        <w:t>1.项目完成数量</w:t>
      </w:r>
    </w:p>
    <w:p w14:paraId="3D1E26C4">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土地平整面积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1200亩</w:t>
      </w:r>
      <w:r>
        <w:rPr>
          <w:rFonts w:hint="eastAsia"/>
          <w:color w:val="auto"/>
          <w:highlight w:val="none"/>
        </w:rPr>
        <w:t>，全年实际值为</w:t>
      </w:r>
      <w:r>
        <w:rPr>
          <w:rFonts w:hint="eastAsia"/>
          <w:color w:val="auto"/>
          <w:highlight w:val="none"/>
          <w:lang w:val="en-US" w:eastAsia="zh-CN"/>
        </w:rPr>
        <w:t>1200亩</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 xml:space="preserve">分。 </w:t>
      </w:r>
      <w:r>
        <w:rPr>
          <w:color w:val="auto"/>
          <w:highlight w:val="none"/>
        </w:rPr>
        <w:t xml:space="preserve">             </w:t>
      </w:r>
    </w:p>
    <w:p w14:paraId="2FB89678">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项目涉及村数量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3个</w:t>
      </w:r>
      <w:r>
        <w:rPr>
          <w:rFonts w:hint="eastAsia"/>
          <w:color w:val="auto"/>
          <w:highlight w:val="none"/>
        </w:rPr>
        <w:t>,全年实际值为</w:t>
      </w:r>
      <w:r>
        <w:rPr>
          <w:rFonts w:hint="eastAsia"/>
          <w:color w:val="auto"/>
          <w:highlight w:val="none"/>
          <w:lang w:val="en-US" w:eastAsia="zh-CN"/>
        </w:rPr>
        <w:t>3个</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722D0BAB">
      <w:pPr>
        <w:pStyle w:val="54"/>
        <w:spacing w:line="560" w:lineRule="exact"/>
        <w:ind w:left="0" w:leftChars="0" w:right="0" w:rightChars="0" w:firstLine="560"/>
        <w:rPr>
          <w:color w:val="auto"/>
          <w:highlight w:val="yellow"/>
        </w:rPr>
      </w:pPr>
      <w:r>
        <w:rPr>
          <w:rFonts w:hint="eastAsia"/>
          <w:color w:val="auto"/>
          <w:highlight w:val="none"/>
        </w:rPr>
        <w:t>“</w:t>
      </w:r>
      <w:r>
        <w:rPr>
          <w:rFonts w:hint="eastAsia"/>
          <w:color w:val="auto"/>
          <w:highlight w:val="none"/>
          <w:lang w:val="en-US" w:eastAsia="zh-CN"/>
        </w:rPr>
        <w:t>土方调配总量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1626764.79立方米,全年实际值为1626764.79立方米，指标完成率为100.00%。所设分值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6AC459B">
      <w:pPr>
        <w:pStyle w:val="54"/>
        <w:spacing w:line="560" w:lineRule="exact"/>
        <w:ind w:left="640" w:leftChars="200" w:right="0" w:rightChars="0" w:firstLine="0" w:firstLineChars="0"/>
        <w:rPr>
          <w:color w:val="auto"/>
          <w:highlight w:val="none"/>
        </w:rPr>
      </w:pPr>
      <w:r>
        <w:rPr>
          <w:rFonts w:hint="eastAsia"/>
          <w:color w:val="auto"/>
          <w:highlight w:val="none"/>
        </w:rPr>
        <w:t>2.</w:t>
      </w:r>
      <w:r>
        <w:rPr>
          <w:color w:val="auto"/>
          <w:highlight w:val="none"/>
        </w:rPr>
        <w:t>项目完成</w:t>
      </w:r>
      <w:r>
        <w:rPr>
          <w:rFonts w:hint="eastAsia"/>
          <w:color w:val="auto"/>
          <w:highlight w:val="none"/>
        </w:rPr>
        <w:t>质量</w:t>
      </w:r>
    </w:p>
    <w:p w14:paraId="124EFD29">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”指标，预期指标值为100%,全年实际值为100% ，指标完成率为100%。所设分值</w:t>
      </w:r>
      <w:r>
        <w:rPr>
          <w:color w:val="auto"/>
          <w:highlight w:val="none"/>
        </w:rPr>
        <w:t>5</w:t>
      </w:r>
      <w:r>
        <w:rPr>
          <w:rFonts w:hint="eastAsia"/>
          <w:color w:val="auto"/>
          <w:highlight w:val="none"/>
        </w:rPr>
        <w:t>分，实际得分5分。</w:t>
      </w:r>
    </w:p>
    <w:p w14:paraId="5F809884">
      <w:pPr>
        <w:pStyle w:val="54"/>
        <w:spacing w:line="560" w:lineRule="exact"/>
        <w:ind w:left="0" w:leftChars="0" w:right="0" w:rightChars="0" w:firstLine="560"/>
        <w:rPr>
          <w:rFonts w:hint="default" w:eastAsia="仿宋_GB2312"/>
          <w:color w:val="auto"/>
          <w:highlight w:val="none"/>
          <w:lang w:val="en-US" w:eastAsia="zh-CN"/>
        </w:rPr>
      </w:pPr>
      <w:r>
        <w:rPr>
          <w:rFonts w:hint="eastAsia"/>
          <w:color w:val="auto"/>
          <w:highlight w:val="none"/>
          <w:lang w:val="en-US" w:eastAsia="zh-CN"/>
        </w:rPr>
        <w:t>“项目（工程）验收合格率</w:t>
      </w:r>
      <w:r>
        <w:rPr>
          <w:rFonts w:hint="eastAsia"/>
          <w:color w:val="auto"/>
          <w:highlight w:val="none"/>
        </w:rPr>
        <w:t>”指标，预期指标值为100%,全年实际值为100% ，指标完成率为100%。所设分值</w:t>
      </w:r>
      <w:r>
        <w:rPr>
          <w:color w:val="auto"/>
          <w:highlight w:val="none"/>
        </w:rPr>
        <w:t>5</w:t>
      </w:r>
      <w:r>
        <w:rPr>
          <w:rFonts w:hint="eastAsia"/>
          <w:color w:val="auto"/>
          <w:highlight w:val="none"/>
        </w:rPr>
        <w:t>分，实际得分5分。</w:t>
      </w:r>
    </w:p>
    <w:p w14:paraId="617681D7">
      <w:pPr>
        <w:pStyle w:val="54"/>
        <w:spacing w:line="560" w:lineRule="exact"/>
        <w:ind w:left="0" w:leftChars="0" w:right="0" w:rightChars="0" w:firstLine="560"/>
        <w:rPr>
          <w:color w:val="auto"/>
          <w:highlight w:val="none"/>
        </w:rPr>
      </w:pPr>
      <w:r>
        <w:rPr>
          <w:rFonts w:hint="eastAsia"/>
          <w:color w:val="auto"/>
          <w:highlight w:val="none"/>
        </w:rPr>
        <w:t>3.项目完成时效</w:t>
      </w:r>
    </w:p>
    <w:p w14:paraId="0796D652">
      <w:pPr>
        <w:pStyle w:val="54"/>
        <w:spacing w:line="560" w:lineRule="exact"/>
        <w:ind w:left="0" w:leftChars="0" w:right="0" w:rightChars="0" w:firstLine="560"/>
        <w:rPr>
          <w:color w:val="auto"/>
          <w:highlight w:val="none"/>
        </w:rPr>
      </w:pPr>
      <w:r>
        <w:rPr>
          <w:rFonts w:hint="eastAsia"/>
          <w:color w:val="auto"/>
          <w:highlight w:val="none"/>
        </w:rPr>
        <w:t>“资金支付及时率”指标，预期指标值为100%,全年实际值为100% ，指标完成率为100%。所设分值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5D8F732">
      <w:pPr>
        <w:pStyle w:val="54"/>
        <w:spacing w:line="560" w:lineRule="exact"/>
        <w:ind w:left="0" w:leftChars="0" w:right="0" w:rightChars="0" w:firstLine="560"/>
        <w:rPr>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月，指标完成率为</w:t>
      </w:r>
      <w:r>
        <w:rPr>
          <w:rFonts w:hint="eastAsia"/>
          <w:color w:val="auto"/>
          <w:highlight w:val="none"/>
          <w:lang w:val="en-US" w:eastAsia="zh-CN"/>
        </w:rPr>
        <w:t>80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3.33</w:t>
      </w:r>
      <w:r>
        <w:rPr>
          <w:rFonts w:hint="eastAsia"/>
          <w:color w:val="auto"/>
          <w:highlight w:val="none"/>
        </w:rPr>
        <w:t>分。偏差原因：由于前期手续办理缓慢，导致开工时间延迟。改进措施：后续加强项目进度实时监督，促进项目按时开工。</w:t>
      </w:r>
    </w:p>
    <w:p w14:paraId="709E3B8A">
      <w:pPr>
        <w:pStyle w:val="54"/>
        <w:spacing w:line="560" w:lineRule="exact"/>
        <w:ind w:left="0" w:leftChars="0" w:right="0" w:rightChars="0" w:firstLine="560"/>
        <w:rPr>
          <w:color w:val="auto"/>
          <w:highlight w:val="yellow"/>
        </w:rPr>
      </w:pPr>
      <w:bookmarkStart w:id="0" w:name="OLE_LINK4"/>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 ，指标完成率为</w:t>
      </w:r>
      <w:r>
        <w:rPr>
          <w:rFonts w:hint="eastAsia"/>
          <w:color w:val="auto"/>
          <w:highlight w:val="none"/>
          <w:lang w:val="en-US" w:eastAsia="zh-CN"/>
        </w:rPr>
        <w:t>90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分。偏差原因：由于怕风沙天气袭来，</w:t>
      </w:r>
      <w:r>
        <w:rPr>
          <w:rFonts w:hint="eastAsia"/>
          <w:color w:val="auto"/>
          <w:highlight w:val="none"/>
          <w:lang w:val="en-US" w:eastAsia="zh-CN"/>
        </w:rPr>
        <w:t>影响</w:t>
      </w:r>
      <w:r>
        <w:rPr>
          <w:rFonts w:hint="eastAsia"/>
          <w:color w:val="auto"/>
          <w:highlight w:val="none"/>
        </w:rPr>
        <w:t>种植效率，增加机械设备加快进度提前完工。改进措施：加强项目管理，加强施工质量及进度等。</w:t>
      </w:r>
      <w:bookmarkEnd w:id="0"/>
    </w:p>
    <w:p w14:paraId="6025D719">
      <w:pPr>
        <w:pStyle w:val="54"/>
        <w:spacing w:line="560" w:lineRule="exact"/>
        <w:ind w:left="0" w:leftChars="0" w:right="0" w:rightChars="0" w:firstLine="560"/>
        <w:rPr>
          <w:color w:val="auto"/>
          <w:highlight w:val="none"/>
        </w:rPr>
      </w:pPr>
      <w:r>
        <w:rPr>
          <w:rFonts w:hint="eastAsia"/>
          <w:color w:val="auto"/>
          <w:highlight w:val="none"/>
        </w:rPr>
        <w:t>4.项目完成成本</w:t>
      </w:r>
    </w:p>
    <w:p w14:paraId="70A9641D">
      <w:pPr>
        <w:pStyle w:val="54"/>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w:t>
      </w:r>
      <w:r>
        <w:rPr>
          <w:rFonts w:hint="eastAsia"/>
          <w:color w:val="auto"/>
          <w:highlight w:val="none"/>
          <w:lang w:val="en-US" w:eastAsia="zh-CN"/>
        </w:rPr>
        <w:t>性竞争性磋商采购</w:t>
      </w:r>
      <w:r>
        <w:rPr>
          <w:rFonts w:hint="eastAsia"/>
          <w:color w:val="auto"/>
          <w:highlight w:val="none"/>
        </w:rPr>
        <w:t>的方式有效降低了项目执行成本，具体指标设置及完成情况如下：</w:t>
      </w:r>
    </w:p>
    <w:p w14:paraId="0245E429">
      <w:pPr>
        <w:pStyle w:val="35"/>
        <w:rPr>
          <w:b/>
          <w:color w:val="auto"/>
          <w:highlight w:val="none"/>
        </w:rPr>
      </w:pPr>
      <w:bookmarkStart w:id="1" w:name="OLE_LINK1"/>
      <w:r>
        <w:rPr>
          <w:rFonts w:hint="eastAsia"/>
          <w:color w:val="auto"/>
          <w:highlight w:val="none"/>
        </w:rPr>
        <w:t>“工程费用”指标，预期指标值为</w:t>
      </w:r>
      <w:r>
        <w:rPr>
          <w:rFonts w:hint="eastAsia"/>
          <w:color w:val="auto"/>
          <w:highlight w:val="none"/>
          <w:lang w:eastAsia="zh-CN"/>
        </w:rPr>
        <w:t>小于等于</w:t>
      </w:r>
      <w:r>
        <w:rPr>
          <w:rFonts w:hint="eastAsia"/>
          <w:color w:val="auto"/>
          <w:highlight w:val="none"/>
          <w:lang w:val="en-US" w:eastAsia="zh-CN"/>
        </w:rPr>
        <w:t>213.23</w:t>
      </w:r>
      <w:r>
        <w:rPr>
          <w:rFonts w:hint="eastAsia"/>
          <w:color w:val="auto"/>
          <w:highlight w:val="none"/>
        </w:rPr>
        <w:t>万元, 全年实际值为212.05万元，指标完成率为</w:t>
      </w:r>
      <w:r>
        <w:rPr>
          <w:rFonts w:hint="eastAsia"/>
          <w:color w:val="auto"/>
          <w:highlight w:val="none"/>
          <w:lang w:val="en-US" w:eastAsia="zh-CN"/>
        </w:rPr>
        <w:t>99.45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w:t>
      </w:r>
      <w:r>
        <w:rPr>
          <w:rFonts w:hint="eastAsia"/>
          <w:color w:val="auto"/>
          <w:highlight w:val="none"/>
          <w:lang w:val="en-US" w:eastAsia="zh-CN"/>
        </w:rPr>
        <w:t>4.97</w:t>
      </w:r>
      <w:r>
        <w:rPr>
          <w:rFonts w:hint="eastAsia"/>
          <w:color w:val="auto"/>
          <w:highlight w:val="none"/>
        </w:rPr>
        <w:t>分。偏差原因：项目已完工，相关验收已完成，剩余资金5.75万元财政收回。改进措施：加强项目建设资金管理。</w:t>
      </w:r>
      <w:bookmarkEnd w:id="1"/>
    </w:p>
    <w:p w14:paraId="26B3C14E">
      <w:pPr>
        <w:pStyle w:val="35"/>
        <w:rPr>
          <w:b/>
          <w:color w:val="auto"/>
          <w:highlight w:val="none"/>
        </w:rPr>
      </w:pPr>
      <w:r>
        <w:rPr>
          <w:rFonts w:hint="eastAsia"/>
          <w:color w:val="auto"/>
          <w:highlight w:val="none"/>
        </w:rPr>
        <w:t>“工程建设其他费用”指标，预期指标值为</w:t>
      </w:r>
      <w:r>
        <w:rPr>
          <w:rFonts w:hint="eastAsia"/>
          <w:color w:val="auto"/>
          <w:highlight w:val="none"/>
          <w:lang w:eastAsia="zh-CN"/>
        </w:rPr>
        <w:t>小于等于</w:t>
      </w:r>
      <w:r>
        <w:rPr>
          <w:rFonts w:hint="eastAsia"/>
          <w:color w:val="auto"/>
          <w:highlight w:val="none"/>
          <w:lang w:val="en-US" w:eastAsia="zh-CN"/>
        </w:rPr>
        <w:t>25.9</w:t>
      </w:r>
      <w:r>
        <w:rPr>
          <w:rFonts w:hint="eastAsia"/>
          <w:color w:val="auto"/>
          <w:highlight w:val="none"/>
        </w:rPr>
        <w:t>万元, 全年实际值为</w:t>
      </w:r>
      <w:r>
        <w:rPr>
          <w:rFonts w:hint="eastAsia"/>
          <w:color w:val="auto"/>
          <w:highlight w:val="none"/>
          <w:lang w:val="en-US" w:eastAsia="zh-CN"/>
        </w:rPr>
        <w:t>21.33</w:t>
      </w:r>
      <w:r>
        <w:rPr>
          <w:rFonts w:hint="eastAsia"/>
          <w:color w:val="auto"/>
          <w:highlight w:val="none"/>
        </w:rPr>
        <w:t>万元，指标完成率为</w:t>
      </w:r>
      <w:r>
        <w:rPr>
          <w:rFonts w:hint="eastAsia"/>
          <w:color w:val="auto"/>
          <w:highlight w:val="none"/>
          <w:lang w:val="en-US" w:eastAsia="zh-CN"/>
        </w:rPr>
        <w:t>82.36</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4.11</w:t>
      </w:r>
      <w:r>
        <w:rPr>
          <w:rFonts w:hint="eastAsia"/>
          <w:color w:val="auto"/>
          <w:highlight w:val="none"/>
        </w:rPr>
        <w:t>分。偏差原因：项目已完工，相关验收已完成，剩余资金5.75万元财政收回。改进措施：加强项目建设资金管理。</w:t>
      </w:r>
    </w:p>
    <w:p w14:paraId="7F8CB2BF">
      <w:pPr>
        <w:pStyle w:val="54"/>
        <w:spacing w:line="580" w:lineRule="exact"/>
        <w:ind w:left="0" w:leftChars="0" w:right="0" w:rightChars="0" w:firstLine="562"/>
        <w:rPr>
          <w:rFonts w:hint="eastAsia"/>
          <w:b/>
          <w:color w:val="auto"/>
          <w:highlight w:val="none"/>
        </w:rPr>
      </w:pPr>
      <w:r>
        <w:rPr>
          <w:rFonts w:hint="eastAsia"/>
          <w:b/>
          <w:color w:val="auto"/>
          <w:highlight w:val="none"/>
        </w:rPr>
        <w:t>2.效益指标完成情况分析</w:t>
      </w:r>
    </w:p>
    <w:p w14:paraId="31BDAF6C">
      <w:pPr>
        <w:pStyle w:val="54"/>
        <w:spacing w:line="560" w:lineRule="exact"/>
        <w:ind w:left="0" w:leftChars="0" w:right="0" w:rightChars="0" w:firstLine="560"/>
        <w:rPr>
          <w:color w:val="auto"/>
          <w:highlight w:val="none"/>
        </w:rPr>
      </w:pPr>
      <w:r>
        <w:rPr>
          <w:rFonts w:hint="eastAsia"/>
          <w:color w:val="auto"/>
          <w:highlight w:val="none"/>
          <w:lang w:val="en-US" w:eastAsia="zh-CN"/>
        </w:rPr>
        <w:t>2.1</w:t>
      </w:r>
      <w:r>
        <w:rPr>
          <w:color w:val="auto"/>
          <w:highlight w:val="none"/>
        </w:rPr>
        <w:t>项目实施的</w:t>
      </w:r>
      <w:r>
        <w:rPr>
          <w:rFonts w:hint="eastAsia"/>
          <w:color w:val="auto"/>
          <w:highlight w:val="none"/>
        </w:rPr>
        <w:t>社会效益</w:t>
      </w:r>
      <w:r>
        <w:rPr>
          <w:color w:val="auto"/>
          <w:highlight w:val="none"/>
        </w:rPr>
        <w:t>分析</w:t>
      </w:r>
    </w:p>
    <w:p w14:paraId="039242F1">
      <w:pPr>
        <w:pStyle w:val="54"/>
        <w:spacing w:line="560" w:lineRule="exact"/>
        <w:ind w:left="0" w:leftChars="0" w:right="0" w:rightChars="0" w:firstLine="560"/>
        <w:rPr>
          <w:color w:val="auto"/>
          <w:highlight w:val="none"/>
        </w:rPr>
      </w:pPr>
      <w:r>
        <w:rPr>
          <w:rFonts w:hint="eastAsia"/>
          <w:color w:val="auto"/>
          <w:highlight w:val="none"/>
        </w:rPr>
        <w:t>“改善</w:t>
      </w:r>
      <w:r>
        <w:rPr>
          <w:rFonts w:hint="eastAsia"/>
          <w:color w:val="auto"/>
          <w:highlight w:val="none"/>
          <w:lang w:val="en-US" w:eastAsia="zh-CN"/>
        </w:rPr>
        <w:t>当地生态</w:t>
      </w:r>
      <w:r>
        <w:rPr>
          <w:rFonts w:hint="eastAsia"/>
          <w:color w:val="auto"/>
          <w:highlight w:val="none"/>
        </w:rPr>
        <w:t>环境、</w:t>
      </w:r>
      <w:r>
        <w:rPr>
          <w:rFonts w:hint="eastAsia"/>
          <w:color w:val="auto"/>
          <w:highlight w:val="none"/>
          <w:lang w:val="en-US" w:eastAsia="zh-CN"/>
        </w:rPr>
        <w:t>减少沙尘暴</w:t>
      </w:r>
      <w:r>
        <w:rPr>
          <w:rFonts w:hint="eastAsia"/>
          <w:color w:val="auto"/>
          <w:highlight w:val="none"/>
        </w:rPr>
        <w:t>”指标，指标预期值为</w:t>
      </w:r>
      <w:r>
        <w:rPr>
          <w:rFonts w:hint="eastAsia"/>
          <w:color w:val="auto"/>
          <w:highlight w:val="none"/>
          <w:lang w:val="en-US" w:eastAsia="zh-CN"/>
        </w:rPr>
        <w:t>有效改善</w:t>
      </w:r>
      <w:r>
        <w:rPr>
          <w:rFonts w:hint="eastAsia"/>
          <w:color w:val="auto"/>
          <w:highlight w:val="none"/>
        </w:rPr>
        <w:t>，实际完成值为</w:t>
      </w:r>
      <w:r>
        <w:rPr>
          <w:rFonts w:hint="eastAsia"/>
          <w:color w:val="auto"/>
          <w:highlight w:val="none"/>
          <w:lang w:val="en-US" w:eastAsia="zh-CN"/>
        </w:rPr>
        <w:t>有效改善</w:t>
      </w:r>
      <w:r>
        <w:rPr>
          <w:rFonts w:hint="eastAsia"/>
          <w:color w:val="auto"/>
          <w:highlight w:val="none"/>
        </w:rPr>
        <w:t>，指标完成率为100.00%。所设分值</w:t>
      </w:r>
      <w:r>
        <w:rPr>
          <w:rFonts w:hint="eastAsia"/>
          <w:color w:val="auto"/>
          <w:highlight w:val="none"/>
          <w:lang w:val="en-US" w:eastAsia="zh-CN"/>
        </w:rPr>
        <w:t>30</w:t>
      </w:r>
      <w:r>
        <w:rPr>
          <w:rFonts w:hint="eastAsia"/>
          <w:color w:val="auto"/>
          <w:highlight w:val="none"/>
        </w:rPr>
        <w:t>分，实际得分</w:t>
      </w:r>
      <w:r>
        <w:rPr>
          <w:rFonts w:hint="eastAsia"/>
          <w:color w:val="auto"/>
          <w:highlight w:val="none"/>
          <w:lang w:val="en-US" w:eastAsia="zh-CN"/>
        </w:rPr>
        <w:t>30</w:t>
      </w:r>
      <w:r>
        <w:rPr>
          <w:rFonts w:hint="eastAsia"/>
          <w:color w:val="auto"/>
          <w:highlight w:val="none"/>
        </w:rPr>
        <w:t>分。</w:t>
      </w:r>
    </w:p>
    <w:p w14:paraId="4569C359">
      <w:pPr>
        <w:pStyle w:val="35"/>
        <w:rPr>
          <w:color w:val="auto"/>
          <w:highlight w:val="none"/>
        </w:rPr>
      </w:pPr>
      <w:r>
        <w:rPr>
          <w:rFonts w:hint="eastAsia" w:ascii="Times New Roman" w:hAnsi="Times New Roman" w:eastAsia="仿宋_GB2312" w:cs="Times New Roman"/>
          <w:b/>
          <w:color w:val="auto"/>
          <w:kern w:val="2"/>
          <w:sz w:val="28"/>
          <w:szCs w:val="22"/>
          <w:highlight w:val="none"/>
          <w:lang w:val="en-US" w:eastAsia="zh-CN" w:bidi="ar-SA"/>
        </w:rPr>
        <w:t>3.满意度指标完成情况分析</w:t>
      </w:r>
    </w:p>
    <w:p w14:paraId="2D671B54">
      <w:pPr>
        <w:spacing w:line="560" w:lineRule="exact"/>
        <w:ind w:firstLine="544" w:firstLineChars="200"/>
        <w:rPr>
          <w:rFonts w:ascii="仿宋_GB2312" w:hAnsi="Times New Roman" w:eastAsia="仿宋_GB2312" w:cs="Times New Roman"/>
          <w:bCs/>
          <w:spacing w:val="-4"/>
          <w:sz w:val="28"/>
          <w:szCs w:val="28"/>
          <w:highlight w:val="none"/>
        </w:rPr>
      </w:pPr>
      <w:r>
        <w:rPr>
          <w:rFonts w:hint="eastAsia" w:ascii="仿宋_GB2312" w:hAnsi="Times New Roman" w:eastAsia="仿宋_GB2312" w:cs="Times New Roman"/>
          <w:bCs/>
          <w:spacing w:val="-4"/>
          <w:sz w:val="28"/>
          <w:szCs w:val="28"/>
          <w:highlight w:val="none"/>
        </w:rPr>
        <w:t>“项目</w:t>
      </w:r>
      <w:r>
        <w:rPr>
          <w:rFonts w:hint="eastAsia" w:ascii="仿宋_GB2312" w:hAnsi="Times New Roman" w:eastAsia="仿宋_GB2312" w:cs="Times New Roman"/>
          <w:bCs/>
          <w:spacing w:val="-4"/>
          <w:sz w:val="28"/>
          <w:szCs w:val="28"/>
          <w:highlight w:val="none"/>
          <w:lang w:val="en-US" w:eastAsia="zh-CN"/>
        </w:rPr>
        <w:t>受益村</w:t>
      </w:r>
      <w:r>
        <w:rPr>
          <w:rFonts w:hint="eastAsia" w:ascii="仿宋_GB2312" w:hAnsi="Times New Roman" w:eastAsia="仿宋_GB2312" w:cs="Times New Roman"/>
          <w:bCs/>
          <w:spacing w:val="-4"/>
          <w:sz w:val="28"/>
          <w:szCs w:val="28"/>
          <w:highlight w:val="none"/>
        </w:rPr>
        <w:t>民满意度”指标，指标预期指标值为</w:t>
      </w:r>
      <w:r>
        <w:rPr>
          <w:rFonts w:hint="eastAsia" w:ascii="仿宋_GB2312" w:hAnsi="Times New Roman" w:eastAsia="仿宋_GB2312" w:cs="Times New Roman"/>
          <w:bCs/>
          <w:spacing w:val="-4"/>
          <w:sz w:val="28"/>
          <w:szCs w:val="28"/>
          <w:highlight w:val="none"/>
          <w:lang w:eastAsia="zh-CN"/>
        </w:rPr>
        <w:t>大于等于</w:t>
      </w:r>
      <w:r>
        <w:rPr>
          <w:rFonts w:hint="eastAsia" w:ascii="仿宋_GB2312" w:hAnsi="Times New Roman" w:eastAsia="仿宋_GB2312" w:cs="Times New Roman"/>
          <w:bCs/>
          <w:spacing w:val="-4"/>
          <w:sz w:val="28"/>
          <w:szCs w:val="28"/>
          <w:highlight w:val="none"/>
        </w:rPr>
        <w:t>95%，实际完成值为95%，指标完成率为100.00%。所设分值10分，实际得分10分。</w:t>
      </w:r>
    </w:p>
    <w:p w14:paraId="5EBAC829">
      <w:pPr>
        <w:pStyle w:val="31"/>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14:paraId="6852500A">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562F9AAA">
      <w:pPr>
        <w:pStyle w:val="54"/>
        <w:spacing w:line="560" w:lineRule="exact"/>
        <w:ind w:left="3" w:right="3" w:firstLine="552"/>
        <w:rPr>
          <w:rFonts w:ascii="仿宋_GB2312"/>
          <w:color w:val="auto"/>
          <w:spacing w:val="-4"/>
          <w:szCs w:val="32"/>
          <w:highlight w:val="none"/>
        </w:rPr>
      </w:pPr>
      <w:r>
        <w:rPr>
          <w:rFonts w:hint="eastAsia" w:ascii="仿宋_GB2312"/>
          <w:color w:val="auto"/>
          <w:spacing w:val="-4"/>
          <w:szCs w:val="32"/>
          <w:highlight w:val="none"/>
        </w:rPr>
        <w:t>1.</w:t>
      </w:r>
      <w:r>
        <w:rPr>
          <w:rFonts w:hint="eastAsia"/>
          <w:color w:val="auto"/>
          <w:highlight w:val="none"/>
        </w:rPr>
        <w:t>“</w:t>
      </w:r>
      <w:r>
        <w:rPr>
          <w:rFonts w:hint="eastAsia"/>
          <w:color w:val="auto"/>
          <w:highlight w:val="none"/>
          <w:lang w:val="en-US" w:eastAsia="zh-CN"/>
        </w:rPr>
        <w:t>项目开工时间</w:t>
      </w:r>
      <w:r>
        <w:rPr>
          <w:rFonts w:hint="eastAsia"/>
          <w:color w:val="auto"/>
          <w:highlight w:val="none"/>
        </w:rPr>
        <w:t>”指标，预期指标值为</w:t>
      </w:r>
      <w:r>
        <w:rPr>
          <w:rFonts w:hint="eastAsia"/>
          <w:color w:val="auto"/>
          <w:highlight w:val="none"/>
          <w:lang w:val="en-US" w:eastAsia="zh-CN"/>
        </w:rPr>
        <w:t>2024年1月</w:t>
      </w:r>
      <w:r>
        <w:rPr>
          <w:rFonts w:hint="eastAsia"/>
          <w:color w:val="auto"/>
          <w:highlight w:val="none"/>
          <w:lang w:eastAsia="zh-CN"/>
        </w:rPr>
        <w:t>，</w:t>
      </w:r>
      <w:r>
        <w:rPr>
          <w:rFonts w:hint="eastAsia"/>
          <w:color w:val="auto"/>
          <w:highlight w:val="none"/>
        </w:rPr>
        <w:t>全年实际值为</w:t>
      </w:r>
      <w:r>
        <w:rPr>
          <w:rFonts w:hint="eastAsia"/>
          <w:color w:val="auto"/>
          <w:highlight w:val="none"/>
          <w:lang w:val="en-US" w:eastAsia="zh-CN"/>
        </w:rPr>
        <w:t>2024年3月</w:t>
      </w:r>
      <w:r>
        <w:rPr>
          <w:rFonts w:hint="eastAsia" w:ascii="仿宋_GB2312"/>
          <w:color w:val="auto"/>
          <w:spacing w:val="-4"/>
          <w:szCs w:val="32"/>
          <w:highlight w:val="none"/>
        </w:rPr>
        <w:t>。</w:t>
      </w:r>
    </w:p>
    <w:p w14:paraId="62D72AB0">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偏差原因：由于前期手续办理缓慢，导致开工时间延迟。改进措施：后续加强项目进度实时监督，促进项目按时开工。</w:t>
      </w:r>
    </w:p>
    <w:p w14:paraId="3F6ECE0D">
      <w:pPr>
        <w:pStyle w:val="54"/>
        <w:spacing w:line="560" w:lineRule="exact"/>
        <w:ind w:left="3" w:right="3" w:firstLine="552"/>
        <w:rPr>
          <w:rFonts w:hint="eastAsia"/>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 。</w:t>
      </w:r>
    </w:p>
    <w:p w14:paraId="4C2E00BE">
      <w:pPr>
        <w:pStyle w:val="54"/>
        <w:spacing w:line="560" w:lineRule="exact"/>
        <w:ind w:left="3" w:right="3" w:firstLine="552"/>
        <w:rPr>
          <w:rFonts w:hint="eastAsia" w:ascii="仿宋_GB2312"/>
          <w:color w:val="auto"/>
          <w:spacing w:val="-4"/>
          <w:szCs w:val="32"/>
          <w:highlight w:val="none"/>
        </w:rPr>
      </w:pPr>
      <w:r>
        <w:rPr>
          <w:rFonts w:hint="eastAsia"/>
          <w:color w:val="auto"/>
          <w:highlight w:val="none"/>
        </w:rPr>
        <w:t>偏差原因：由于怕风沙天气袭来，影</w:t>
      </w:r>
      <w:r>
        <w:rPr>
          <w:rFonts w:hint="eastAsia"/>
          <w:color w:val="auto"/>
          <w:highlight w:val="none"/>
          <w:lang w:val="en-US" w:eastAsia="zh-CN"/>
        </w:rPr>
        <w:t>响</w:t>
      </w:r>
      <w:bookmarkStart w:id="4" w:name="_GoBack"/>
      <w:r>
        <w:rPr>
          <w:rFonts w:hint="eastAsia"/>
          <w:color w:val="auto"/>
          <w:highlight w:val="none"/>
        </w:rPr>
        <w:t>种植效率</w:t>
      </w:r>
      <w:bookmarkEnd w:id="4"/>
      <w:r>
        <w:rPr>
          <w:rFonts w:hint="eastAsia"/>
          <w:color w:val="auto"/>
          <w:highlight w:val="none"/>
        </w:rPr>
        <w:t>，增加机械设备加快进度提前完工。改进措施：加强项目管理，加强施工质量及进度等。</w:t>
      </w:r>
    </w:p>
    <w:p w14:paraId="47C6D993">
      <w:pPr>
        <w:pStyle w:val="54"/>
        <w:numPr>
          <w:ilvl w:val="0"/>
          <w:numId w:val="1"/>
        </w:numPr>
        <w:spacing w:line="560" w:lineRule="exact"/>
        <w:ind w:left="3" w:right="3" w:firstLine="552"/>
        <w:rPr>
          <w:rFonts w:ascii="仿宋_GB2312"/>
          <w:color w:val="auto"/>
          <w:spacing w:val="-4"/>
          <w:szCs w:val="32"/>
          <w:highlight w:val="none"/>
        </w:rPr>
      </w:pPr>
      <w:r>
        <w:rPr>
          <w:rFonts w:hint="eastAsia" w:ascii="仿宋_GB2312"/>
          <w:color w:val="auto"/>
          <w:spacing w:val="-4"/>
          <w:szCs w:val="32"/>
          <w:highlight w:val="none"/>
          <w:lang w:val="en-US" w:eastAsia="zh-CN"/>
        </w:rPr>
        <w:t>成本指标-</w:t>
      </w:r>
      <w:r>
        <w:rPr>
          <w:rFonts w:hint="eastAsia"/>
          <w:color w:val="auto"/>
          <w:highlight w:val="none"/>
        </w:rPr>
        <w:t>“工程费用”指标，预期指标值为</w:t>
      </w:r>
      <w:r>
        <w:rPr>
          <w:rFonts w:hint="eastAsia"/>
          <w:color w:val="auto"/>
          <w:highlight w:val="none"/>
          <w:lang w:eastAsia="zh-CN"/>
        </w:rPr>
        <w:t>小于等于</w:t>
      </w:r>
      <w:r>
        <w:rPr>
          <w:rFonts w:hint="eastAsia"/>
          <w:color w:val="auto"/>
          <w:highlight w:val="none"/>
          <w:lang w:val="en-US" w:eastAsia="zh-CN"/>
        </w:rPr>
        <w:t>213.23</w:t>
      </w:r>
      <w:r>
        <w:rPr>
          <w:rFonts w:hint="eastAsia"/>
          <w:color w:val="auto"/>
          <w:highlight w:val="none"/>
        </w:rPr>
        <w:t>万元, 全年实际值为212.05万元。</w:t>
      </w:r>
    </w:p>
    <w:p w14:paraId="4A5B7254">
      <w:pPr>
        <w:pStyle w:val="54"/>
        <w:numPr>
          <w:ilvl w:val="0"/>
          <w:numId w:val="0"/>
        </w:numPr>
        <w:spacing w:line="560" w:lineRule="exact"/>
        <w:ind w:right="3" w:rightChars="1" w:firstLine="840" w:firstLineChars="300"/>
        <w:rPr>
          <w:rFonts w:ascii="仿宋_GB2312"/>
          <w:color w:val="auto"/>
          <w:spacing w:val="-4"/>
          <w:szCs w:val="32"/>
          <w:highlight w:val="none"/>
        </w:rPr>
      </w:pPr>
      <w:r>
        <w:rPr>
          <w:rFonts w:hint="eastAsia"/>
          <w:color w:val="auto"/>
          <w:highlight w:val="none"/>
        </w:rPr>
        <w:t>偏差原因：项目已完工，相关验收已完成，剩余资金5.75万元财政收回。改进措施：加强项目建设资金管理。</w:t>
      </w:r>
    </w:p>
    <w:p w14:paraId="521DA2E4">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4F260E48">
      <w:pPr>
        <w:pStyle w:val="54"/>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于田县木尕拉镇2024年壮大村集体经济建设项目</w:t>
      </w:r>
      <w:r>
        <w:rPr>
          <w:rFonts w:hint="eastAsia" w:ascii="仿宋_GB2312"/>
          <w:color w:val="auto"/>
          <w:highlight w:val="none"/>
        </w:rPr>
        <w:t>资金的使用效率和效果，从而得出以下综合评价结论：在绩效目标方面，本项目</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w:t>
      </w:r>
      <w:r>
        <w:rPr>
          <w:rFonts w:hint="eastAsia" w:ascii="仿宋_GB2312"/>
          <w:color w:val="auto"/>
          <w:szCs w:val="32"/>
          <w:highlight w:val="none"/>
          <w:lang w:val="en-US" w:eastAsia="zh-CN"/>
        </w:rPr>
        <w:t>12</w:t>
      </w:r>
      <w:r>
        <w:rPr>
          <w:rFonts w:hint="eastAsia" w:ascii="仿宋_GB2312"/>
          <w:color w:val="auto"/>
          <w:szCs w:val="32"/>
          <w:highlight w:val="none"/>
        </w:rPr>
        <w:t>个,</w:t>
      </w:r>
      <w:r>
        <w:rPr>
          <w:rFonts w:hint="eastAsia" w:ascii="仿宋_GB2312"/>
          <w:color w:val="auto"/>
          <w:highlight w:val="none"/>
        </w:rPr>
        <w:t>其中已完成三级指标</w:t>
      </w:r>
      <w:r>
        <w:rPr>
          <w:rFonts w:hint="eastAsia" w:ascii="仿宋_GB2312"/>
          <w:color w:val="auto"/>
          <w:highlight w:val="none"/>
          <w:lang w:val="en-US" w:eastAsia="zh-CN"/>
        </w:rPr>
        <w:t>8</w:t>
      </w:r>
      <w:r>
        <w:rPr>
          <w:rFonts w:hint="eastAsia" w:ascii="仿宋_GB2312"/>
          <w:color w:val="auto"/>
          <w:highlight w:val="none"/>
        </w:rPr>
        <w:t>个，指标完成率为</w:t>
      </w:r>
      <w:r>
        <w:rPr>
          <w:rFonts w:hint="eastAsia" w:ascii="仿宋_GB2312"/>
          <w:color w:val="auto"/>
          <w:highlight w:val="none"/>
          <w:lang w:val="en-US" w:eastAsia="zh-CN"/>
        </w:rPr>
        <w:t>66.67</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资金财务管理制度》、《于田县木尕拉镇人民政府财务管理制度》执行，保障了资金使用规范、安全，无挪用、截留资金的情况发生。在项目管理方面，制定了《</w:t>
      </w:r>
      <w:r>
        <w:rPr>
          <w:rFonts w:hint="eastAsia" w:ascii="仿宋_GB2312"/>
          <w:color w:val="auto"/>
          <w:highlight w:val="none"/>
          <w:lang w:eastAsia="zh-CN"/>
        </w:rPr>
        <w:t>于田县木尕拉镇2024年壮大村集体经济建设项目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1599B16D">
      <w:pPr>
        <w:pStyle w:val="54"/>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96.17</w:t>
      </w:r>
      <w:r>
        <w:rPr>
          <w:rFonts w:hint="eastAsia" w:ascii="仿宋_GB2312"/>
          <w:color w:val="auto"/>
          <w:highlight w:val="none"/>
        </w:rPr>
        <w:t>分，评价等级为优。</w:t>
      </w:r>
    </w:p>
    <w:p w14:paraId="678E36DB">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78CB968F">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13072C9">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（二）指标佐证材料说明</w:t>
      </w:r>
    </w:p>
    <w:p w14:paraId="09112431">
      <w:pPr>
        <w:pStyle w:val="54"/>
        <w:spacing w:line="560" w:lineRule="exact"/>
        <w:ind w:left="3" w:right="3" w:firstLine="560"/>
        <w:rPr>
          <w:rFonts w:ascii="仿宋_GB2312"/>
          <w:color w:val="auto"/>
          <w:highlight w:val="none"/>
        </w:rPr>
      </w:pPr>
      <w:r>
        <w:rPr>
          <w:rFonts w:hint="eastAsia" w:ascii="仿宋_GB2312"/>
          <w:color w:val="auto"/>
          <w:highlight w:val="none"/>
        </w:rPr>
        <w:t>项目状况：于田县木尕拉镇人民政府</w:t>
      </w:r>
      <w:r>
        <w:rPr>
          <w:rFonts w:hint="eastAsia" w:ascii="仿宋_GB2312"/>
          <w:color w:val="auto"/>
          <w:highlight w:val="none"/>
          <w:lang w:val="en-US" w:eastAsia="zh-CN"/>
        </w:rPr>
        <w:t>委托设计院</w:t>
      </w:r>
      <w:r>
        <w:rPr>
          <w:rFonts w:hint="eastAsia" w:ascii="仿宋_GB2312"/>
          <w:color w:val="auto"/>
          <w:highlight w:val="none"/>
        </w:rPr>
        <w:t>负责项目的实施方案</w:t>
      </w:r>
      <w:r>
        <w:rPr>
          <w:rFonts w:hint="eastAsia" w:ascii="仿宋_GB2312"/>
          <w:color w:val="auto"/>
          <w:highlight w:val="none"/>
          <w:lang w:val="en-US" w:eastAsia="zh-CN"/>
        </w:rPr>
        <w:t>编制</w:t>
      </w:r>
      <w:r>
        <w:rPr>
          <w:rFonts w:hint="eastAsia" w:ascii="仿宋_GB2312"/>
          <w:color w:val="auto"/>
          <w:highlight w:val="none"/>
        </w:rPr>
        <w:t>，并由</w:t>
      </w:r>
      <w:r>
        <w:rPr>
          <w:rFonts w:hint="eastAsia" w:ascii="仿宋_GB2312"/>
          <w:color w:val="auto"/>
          <w:szCs w:val="32"/>
          <w:highlight w:val="none"/>
        </w:rPr>
        <w:t>于田县财政局及于田县</w:t>
      </w:r>
      <w:r>
        <w:rPr>
          <w:rFonts w:hint="eastAsia" w:ascii="仿宋_GB2312"/>
          <w:color w:val="auto"/>
          <w:szCs w:val="32"/>
          <w:highlight w:val="none"/>
          <w:lang w:val="en-US" w:eastAsia="zh-CN"/>
        </w:rPr>
        <w:t>农业农村</w:t>
      </w:r>
      <w:r>
        <w:rPr>
          <w:rFonts w:hint="eastAsia" w:ascii="仿宋_GB2312"/>
          <w:color w:val="auto"/>
          <w:szCs w:val="32"/>
          <w:highlight w:val="none"/>
        </w:rPr>
        <w:t>局联合</w:t>
      </w:r>
      <w:r>
        <w:rPr>
          <w:rFonts w:hint="eastAsia" w:ascii="仿宋_GB2312"/>
          <w:color w:val="auto"/>
          <w:szCs w:val="32"/>
          <w:highlight w:val="none"/>
          <w:lang w:val="en-US" w:eastAsia="zh-CN"/>
        </w:rPr>
        <w:t>审核</w:t>
      </w:r>
      <w:r>
        <w:rPr>
          <w:rFonts w:hint="eastAsia" w:ascii="仿宋_GB2312"/>
          <w:color w:val="auto"/>
          <w:szCs w:val="32"/>
          <w:highlight w:val="none"/>
        </w:rPr>
        <w:t>下发的《关于</w:t>
      </w:r>
      <w:r>
        <w:rPr>
          <w:rFonts w:hint="eastAsia" w:ascii="仿宋" w:hAnsi="仿宋" w:eastAsia="仿宋" w:cs="仿宋"/>
          <w:bCs/>
          <w:color w:val="auto"/>
          <w:kern w:val="0"/>
          <w:highlight w:val="none"/>
          <w:lang w:eastAsia="zh-CN"/>
        </w:rPr>
        <w:t>于田县木尕拉镇2024年壮大村集体经济建设项目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农村项目</w:t>
      </w:r>
      <w:r>
        <w:rPr>
          <w:rFonts w:hint="eastAsia" w:ascii="仿宋_GB2312"/>
          <w:color w:val="auto"/>
          <w:szCs w:val="32"/>
          <w:highlight w:val="none"/>
        </w:rPr>
        <w:t>[20</w:t>
      </w:r>
      <w:r>
        <w:rPr>
          <w:rFonts w:hint="eastAsia" w:ascii="仿宋_GB2312"/>
          <w:color w:val="auto"/>
          <w:szCs w:val="32"/>
          <w:highlight w:val="none"/>
          <w:lang w:val="en-US" w:eastAsia="zh-CN"/>
        </w:rPr>
        <w:t>24</w:t>
      </w:r>
      <w:r>
        <w:rPr>
          <w:rFonts w:hint="eastAsia" w:ascii="仿宋_GB2312"/>
          <w:color w:val="auto"/>
          <w:szCs w:val="32"/>
          <w:highlight w:val="none"/>
        </w:rPr>
        <w:t>]</w:t>
      </w:r>
      <w:r>
        <w:rPr>
          <w:rFonts w:hint="eastAsia" w:ascii="仿宋_GB2312"/>
          <w:color w:val="auto"/>
          <w:szCs w:val="32"/>
          <w:highlight w:val="none"/>
          <w:lang w:val="en-US" w:eastAsia="zh-CN"/>
        </w:rPr>
        <w:t>006</w:t>
      </w:r>
      <w:r>
        <w:rPr>
          <w:rFonts w:hint="eastAsia" w:ascii="仿宋_GB2312"/>
          <w:color w:val="auto"/>
          <w:szCs w:val="32"/>
          <w:highlight w:val="none"/>
        </w:rPr>
        <w:t>号</w:t>
      </w:r>
      <w:r>
        <w:rPr>
          <w:rFonts w:hint="eastAsia" w:ascii="仿宋_GB2312"/>
          <w:color w:val="auto"/>
          <w:highlight w:val="none"/>
        </w:rPr>
        <w:t>）。</w:t>
      </w:r>
    </w:p>
    <w:p w14:paraId="5BE85444">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资金状况：预算资金来源为以乡村振兴衔接资金，文件依据：</w:t>
      </w:r>
      <w:r>
        <w:rPr>
          <w:rFonts w:hint="eastAsia" w:ascii="仿宋_GB2312"/>
          <w:color w:val="auto"/>
          <w:highlight w:val="none"/>
          <w:lang w:val="en-US" w:eastAsia="zh-CN"/>
        </w:rPr>
        <w:t>和地财农</w:t>
      </w:r>
      <w:r>
        <w:rPr>
          <w:rFonts w:hint="eastAsia" w:ascii="仿宋_GB2312"/>
          <w:color w:val="auto"/>
          <w:szCs w:val="32"/>
          <w:highlight w:val="none"/>
        </w:rPr>
        <w:t>[</w:t>
      </w:r>
      <w:r>
        <w:rPr>
          <w:rFonts w:hint="eastAsia" w:ascii="仿宋_GB2312"/>
          <w:color w:val="auto"/>
          <w:highlight w:val="none"/>
          <w:lang w:val="en-US" w:eastAsia="zh-CN"/>
        </w:rPr>
        <w:t>2023</w:t>
      </w:r>
      <w:r>
        <w:rPr>
          <w:rFonts w:hint="eastAsia" w:ascii="仿宋_GB2312"/>
          <w:color w:val="auto"/>
          <w:szCs w:val="32"/>
          <w:highlight w:val="none"/>
        </w:rPr>
        <w:t>]</w:t>
      </w:r>
      <w:r>
        <w:rPr>
          <w:rFonts w:hint="eastAsia" w:ascii="仿宋_GB2312"/>
          <w:color w:val="auto"/>
          <w:highlight w:val="none"/>
          <w:lang w:val="en-US" w:eastAsia="zh-CN"/>
        </w:rPr>
        <w:t>48号资金到位文件，</w:t>
      </w:r>
      <w:r>
        <w:rPr>
          <w:rFonts w:hint="eastAsia" w:ascii="仿宋_GB2312"/>
          <w:color w:val="auto"/>
          <w:highlight w:val="none"/>
        </w:rPr>
        <w:t>关于对</w:t>
      </w:r>
      <w:r>
        <w:rPr>
          <w:rFonts w:hint="eastAsia" w:ascii="仿宋" w:hAnsi="仿宋" w:eastAsia="仿宋" w:cs="仿宋"/>
          <w:bCs/>
          <w:color w:val="auto"/>
          <w:kern w:val="0"/>
          <w:highlight w:val="none"/>
          <w:lang w:eastAsia="zh-CN"/>
        </w:rPr>
        <w:t>于田县木尕拉镇2024年壮大村集体经济建设项目</w:t>
      </w:r>
      <w:r>
        <w:rPr>
          <w:rFonts w:hint="eastAsia" w:ascii="仿宋" w:hAnsi="仿宋" w:eastAsia="仿宋" w:cs="仿宋"/>
          <w:bCs/>
          <w:color w:val="auto"/>
          <w:kern w:val="0"/>
          <w:highlight w:val="none"/>
        </w:rPr>
        <w:t>实施</w:t>
      </w:r>
      <w:r>
        <w:rPr>
          <w:rFonts w:hint="eastAsia" w:ascii="仿宋_GB2312"/>
          <w:color w:val="auto"/>
          <w:highlight w:val="none"/>
        </w:rPr>
        <w:t>方案的批复》</w:t>
      </w:r>
      <w:r>
        <w:rPr>
          <w:rFonts w:hint="eastAsia" w:ascii="仿宋_GB2312"/>
          <w:color w:val="auto"/>
          <w:szCs w:val="32"/>
          <w:highlight w:val="none"/>
        </w:rPr>
        <w:t>（于</w:t>
      </w:r>
      <w:r>
        <w:rPr>
          <w:rFonts w:hint="eastAsia" w:ascii="仿宋_GB2312"/>
          <w:color w:val="auto"/>
          <w:szCs w:val="32"/>
          <w:highlight w:val="none"/>
          <w:lang w:val="en-US" w:eastAsia="zh-CN"/>
        </w:rPr>
        <w:t>农村项目</w:t>
      </w:r>
      <w:bookmarkStart w:id="2" w:name="OLE_LINK2"/>
      <w:r>
        <w:rPr>
          <w:rFonts w:hint="eastAsia" w:ascii="仿宋_GB2312"/>
          <w:color w:val="auto"/>
          <w:szCs w:val="32"/>
          <w:highlight w:val="none"/>
        </w:rPr>
        <w:t>[</w:t>
      </w:r>
      <w:bookmarkEnd w:id="2"/>
      <w:r>
        <w:rPr>
          <w:rFonts w:hint="eastAsia" w:ascii="仿宋_GB2312"/>
          <w:color w:val="auto"/>
          <w:szCs w:val="32"/>
          <w:highlight w:val="none"/>
        </w:rPr>
        <w:t>20</w:t>
      </w:r>
      <w:r>
        <w:rPr>
          <w:rFonts w:hint="eastAsia" w:ascii="仿宋_GB2312"/>
          <w:color w:val="auto"/>
          <w:szCs w:val="32"/>
          <w:highlight w:val="none"/>
          <w:lang w:val="en-US" w:eastAsia="zh-CN"/>
        </w:rPr>
        <w:t>24</w:t>
      </w:r>
      <w:bookmarkStart w:id="3" w:name="OLE_LINK3"/>
      <w:r>
        <w:rPr>
          <w:rFonts w:hint="eastAsia" w:ascii="仿宋_GB2312"/>
          <w:color w:val="auto"/>
          <w:szCs w:val="32"/>
          <w:highlight w:val="none"/>
        </w:rPr>
        <w:t>]</w:t>
      </w:r>
      <w:bookmarkEnd w:id="3"/>
      <w:r>
        <w:rPr>
          <w:rFonts w:hint="eastAsia" w:ascii="仿宋_GB2312"/>
          <w:color w:val="auto"/>
          <w:szCs w:val="32"/>
          <w:highlight w:val="none"/>
          <w:lang w:val="en-US" w:eastAsia="zh-CN"/>
        </w:rPr>
        <w:t>006</w:t>
      </w:r>
      <w:r>
        <w:rPr>
          <w:rFonts w:hint="eastAsia" w:ascii="仿宋_GB2312"/>
          <w:color w:val="auto"/>
          <w:szCs w:val="32"/>
          <w:highlight w:val="none"/>
        </w:rPr>
        <w:t>号</w:t>
      </w:r>
      <w:r>
        <w:rPr>
          <w:rFonts w:hint="eastAsia" w:ascii="仿宋_GB2312"/>
          <w:color w:val="auto"/>
          <w:highlight w:val="none"/>
        </w:rPr>
        <w:t>）。</w:t>
      </w:r>
    </w:p>
    <w:p w14:paraId="1A5C4E9D">
      <w:pPr>
        <w:pStyle w:val="54"/>
        <w:spacing w:line="560" w:lineRule="exact"/>
        <w:ind w:left="3" w:right="3" w:firstLine="560"/>
        <w:rPr>
          <w:rFonts w:ascii="仿宋_GB2312"/>
          <w:color w:val="auto"/>
          <w:highlight w:val="yellow"/>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w:t>
      </w:r>
      <w:r>
        <w:rPr>
          <w:rFonts w:hint="eastAsia" w:ascii="仿宋_GB2312"/>
          <w:color w:val="auto"/>
          <w:highlight w:val="none"/>
          <w:lang w:val="en-US" w:eastAsia="zh-CN"/>
        </w:rPr>
        <w:t>9</w:t>
      </w:r>
      <w:r>
        <w:rPr>
          <w:rFonts w:hint="eastAsia" w:ascii="仿宋_GB2312"/>
          <w:color w:val="auto"/>
          <w:highlight w:val="none"/>
        </w:rPr>
        <w:t>日发布招标公告</w:t>
      </w:r>
      <w:r>
        <w:rPr>
          <w:rFonts w:hint="eastAsia" w:ascii="仿宋_GB2312"/>
          <w:color w:val="auto"/>
          <w:highlight w:val="none"/>
          <w:lang w:eastAsia="zh-CN"/>
        </w:rPr>
        <w:t>（</w:t>
      </w:r>
      <w:r>
        <w:rPr>
          <w:rFonts w:hint="eastAsia" w:ascii="仿宋_GB2312"/>
          <w:color w:val="auto"/>
          <w:highlight w:val="none"/>
          <w:lang w:val="en-US" w:eastAsia="zh-CN"/>
        </w:rPr>
        <w:t>竞争性磋商）</w:t>
      </w:r>
      <w:r>
        <w:rPr>
          <w:rFonts w:hint="eastAsia" w:ascii="仿宋_GB2312"/>
          <w:color w:val="auto"/>
          <w:highlight w:val="none"/>
        </w:rPr>
        <w:t>进行招标，202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w:t>
      </w:r>
      <w:r>
        <w:rPr>
          <w:rFonts w:hint="eastAsia" w:ascii="仿宋_GB2312"/>
          <w:color w:val="auto"/>
          <w:highlight w:val="none"/>
          <w:lang w:val="en-US" w:eastAsia="zh-CN"/>
        </w:rPr>
        <w:t>6</w:t>
      </w:r>
      <w:r>
        <w:rPr>
          <w:rFonts w:hint="eastAsia" w:ascii="仿宋_GB2312"/>
          <w:color w:val="auto"/>
          <w:highlight w:val="none"/>
        </w:rPr>
        <w:t>日完工。</w:t>
      </w:r>
    </w:p>
    <w:p w14:paraId="5C1D30CF">
      <w:pPr>
        <w:pStyle w:val="54"/>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4</w:t>
      </w:r>
      <w:r>
        <w:rPr>
          <w:rFonts w:hint="eastAsia" w:ascii="仿宋_GB2312"/>
          <w:color w:val="auto"/>
          <w:highlight w:val="none"/>
        </w:rPr>
        <w:t>月</w:t>
      </w:r>
      <w:r>
        <w:rPr>
          <w:rFonts w:hint="eastAsia" w:ascii="仿宋_GB2312"/>
          <w:color w:val="auto"/>
          <w:highlight w:val="none"/>
          <w:lang w:val="en-US" w:eastAsia="zh-CN"/>
        </w:rPr>
        <w:t>24</w:t>
      </w:r>
      <w:r>
        <w:rPr>
          <w:rFonts w:hint="eastAsia" w:ascii="仿宋_GB2312"/>
          <w:color w:val="auto"/>
          <w:highlight w:val="none"/>
        </w:rPr>
        <w:t>日由于田县</w:t>
      </w:r>
      <w:r>
        <w:rPr>
          <w:rFonts w:hint="eastAsia" w:ascii="仿宋_GB2312"/>
          <w:color w:val="auto"/>
          <w:highlight w:val="none"/>
          <w:lang w:val="en-US" w:eastAsia="zh-CN"/>
        </w:rPr>
        <w:t>农业农村局</w:t>
      </w:r>
      <w:r>
        <w:rPr>
          <w:rFonts w:hint="eastAsia" w:ascii="仿宋_GB2312"/>
          <w:color w:val="auto"/>
          <w:highlight w:val="none"/>
          <w:lang w:eastAsia="zh-CN"/>
        </w:rPr>
        <w:t>，</w:t>
      </w:r>
      <w:r>
        <w:rPr>
          <w:rFonts w:hint="eastAsia" w:ascii="仿宋_GB2312"/>
          <w:color w:val="auto"/>
          <w:highlight w:val="none"/>
          <w:lang w:val="en-US" w:eastAsia="zh-CN"/>
        </w:rPr>
        <w:t>水利</w:t>
      </w:r>
      <w:r>
        <w:rPr>
          <w:rFonts w:hint="eastAsia" w:ascii="仿宋_GB2312"/>
          <w:color w:val="auto"/>
          <w:highlight w:val="none"/>
          <w:lang w:eastAsia="zh-CN"/>
        </w:rPr>
        <w:t>局，</w:t>
      </w:r>
      <w:r>
        <w:rPr>
          <w:rFonts w:hint="eastAsia" w:ascii="仿宋_GB2312"/>
          <w:color w:val="auto"/>
          <w:highlight w:val="none"/>
          <w:lang w:val="en-US" w:eastAsia="zh-CN"/>
        </w:rPr>
        <w:t>乡村振兴局，林草局，组织部，发改委，财政</w:t>
      </w:r>
      <w:r>
        <w:rPr>
          <w:rFonts w:hint="eastAsia" w:ascii="仿宋_GB2312"/>
          <w:color w:val="auto"/>
          <w:highlight w:val="none"/>
          <w:lang w:eastAsia="zh-CN"/>
        </w:rPr>
        <w:t>局，</w:t>
      </w:r>
      <w:r>
        <w:rPr>
          <w:rFonts w:hint="eastAsia" w:ascii="仿宋_GB2312"/>
          <w:color w:val="auto"/>
          <w:highlight w:val="none"/>
          <w:lang w:val="en-US" w:eastAsia="zh-CN"/>
        </w:rPr>
        <w:t>档案局</w:t>
      </w:r>
      <w:r>
        <w:rPr>
          <w:rFonts w:hint="eastAsia" w:ascii="仿宋_GB2312"/>
          <w:color w:val="auto"/>
          <w:highlight w:val="none"/>
        </w:rPr>
        <w:t>和参建单位联合竣工验收结果状况：合格。</w:t>
      </w:r>
    </w:p>
    <w:p w14:paraId="7B15F53E">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007CB44B">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于田县木尕拉镇2024年壮大村集体经济建设项目</w:t>
      </w:r>
      <w:r>
        <w:rPr>
          <w:rFonts w:hint="eastAsia" w:ascii="仿宋_GB2312" w:hAnsi="Times New Roman" w:eastAsia="仿宋_GB2312" w:cs="Times New Roman"/>
          <w:sz w:val="28"/>
          <w:highlight w:val="none"/>
        </w:rPr>
        <w:t>资金安排、使用过程中严格执行乡村振兴项目资金管理制度，确保乡村振兴</w:t>
      </w:r>
      <w:r>
        <w:rPr>
          <w:rFonts w:hint="eastAsia" w:ascii="仿宋_GB2312" w:hAnsi="Times New Roman" w:eastAsia="仿宋_GB2312" w:cs="Times New Roman"/>
          <w:sz w:val="28"/>
          <w:highlight w:val="none"/>
          <w:lang w:val="en-US" w:eastAsia="zh-CN"/>
        </w:rPr>
        <w:t>的</w:t>
      </w:r>
      <w:r>
        <w:rPr>
          <w:rFonts w:hint="eastAsia" w:ascii="仿宋_GB2312" w:hAnsi="Times New Roman" w:eastAsia="仿宋_GB2312" w:cs="Times New Roman"/>
          <w:sz w:val="28"/>
          <w:highlight w:val="none"/>
        </w:rPr>
        <w:t>项目正常运行为构建长效稳定奠定物质基础。</w:t>
      </w:r>
    </w:p>
    <w:p w14:paraId="1A41C1F9">
      <w:pPr>
        <w:spacing w:line="560" w:lineRule="exact"/>
        <w:ind w:firstLine="562" w:firstLineChars="200"/>
        <w:rPr>
          <w:rStyle w:val="21"/>
          <w:rFonts w:ascii="楷体_GB2312"/>
          <w:sz w:val="28"/>
          <w:highlight w:val="none"/>
        </w:rPr>
      </w:pPr>
      <w:r>
        <w:rPr>
          <w:rStyle w:val="21"/>
          <w:rFonts w:hint="eastAsia" w:ascii="楷体_GB2312"/>
          <w:sz w:val="28"/>
          <w:highlight w:val="none"/>
        </w:rPr>
        <w:t>（四）存在的问题</w:t>
      </w:r>
    </w:p>
    <w:p w14:paraId="078C0595">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于田县木尕拉镇2024年壮大村集体经济建设项目</w:t>
      </w:r>
      <w:r>
        <w:rPr>
          <w:rFonts w:hint="eastAsia" w:ascii="仿宋_GB2312" w:hAnsi="Times New Roman" w:eastAsia="仿宋_GB2312" w:cs="Times New Roman"/>
          <w:sz w:val="28"/>
          <w:highlight w:val="none"/>
          <w:lang w:val="en-US" w:eastAsia="zh-CN"/>
        </w:rPr>
        <w:t>前期手续办理审批缓慢的问题，由于各单位年初业务繁忙，出具各类材料需要一定时间，导致办理材料缓慢，招投标后滞</w:t>
      </w:r>
      <w:r>
        <w:rPr>
          <w:rFonts w:hint="eastAsia" w:ascii="仿宋_GB2312" w:hAnsi="Times New Roman" w:eastAsia="仿宋_GB2312" w:cs="Times New Roman"/>
          <w:sz w:val="28"/>
          <w:highlight w:val="none"/>
        </w:rPr>
        <w:t>。</w:t>
      </w:r>
    </w:p>
    <w:p w14:paraId="503DA670">
      <w:pPr>
        <w:spacing w:line="560" w:lineRule="exact"/>
        <w:ind w:firstLine="562" w:firstLineChars="200"/>
        <w:rPr>
          <w:rStyle w:val="21"/>
          <w:rFonts w:ascii="楷体_GB2312"/>
          <w:sz w:val="28"/>
          <w:highlight w:val="none"/>
        </w:rPr>
      </w:pPr>
      <w:r>
        <w:rPr>
          <w:rStyle w:val="21"/>
          <w:rFonts w:hint="eastAsia" w:ascii="楷体_GB2312"/>
          <w:sz w:val="28"/>
          <w:highlight w:val="none"/>
        </w:rPr>
        <w:t>（五）建议</w:t>
      </w:r>
    </w:p>
    <w:p w14:paraId="492C204E">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rPr>
        <w:t>后续要加强项目监督</w:t>
      </w:r>
      <w:r>
        <w:rPr>
          <w:rFonts w:hint="eastAsia" w:ascii="仿宋_GB2312" w:hAnsi="Times New Roman" w:eastAsia="仿宋_GB2312" w:cs="Times New Roman"/>
          <w:sz w:val="28"/>
          <w:highlight w:val="none"/>
          <w:lang w:val="en-US" w:eastAsia="zh-CN"/>
        </w:rPr>
        <w:t>管理</w:t>
      </w:r>
      <w:r>
        <w:rPr>
          <w:rFonts w:hint="eastAsia" w:ascii="仿宋_GB2312" w:hAnsi="Times New Roman" w:eastAsia="仿宋_GB2312" w:cs="Times New Roman"/>
          <w:sz w:val="28"/>
          <w:highlight w:val="none"/>
        </w:rPr>
        <w:t>力度，严格执行乡村振兴项目管理制度，确保乡村振兴项目正常运行。建立健全资产管理体制和运行机制，持续发挥资产扶持效益，确保资产运行安全，管理高效；为构建长效稳定的乡村振兴环境奠定物质基础。</w:t>
      </w:r>
    </w:p>
    <w:p w14:paraId="747AE1E7">
      <w:pPr>
        <w:spacing w:line="560" w:lineRule="exact"/>
        <w:ind w:firstLine="562" w:firstLineChars="200"/>
        <w:rPr>
          <w:rStyle w:val="21"/>
          <w:rFonts w:ascii="楷体_GB2312"/>
          <w:sz w:val="28"/>
          <w:highlight w:val="none"/>
        </w:rPr>
      </w:pPr>
      <w:r>
        <w:rPr>
          <w:rStyle w:val="21"/>
          <w:rFonts w:hint="eastAsia" w:ascii="楷体_GB2312"/>
          <w:sz w:val="28"/>
          <w:highlight w:val="none"/>
        </w:rPr>
        <w:t>（六）项目绩效公告公示情况</w:t>
      </w:r>
    </w:p>
    <w:p w14:paraId="51D9BE26">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w:t>
      </w:r>
      <w:r>
        <w:rPr>
          <w:rFonts w:hint="eastAsia" w:ascii="仿宋_GB2312"/>
          <w:color w:val="auto"/>
          <w:highlight w:val="none"/>
          <w:lang w:val="en-US" w:eastAsia="zh-CN"/>
        </w:rPr>
        <w:t>张贴</w:t>
      </w:r>
      <w:r>
        <w:rPr>
          <w:rFonts w:hint="eastAsia" w:ascii="仿宋_GB2312"/>
          <w:color w:val="auto"/>
          <w:highlight w:val="none"/>
        </w:rPr>
        <w:t>公示向社会</w:t>
      </w:r>
      <w:r>
        <w:rPr>
          <w:rFonts w:hint="eastAsia" w:ascii="仿宋_GB2312"/>
          <w:color w:val="auto"/>
          <w:highlight w:val="none"/>
          <w:lang w:val="en-US" w:eastAsia="zh-CN"/>
        </w:rPr>
        <w:t>群众</w:t>
      </w:r>
      <w:r>
        <w:rPr>
          <w:rFonts w:hint="eastAsia" w:ascii="仿宋_GB2312"/>
          <w:color w:val="auto"/>
          <w:highlight w:val="none"/>
        </w:rPr>
        <w:t>公开，接受社会</w:t>
      </w:r>
      <w:r>
        <w:rPr>
          <w:rFonts w:hint="eastAsia" w:ascii="仿宋_GB2312"/>
          <w:color w:val="auto"/>
          <w:highlight w:val="none"/>
          <w:lang w:val="en-US" w:eastAsia="zh-CN"/>
        </w:rPr>
        <w:t>群众的</w:t>
      </w:r>
      <w:r>
        <w:rPr>
          <w:rFonts w:hint="eastAsia" w:ascii="仿宋_GB2312"/>
          <w:color w:val="auto"/>
          <w:highlight w:val="none"/>
        </w:rPr>
        <w:t>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30AB1A56">
        <w:pPr>
          <w:pStyle w:val="15"/>
          <w:jc w:val="center"/>
        </w:pPr>
        <w:r>
          <w:fldChar w:fldCharType="begin"/>
        </w:r>
        <w:r>
          <w:instrText xml:space="preserve">PAGE   \* MERGEFORMAT</w:instrText>
        </w:r>
        <w:r>
          <w:fldChar w:fldCharType="separate"/>
        </w:r>
        <w:r>
          <w:rPr>
            <w:lang w:val="zh-CN"/>
          </w:rPr>
          <w:t>1</w:t>
        </w:r>
        <w:r>
          <w:fldChar w:fldCharType="end"/>
        </w:r>
      </w:p>
    </w:sdtContent>
  </w:sdt>
  <w:p w14:paraId="0D54CD0A">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3B0D1">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628A09"/>
    <w:multiLevelType w:val="singleLevel"/>
    <w:tmpl w:val="EB628A0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3FBF"/>
    <w:rsid w:val="00407329"/>
    <w:rsid w:val="0042774A"/>
    <w:rsid w:val="00433105"/>
    <w:rsid w:val="0043529B"/>
    <w:rsid w:val="00444004"/>
    <w:rsid w:val="004447F6"/>
    <w:rsid w:val="00452A7B"/>
    <w:rsid w:val="004765F9"/>
    <w:rsid w:val="004B2577"/>
    <w:rsid w:val="004D19E3"/>
    <w:rsid w:val="004E156F"/>
    <w:rsid w:val="004F278C"/>
    <w:rsid w:val="004F71F5"/>
    <w:rsid w:val="00502531"/>
    <w:rsid w:val="005033D8"/>
    <w:rsid w:val="00545496"/>
    <w:rsid w:val="005469CF"/>
    <w:rsid w:val="00550BD8"/>
    <w:rsid w:val="00561ADC"/>
    <w:rsid w:val="005B4348"/>
    <w:rsid w:val="005B7749"/>
    <w:rsid w:val="005D7C18"/>
    <w:rsid w:val="005F7D5D"/>
    <w:rsid w:val="00600873"/>
    <w:rsid w:val="00601C6E"/>
    <w:rsid w:val="00607547"/>
    <w:rsid w:val="00642C18"/>
    <w:rsid w:val="00661281"/>
    <w:rsid w:val="00661CC0"/>
    <w:rsid w:val="00696A43"/>
    <w:rsid w:val="006C2EB3"/>
    <w:rsid w:val="006F23BE"/>
    <w:rsid w:val="00702BA4"/>
    <w:rsid w:val="00704F2C"/>
    <w:rsid w:val="00713A95"/>
    <w:rsid w:val="007658DB"/>
    <w:rsid w:val="00783147"/>
    <w:rsid w:val="007C501F"/>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335C"/>
    <w:rsid w:val="00956D07"/>
    <w:rsid w:val="00995842"/>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A4"/>
    <w:rsid w:val="00DC00CB"/>
    <w:rsid w:val="00DE5C9F"/>
    <w:rsid w:val="00E20066"/>
    <w:rsid w:val="00E215D5"/>
    <w:rsid w:val="00E231E6"/>
    <w:rsid w:val="00E35D4C"/>
    <w:rsid w:val="00E36AF4"/>
    <w:rsid w:val="00E417AF"/>
    <w:rsid w:val="00E5760D"/>
    <w:rsid w:val="00E62F01"/>
    <w:rsid w:val="00E65E86"/>
    <w:rsid w:val="00E66C44"/>
    <w:rsid w:val="00E70807"/>
    <w:rsid w:val="00E72FF5"/>
    <w:rsid w:val="00E952C7"/>
    <w:rsid w:val="00EB734B"/>
    <w:rsid w:val="00EE2F0B"/>
    <w:rsid w:val="00F326A5"/>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736731"/>
    <w:rsid w:val="01833635"/>
    <w:rsid w:val="01A36CEE"/>
    <w:rsid w:val="023D5371"/>
    <w:rsid w:val="027F63AE"/>
    <w:rsid w:val="0325119A"/>
    <w:rsid w:val="03A2602A"/>
    <w:rsid w:val="046B096A"/>
    <w:rsid w:val="04BF4CB7"/>
    <w:rsid w:val="04E00A6C"/>
    <w:rsid w:val="04EA72FB"/>
    <w:rsid w:val="05215FE5"/>
    <w:rsid w:val="05437E33"/>
    <w:rsid w:val="05B820E5"/>
    <w:rsid w:val="05C25A64"/>
    <w:rsid w:val="05F873C5"/>
    <w:rsid w:val="0624235D"/>
    <w:rsid w:val="0674200F"/>
    <w:rsid w:val="069350E4"/>
    <w:rsid w:val="071163A2"/>
    <w:rsid w:val="082F368D"/>
    <w:rsid w:val="08E9274D"/>
    <w:rsid w:val="09122105"/>
    <w:rsid w:val="09320078"/>
    <w:rsid w:val="099A3488"/>
    <w:rsid w:val="0A2C3DE4"/>
    <w:rsid w:val="0A7040FF"/>
    <w:rsid w:val="0A9F3016"/>
    <w:rsid w:val="0AD23243"/>
    <w:rsid w:val="0AF36AD9"/>
    <w:rsid w:val="0B091BAB"/>
    <w:rsid w:val="0B5C3D1B"/>
    <w:rsid w:val="0B5D0F4E"/>
    <w:rsid w:val="0D3716DE"/>
    <w:rsid w:val="0DB4343E"/>
    <w:rsid w:val="0DC50F98"/>
    <w:rsid w:val="0F97689C"/>
    <w:rsid w:val="0FA14A05"/>
    <w:rsid w:val="0FB8469B"/>
    <w:rsid w:val="10201226"/>
    <w:rsid w:val="10C57A75"/>
    <w:rsid w:val="1151736E"/>
    <w:rsid w:val="11E73444"/>
    <w:rsid w:val="11F44487"/>
    <w:rsid w:val="12287FF3"/>
    <w:rsid w:val="12866486"/>
    <w:rsid w:val="132976D6"/>
    <w:rsid w:val="135C30B0"/>
    <w:rsid w:val="13A045BD"/>
    <w:rsid w:val="13A75678"/>
    <w:rsid w:val="141875ED"/>
    <w:rsid w:val="14523BDA"/>
    <w:rsid w:val="162A5F70"/>
    <w:rsid w:val="17526E1E"/>
    <w:rsid w:val="17A84B25"/>
    <w:rsid w:val="17D6183A"/>
    <w:rsid w:val="18981B78"/>
    <w:rsid w:val="18B71A64"/>
    <w:rsid w:val="1A234C7E"/>
    <w:rsid w:val="1AC9317E"/>
    <w:rsid w:val="1B62698C"/>
    <w:rsid w:val="1B90020D"/>
    <w:rsid w:val="1C954FC9"/>
    <w:rsid w:val="1DF256D0"/>
    <w:rsid w:val="1E4725ED"/>
    <w:rsid w:val="1F3504A2"/>
    <w:rsid w:val="1F8C05C5"/>
    <w:rsid w:val="1FD0538F"/>
    <w:rsid w:val="1FEE39F6"/>
    <w:rsid w:val="1FF170A8"/>
    <w:rsid w:val="204121A1"/>
    <w:rsid w:val="20885025"/>
    <w:rsid w:val="20925BC1"/>
    <w:rsid w:val="21304794"/>
    <w:rsid w:val="21421357"/>
    <w:rsid w:val="21A50045"/>
    <w:rsid w:val="21C01FC7"/>
    <w:rsid w:val="22602296"/>
    <w:rsid w:val="23377FF5"/>
    <w:rsid w:val="23F863C1"/>
    <w:rsid w:val="24577D9F"/>
    <w:rsid w:val="245B4C98"/>
    <w:rsid w:val="253D3738"/>
    <w:rsid w:val="262C5472"/>
    <w:rsid w:val="263E0D0F"/>
    <w:rsid w:val="28135D8C"/>
    <w:rsid w:val="28604CF3"/>
    <w:rsid w:val="2926098E"/>
    <w:rsid w:val="297124F0"/>
    <w:rsid w:val="2A7F41CD"/>
    <w:rsid w:val="2A9E46AE"/>
    <w:rsid w:val="2AC45C7E"/>
    <w:rsid w:val="2AFD4B9D"/>
    <w:rsid w:val="2B016451"/>
    <w:rsid w:val="2B11642F"/>
    <w:rsid w:val="2B483BDB"/>
    <w:rsid w:val="2BDA0ABF"/>
    <w:rsid w:val="2BEF7C4A"/>
    <w:rsid w:val="2BFE6C33"/>
    <w:rsid w:val="2DA22198"/>
    <w:rsid w:val="2DF33037"/>
    <w:rsid w:val="2E54551A"/>
    <w:rsid w:val="2EAC278D"/>
    <w:rsid w:val="2EC54364"/>
    <w:rsid w:val="2F124362"/>
    <w:rsid w:val="2FED5C8C"/>
    <w:rsid w:val="300656CD"/>
    <w:rsid w:val="304D74FC"/>
    <w:rsid w:val="30DA0BA0"/>
    <w:rsid w:val="31FB7B74"/>
    <w:rsid w:val="32C46296"/>
    <w:rsid w:val="335847DE"/>
    <w:rsid w:val="3364758B"/>
    <w:rsid w:val="34156198"/>
    <w:rsid w:val="346409FF"/>
    <w:rsid w:val="35AA5315"/>
    <w:rsid w:val="37001A0D"/>
    <w:rsid w:val="372F515E"/>
    <w:rsid w:val="37452596"/>
    <w:rsid w:val="375600DD"/>
    <w:rsid w:val="37FF5646"/>
    <w:rsid w:val="38136AE8"/>
    <w:rsid w:val="38E4611E"/>
    <w:rsid w:val="3919044F"/>
    <w:rsid w:val="3A4B3943"/>
    <w:rsid w:val="3B2E21A8"/>
    <w:rsid w:val="3BE92741"/>
    <w:rsid w:val="3C7D70DA"/>
    <w:rsid w:val="3CD3075D"/>
    <w:rsid w:val="3D2402FF"/>
    <w:rsid w:val="3D5E1131"/>
    <w:rsid w:val="3E0E1B79"/>
    <w:rsid w:val="3E982E81"/>
    <w:rsid w:val="3EB850CA"/>
    <w:rsid w:val="408849DF"/>
    <w:rsid w:val="40D64F3C"/>
    <w:rsid w:val="4133059C"/>
    <w:rsid w:val="413E720B"/>
    <w:rsid w:val="416A6F9C"/>
    <w:rsid w:val="4174622E"/>
    <w:rsid w:val="41D01D50"/>
    <w:rsid w:val="41D51F7A"/>
    <w:rsid w:val="426A289B"/>
    <w:rsid w:val="42726E7A"/>
    <w:rsid w:val="432F5109"/>
    <w:rsid w:val="436E06D9"/>
    <w:rsid w:val="43AD0DDB"/>
    <w:rsid w:val="43E64511"/>
    <w:rsid w:val="44F11970"/>
    <w:rsid w:val="44FD32E9"/>
    <w:rsid w:val="450C05A0"/>
    <w:rsid w:val="46AB12E9"/>
    <w:rsid w:val="490C5A11"/>
    <w:rsid w:val="492D3872"/>
    <w:rsid w:val="497D2C28"/>
    <w:rsid w:val="49886878"/>
    <w:rsid w:val="49A3515D"/>
    <w:rsid w:val="4B092D88"/>
    <w:rsid w:val="4BBC6310"/>
    <w:rsid w:val="4C434013"/>
    <w:rsid w:val="4CB35B87"/>
    <w:rsid w:val="4E9B2184"/>
    <w:rsid w:val="4ED6413C"/>
    <w:rsid w:val="4EEC5350"/>
    <w:rsid w:val="4F026A9E"/>
    <w:rsid w:val="500D03F4"/>
    <w:rsid w:val="501F2FAD"/>
    <w:rsid w:val="50493837"/>
    <w:rsid w:val="535B77F4"/>
    <w:rsid w:val="53A91B52"/>
    <w:rsid w:val="53E26203"/>
    <w:rsid w:val="54174C1E"/>
    <w:rsid w:val="54694136"/>
    <w:rsid w:val="55AB4CFC"/>
    <w:rsid w:val="566A57D0"/>
    <w:rsid w:val="56BC14CC"/>
    <w:rsid w:val="57040EC7"/>
    <w:rsid w:val="57B40121"/>
    <w:rsid w:val="58541C04"/>
    <w:rsid w:val="5A346B49"/>
    <w:rsid w:val="5A3C6825"/>
    <w:rsid w:val="5AD81B33"/>
    <w:rsid w:val="5B5D3CAE"/>
    <w:rsid w:val="5BC91F40"/>
    <w:rsid w:val="5C7D248A"/>
    <w:rsid w:val="5CB828A6"/>
    <w:rsid w:val="5CE74F49"/>
    <w:rsid w:val="5D4C56C2"/>
    <w:rsid w:val="5D5440F0"/>
    <w:rsid w:val="5F4D1074"/>
    <w:rsid w:val="5F8B0AD9"/>
    <w:rsid w:val="5FB243FD"/>
    <w:rsid w:val="5FF86F82"/>
    <w:rsid w:val="608A742D"/>
    <w:rsid w:val="612E12B4"/>
    <w:rsid w:val="614C3496"/>
    <w:rsid w:val="615C0468"/>
    <w:rsid w:val="61B55E70"/>
    <w:rsid w:val="631244BB"/>
    <w:rsid w:val="63325C32"/>
    <w:rsid w:val="63AE6093"/>
    <w:rsid w:val="63D85922"/>
    <w:rsid w:val="64001A54"/>
    <w:rsid w:val="647916AD"/>
    <w:rsid w:val="64EF6A61"/>
    <w:rsid w:val="655734E6"/>
    <w:rsid w:val="657168A7"/>
    <w:rsid w:val="669A5A6D"/>
    <w:rsid w:val="66D43F30"/>
    <w:rsid w:val="67B12F99"/>
    <w:rsid w:val="68912E4E"/>
    <w:rsid w:val="6924556C"/>
    <w:rsid w:val="694556F4"/>
    <w:rsid w:val="694614B9"/>
    <w:rsid w:val="69E97C41"/>
    <w:rsid w:val="6A665AA7"/>
    <w:rsid w:val="6A7E2834"/>
    <w:rsid w:val="6B2230D1"/>
    <w:rsid w:val="6B4822F6"/>
    <w:rsid w:val="6B5F25A8"/>
    <w:rsid w:val="6BE95382"/>
    <w:rsid w:val="6CD67BA3"/>
    <w:rsid w:val="6D046BC7"/>
    <w:rsid w:val="6D13641E"/>
    <w:rsid w:val="6D7C6132"/>
    <w:rsid w:val="6DC67C57"/>
    <w:rsid w:val="6DED7F18"/>
    <w:rsid w:val="6DF73EA8"/>
    <w:rsid w:val="6E39648E"/>
    <w:rsid w:val="6E4938EE"/>
    <w:rsid w:val="6F077459"/>
    <w:rsid w:val="6F191B51"/>
    <w:rsid w:val="701461CD"/>
    <w:rsid w:val="706C5DBD"/>
    <w:rsid w:val="70A252BC"/>
    <w:rsid w:val="713A7232"/>
    <w:rsid w:val="71BA7F04"/>
    <w:rsid w:val="72660665"/>
    <w:rsid w:val="72E865A1"/>
    <w:rsid w:val="72EF04C8"/>
    <w:rsid w:val="733623C7"/>
    <w:rsid w:val="73A07546"/>
    <w:rsid w:val="74702F2D"/>
    <w:rsid w:val="74E813F3"/>
    <w:rsid w:val="752641FD"/>
    <w:rsid w:val="75603B4D"/>
    <w:rsid w:val="75767500"/>
    <w:rsid w:val="76035AD7"/>
    <w:rsid w:val="763871F0"/>
    <w:rsid w:val="7742427D"/>
    <w:rsid w:val="779305BF"/>
    <w:rsid w:val="77DF1A43"/>
    <w:rsid w:val="78403E44"/>
    <w:rsid w:val="794762A8"/>
    <w:rsid w:val="7B38751A"/>
    <w:rsid w:val="7BD608AD"/>
    <w:rsid w:val="7CE52B42"/>
    <w:rsid w:val="7D0A1326"/>
    <w:rsid w:val="7D20786B"/>
    <w:rsid w:val="7DEC3FDC"/>
    <w:rsid w:val="7E173876"/>
    <w:rsid w:val="7F00709B"/>
    <w:rsid w:val="7F1722A1"/>
    <w:rsid w:val="7FAD3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4">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5">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6">
    <w:name w:val="heading 3"/>
    <w:basedOn w:val="1"/>
    <w:next w:val="1"/>
    <w:link w:val="25"/>
    <w:qFormat/>
    <w:uiPriority w:val="9"/>
    <w:pPr>
      <w:keepNext/>
      <w:keepLines/>
      <w:spacing w:before="260" w:after="260" w:line="415" w:lineRule="auto"/>
      <w:outlineLvl w:val="2"/>
    </w:pPr>
    <w:rPr>
      <w:rFonts w:cs="宋体"/>
      <w:b/>
      <w:bCs/>
      <w:szCs w:val="32"/>
    </w:rPr>
  </w:style>
  <w:style w:type="paragraph" w:styleId="7">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8">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9">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64"/>
    <w:qFormat/>
    <w:uiPriority w:val="9"/>
    <w:pPr>
      <w:keepNext/>
      <w:keepLines/>
      <w:spacing w:before="240" w:after="64" w:line="320" w:lineRule="auto"/>
      <w:outlineLvl w:val="6"/>
    </w:pPr>
    <w:rPr>
      <w:b/>
      <w:bCs/>
      <w:sz w:val="24"/>
      <w:szCs w:val="24"/>
    </w:rPr>
  </w:style>
  <w:style w:type="paragraph" w:styleId="11">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firstLineChars="200"/>
    </w:pPr>
  </w:style>
  <w:style w:type="paragraph" w:customStyle="1" w:styleId="3">
    <w:name w:val="正文文本缩进1"/>
    <w:basedOn w:val="1"/>
    <w:qFormat/>
    <w:uiPriority w:val="0"/>
    <w:pPr>
      <w:spacing w:after="120"/>
      <w:ind w:left="420" w:leftChars="200"/>
    </w:pPr>
  </w:style>
  <w:style w:type="paragraph" w:styleId="13">
    <w:name w:val="annotation text"/>
    <w:basedOn w:val="1"/>
    <w:link w:val="69"/>
    <w:semiHidden/>
    <w:unhideWhenUsed/>
    <w:qFormat/>
    <w:uiPriority w:val="99"/>
    <w:pPr>
      <w:jc w:val="left"/>
    </w:p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3"/>
    <w:next w:val="13"/>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4"/>
    <w:qFormat/>
    <w:locked/>
    <w:uiPriority w:val="9"/>
    <w:rPr>
      <w:b/>
      <w:bCs/>
      <w:kern w:val="44"/>
      <w:sz w:val="44"/>
      <w:szCs w:val="44"/>
    </w:rPr>
  </w:style>
  <w:style w:type="character" w:customStyle="1" w:styleId="24">
    <w:name w:val="标题 2 字符"/>
    <w:basedOn w:val="20"/>
    <w:link w:val="5"/>
    <w:semiHidden/>
    <w:qFormat/>
    <w:locked/>
    <w:uiPriority w:val="9"/>
    <w:rPr>
      <w:rFonts w:hint="eastAsia" w:asciiTheme="majorHAnsi" w:hAnsiTheme="majorHAnsi" w:eastAsiaTheme="majorEastAsia" w:cstheme="majorBidi"/>
      <w:b/>
      <w:bCs/>
      <w:sz w:val="32"/>
      <w:szCs w:val="32"/>
    </w:rPr>
  </w:style>
  <w:style w:type="character" w:customStyle="1" w:styleId="25">
    <w:name w:val="标题 3 字符"/>
    <w:basedOn w:val="20"/>
    <w:link w:val="6"/>
    <w:semiHidden/>
    <w:qFormat/>
    <w:locked/>
    <w:uiPriority w:val="9"/>
    <w:rPr>
      <w:b/>
      <w:bCs/>
      <w:sz w:val="32"/>
      <w:szCs w:val="32"/>
    </w:rPr>
  </w:style>
  <w:style w:type="character" w:customStyle="1" w:styleId="26">
    <w:name w:val="标题 4 字符"/>
    <w:basedOn w:val="20"/>
    <w:link w:val="7"/>
    <w:semiHidden/>
    <w:qFormat/>
    <w:locked/>
    <w:uiPriority w:val="9"/>
    <w:rPr>
      <w:rFonts w:hint="eastAsia" w:asciiTheme="majorHAnsi" w:hAnsiTheme="majorHAnsi" w:eastAsiaTheme="majorEastAsia" w:cstheme="majorBidi"/>
      <w:b/>
      <w:bCs/>
      <w:sz w:val="28"/>
      <w:szCs w:val="28"/>
    </w:rPr>
  </w:style>
  <w:style w:type="character" w:customStyle="1" w:styleId="27">
    <w:name w:val="标题 5 字符"/>
    <w:basedOn w:val="20"/>
    <w:link w:val="8"/>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4"/>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5"/>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6"/>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7"/>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8"/>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字符"/>
    <w:basedOn w:val="20"/>
    <w:link w:val="9"/>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9"/>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字符"/>
    <w:basedOn w:val="20"/>
    <w:link w:val="10"/>
    <w:semiHidden/>
    <w:qFormat/>
    <w:uiPriority w:val="9"/>
    <w:rPr>
      <w:rFonts w:asciiTheme="minorHAnsi" w:hAnsiTheme="minorHAnsi" w:eastAsiaTheme="minorEastAsia"/>
      <w:b/>
      <w:bCs/>
      <w:kern w:val="2"/>
      <w:sz w:val="24"/>
      <w:szCs w:val="24"/>
    </w:rPr>
  </w:style>
  <w:style w:type="character" w:customStyle="1" w:styleId="65">
    <w:name w:val="标题 8 字符"/>
    <w:basedOn w:val="20"/>
    <w:link w:val="11"/>
    <w:semiHidden/>
    <w:qFormat/>
    <w:uiPriority w:val="9"/>
    <w:rPr>
      <w:rFonts w:asciiTheme="majorHAnsi" w:hAnsiTheme="majorHAnsi" w:eastAsiaTheme="majorEastAsia" w:cstheme="majorBidi"/>
      <w:kern w:val="2"/>
      <w:sz w:val="24"/>
      <w:szCs w:val="24"/>
    </w:rPr>
  </w:style>
  <w:style w:type="character" w:customStyle="1" w:styleId="66">
    <w:name w:val="标题 9 字符"/>
    <w:basedOn w:val="20"/>
    <w:link w:val="12"/>
    <w:semiHidden/>
    <w:qFormat/>
    <w:uiPriority w:val="9"/>
    <w:rPr>
      <w:rFonts w:asciiTheme="majorHAnsi" w:hAnsiTheme="majorHAnsi" w:eastAsiaTheme="majorEastAsia" w:cstheme="majorBidi"/>
      <w:kern w:val="2"/>
      <w:sz w:val="21"/>
      <w:szCs w:val="21"/>
    </w:rPr>
  </w:style>
  <w:style w:type="character" w:customStyle="1" w:styleId="67">
    <w:name w:val="页眉 字符"/>
    <w:basedOn w:val="20"/>
    <w:link w:val="16"/>
    <w:qFormat/>
    <w:uiPriority w:val="99"/>
    <w:rPr>
      <w:rFonts w:asciiTheme="minorHAnsi" w:hAnsiTheme="minorHAnsi" w:eastAsiaTheme="minorEastAsia"/>
      <w:kern w:val="2"/>
      <w:sz w:val="18"/>
      <w:szCs w:val="18"/>
    </w:rPr>
  </w:style>
  <w:style w:type="character" w:customStyle="1" w:styleId="68">
    <w:name w:val="页脚 字符"/>
    <w:basedOn w:val="20"/>
    <w:link w:val="15"/>
    <w:qFormat/>
    <w:uiPriority w:val="99"/>
    <w:rPr>
      <w:rFonts w:asciiTheme="minorHAnsi" w:hAnsiTheme="minorHAnsi" w:eastAsiaTheme="minorEastAsia"/>
      <w:kern w:val="2"/>
      <w:sz w:val="18"/>
      <w:szCs w:val="18"/>
    </w:rPr>
  </w:style>
  <w:style w:type="character" w:customStyle="1" w:styleId="69">
    <w:name w:val="批注文字 字符"/>
    <w:basedOn w:val="20"/>
    <w:link w:val="13"/>
    <w:semiHidden/>
    <w:qFormat/>
    <w:uiPriority w:val="99"/>
    <w:rPr>
      <w:rFonts w:asciiTheme="minorHAnsi" w:hAnsiTheme="minorHAnsi" w:eastAsiaTheme="minorEastAsia"/>
      <w:kern w:val="2"/>
      <w:sz w:val="21"/>
      <w:szCs w:val="22"/>
    </w:rPr>
  </w:style>
  <w:style w:type="character" w:customStyle="1" w:styleId="70">
    <w:name w:val="批注主题 字符"/>
    <w:basedOn w:val="69"/>
    <w:link w:val="18"/>
    <w:semiHidden/>
    <w:uiPriority w:val="99"/>
    <w:rPr>
      <w:rFonts w:asciiTheme="minorHAnsi" w:hAnsiTheme="minorHAnsi" w:eastAsiaTheme="minorEastAsia"/>
      <w:b/>
      <w:bCs/>
      <w:kern w:val="2"/>
      <w:sz w:val="21"/>
      <w:szCs w:val="22"/>
    </w:rPr>
  </w:style>
  <w:style w:type="character" w:customStyle="1" w:styleId="71">
    <w:name w:val="批注框文本 字符"/>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13</Pages>
  <Words>6448</Words>
  <Characters>6979</Characters>
  <Lines>60</Lines>
  <Paragraphs>17</Paragraphs>
  <TotalTime>6</TotalTime>
  <ScaleCrop>false</ScaleCrop>
  <LinksUpToDate>false</LinksUpToDate>
  <CharactersWithSpaces>7309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有野</cp:lastModifiedBy>
  <dcterms:modified xsi:type="dcterms:W3CDTF">2025-07-30T05:07:45Z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