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BAAEC1">
      <w:pPr>
        <w:jc w:val="center"/>
        <w:rPr>
          <w:rFonts w:ascii="方正大标宋简体" w:hAnsi="华文中宋" w:eastAsia="方正大标宋简体" w:cs="宋体"/>
          <w:kern w:val="0"/>
          <w:sz w:val="52"/>
          <w:szCs w:val="52"/>
        </w:rPr>
      </w:pPr>
    </w:p>
    <w:p w14:paraId="4D750206">
      <w:pPr>
        <w:jc w:val="center"/>
        <w:rPr>
          <w:rFonts w:ascii="方正小标宋简体" w:hAnsi="方正小标宋简体" w:eastAsia="方正小标宋简体" w:cs="方正小标宋简体"/>
          <w:kern w:val="0"/>
          <w:sz w:val="52"/>
          <w:szCs w:val="52"/>
        </w:rPr>
      </w:pPr>
      <w:r>
        <w:rPr>
          <w:rFonts w:hint="eastAsia" w:ascii="方正小标宋简体" w:hAnsi="方正小标宋简体" w:eastAsia="方正小标宋简体" w:cs="方正小标宋简体"/>
          <w:kern w:val="0"/>
          <w:sz w:val="52"/>
          <w:szCs w:val="52"/>
        </w:rPr>
        <w:t>和田地区于田县乡村振兴衔接资金项目支出绩效自评报告</w:t>
      </w:r>
    </w:p>
    <w:p w14:paraId="2FBD4868">
      <w:pPr>
        <w:spacing w:line="700" w:lineRule="exact"/>
        <w:ind w:firstLine="1040" w:firstLineChars="200"/>
        <w:jc w:val="center"/>
        <w:rPr>
          <w:rFonts w:ascii="方正大标宋简体" w:hAnsi="华文中宋" w:eastAsia="方正大标宋简体" w:cs="宋体"/>
          <w:kern w:val="0"/>
          <w:sz w:val="52"/>
          <w:szCs w:val="52"/>
        </w:rPr>
      </w:pPr>
    </w:p>
    <w:p w14:paraId="585D8ED3">
      <w:pPr>
        <w:spacing w:line="540" w:lineRule="exact"/>
        <w:ind w:firstLine="720" w:firstLineChars="200"/>
        <w:jc w:val="center"/>
        <w:rPr>
          <w:rFonts w:ascii="方正小标宋简体" w:hAnsi="方正小标宋简体" w:eastAsia="方正小标宋简体" w:cs="方正小标宋简体"/>
          <w:kern w:val="0"/>
          <w:sz w:val="36"/>
          <w:szCs w:val="36"/>
        </w:rPr>
      </w:pPr>
      <w:r>
        <w:rPr>
          <w:rFonts w:hint="eastAsia" w:ascii="方正小标宋简体" w:hAnsi="方正小标宋简体" w:eastAsia="方正小标宋简体" w:cs="方正小标宋简体"/>
          <w:kern w:val="0"/>
          <w:sz w:val="36"/>
          <w:szCs w:val="36"/>
        </w:rPr>
        <w:t>（202</w:t>
      </w:r>
      <w:r>
        <w:rPr>
          <w:rFonts w:hint="eastAsia" w:ascii="方正小标宋简体" w:hAnsi="方正小标宋简体" w:eastAsia="方正小标宋简体" w:cs="方正小标宋简体"/>
          <w:kern w:val="0"/>
          <w:sz w:val="36"/>
          <w:szCs w:val="36"/>
          <w:lang w:val="en-US" w:eastAsia="zh-CN"/>
        </w:rPr>
        <w:t>4</w:t>
      </w:r>
      <w:r>
        <w:rPr>
          <w:rFonts w:hint="eastAsia" w:ascii="方正小标宋简体" w:hAnsi="方正小标宋简体" w:eastAsia="方正小标宋简体" w:cs="方正小标宋简体"/>
          <w:kern w:val="0"/>
          <w:sz w:val="36"/>
          <w:szCs w:val="36"/>
        </w:rPr>
        <w:t>年度）</w:t>
      </w:r>
    </w:p>
    <w:p w14:paraId="2FD020B3">
      <w:pPr>
        <w:spacing w:line="540" w:lineRule="exact"/>
        <w:ind w:firstLine="600" w:firstLineChars="200"/>
        <w:jc w:val="center"/>
        <w:rPr>
          <w:rFonts w:hAnsi="宋体" w:cs="宋体"/>
          <w:kern w:val="0"/>
          <w:sz w:val="30"/>
          <w:szCs w:val="30"/>
        </w:rPr>
      </w:pPr>
    </w:p>
    <w:p w14:paraId="0F8DDAA7">
      <w:pPr>
        <w:spacing w:line="540" w:lineRule="exact"/>
        <w:ind w:firstLine="600" w:firstLineChars="200"/>
        <w:jc w:val="center"/>
        <w:rPr>
          <w:rFonts w:hAnsi="宋体" w:cs="宋体"/>
          <w:kern w:val="0"/>
          <w:sz w:val="30"/>
          <w:szCs w:val="30"/>
        </w:rPr>
      </w:pPr>
    </w:p>
    <w:p w14:paraId="371163A1">
      <w:pPr>
        <w:spacing w:line="540" w:lineRule="exact"/>
        <w:ind w:firstLine="600" w:firstLineChars="200"/>
        <w:jc w:val="center"/>
        <w:rPr>
          <w:rFonts w:hAnsi="宋体" w:cs="宋体"/>
          <w:kern w:val="0"/>
          <w:sz w:val="30"/>
          <w:szCs w:val="30"/>
        </w:rPr>
      </w:pPr>
    </w:p>
    <w:p w14:paraId="1E691604">
      <w:pPr>
        <w:spacing w:line="540" w:lineRule="exact"/>
        <w:ind w:firstLine="600" w:firstLineChars="200"/>
        <w:jc w:val="center"/>
        <w:rPr>
          <w:rFonts w:hAnsi="宋体" w:cs="宋体"/>
          <w:kern w:val="0"/>
          <w:sz w:val="30"/>
          <w:szCs w:val="30"/>
        </w:rPr>
      </w:pPr>
    </w:p>
    <w:p w14:paraId="56EF3B8C">
      <w:pPr>
        <w:spacing w:line="540" w:lineRule="exact"/>
        <w:ind w:firstLine="600" w:firstLineChars="200"/>
        <w:rPr>
          <w:rFonts w:hAnsi="宋体" w:cs="宋体"/>
          <w:kern w:val="0"/>
          <w:sz w:val="30"/>
          <w:szCs w:val="30"/>
        </w:rPr>
      </w:pPr>
    </w:p>
    <w:p w14:paraId="04BDB47C">
      <w:pPr>
        <w:spacing w:line="540" w:lineRule="exact"/>
        <w:ind w:firstLine="600" w:firstLineChars="200"/>
        <w:rPr>
          <w:rFonts w:hAnsi="宋体" w:cs="宋体"/>
          <w:kern w:val="0"/>
          <w:sz w:val="30"/>
          <w:szCs w:val="30"/>
        </w:rPr>
      </w:pPr>
    </w:p>
    <w:p w14:paraId="0DB7F1A1">
      <w:pPr>
        <w:spacing w:line="360" w:lineRule="auto"/>
        <w:ind w:left="640" w:leftChars="200" w:firstLine="640" w:firstLineChars="200"/>
        <w:rPr>
          <w:rFonts w:ascii="仿宋" w:hAnsi="仿宋" w:eastAsia="仿宋" w:cs="仿宋"/>
          <w:szCs w:val="32"/>
        </w:rPr>
      </w:pPr>
    </w:p>
    <w:p w14:paraId="6B91980C">
      <w:pPr>
        <w:spacing w:line="360" w:lineRule="auto"/>
        <w:ind w:left="640" w:leftChars="200" w:firstLine="640" w:firstLineChars="200"/>
        <w:rPr>
          <w:rFonts w:ascii="仿宋" w:hAnsi="仿宋" w:eastAsia="仿宋" w:cs="仿宋"/>
          <w:szCs w:val="32"/>
        </w:rPr>
      </w:pPr>
    </w:p>
    <w:p w14:paraId="4C208EA6">
      <w:pPr>
        <w:spacing w:line="560" w:lineRule="exact"/>
        <w:ind w:left="640" w:leftChars="200" w:firstLine="640" w:firstLineChars="200"/>
        <w:rPr>
          <w:rFonts w:ascii="仿宋" w:hAnsi="仿宋" w:eastAsia="仿宋" w:cs="仿宋"/>
          <w:szCs w:val="32"/>
        </w:rPr>
      </w:pPr>
    </w:p>
    <w:p w14:paraId="4DEC8422">
      <w:pPr>
        <w:spacing w:line="560" w:lineRule="exact"/>
        <w:ind w:firstLine="640" w:firstLineChars="200"/>
        <w:rPr>
          <w:rFonts w:hint="eastAsia" w:ascii="仿宋" w:hAnsi="仿宋" w:eastAsia="仿宋" w:cs="仿宋"/>
          <w:bCs/>
          <w:kern w:val="0"/>
          <w:lang w:eastAsia="zh-CN"/>
        </w:rPr>
      </w:pPr>
      <w:r>
        <w:rPr>
          <w:rFonts w:hint="eastAsia" w:ascii="仿宋" w:hAnsi="仿宋" w:eastAsia="仿宋" w:cs="仿宋"/>
          <w:szCs w:val="32"/>
        </w:rPr>
        <w:t>项  目  名  称:</w:t>
      </w:r>
      <w:r>
        <w:rPr>
          <w:rFonts w:hint="eastAsia" w:ascii="仿宋" w:hAnsi="仿宋" w:eastAsia="仿宋" w:cs="仿宋"/>
          <w:bCs/>
          <w:kern w:val="0"/>
          <w:lang w:eastAsia="zh-CN"/>
        </w:rPr>
        <w:t>于田县2024年困难群众饮用低氟边销茶项目</w:t>
      </w:r>
    </w:p>
    <w:p w14:paraId="70162682">
      <w:pPr>
        <w:spacing w:line="560" w:lineRule="exact"/>
        <w:ind w:firstLine="640" w:firstLineChars="200"/>
        <w:rPr>
          <w:rFonts w:ascii="仿宋" w:hAnsi="仿宋" w:eastAsia="仿宋" w:cs="仿宋"/>
          <w:szCs w:val="32"/>
        </w:rPr>
      </w:pPr>
      <w:r>
        <w:rPr>
          <w:rFonts w:hint="eastAsia" w:ascii="仿宋" w:hAnsi="仿宋" w:eastAsia="仿宋" w:cs="仿宋"/>
          <w:szCs w:val="32"/>
        </w:rPr>
        <w:t>实施单位(公章):于田县民族宗教事务局</w:t>
      </w:r>
    </w:p>
    <w:p w14:paraId="14F4A0B3">
      <w:pPr>
        <w:spacing w:line="560" w:lineRule="exact"/>
        <w:ind w:firstLine="640" w:firstLineChars="200"/>
        <w:rPr>
          <w:rFonts w:ascii="仿宋" w:hAnsi="仿宋" w:eastAsia="仿宋" w:cs="仿宋"/>
          <w:szCs w:val="32"/>
        </w:rPr>
      </w:pPr>
      <w:r>
        <w:rPr>
          <w:rFonts w:hint="eastAsia" w:ascii="仿宋" w:hAnsi="仿宋" w:eastAsia="仿宋" w:cs="仿宋"/>
          <w:szCs w:val="32"/>
        </w:rPr>
        <w:t>主管部门(公章):于田县乡村振兴局</w:t>
      </w:r>
    </w:p>
    <w:p w14:paraId="683788EB">
      <w:pPr>
        <w:spacing w:line="560" w:lineRule="exact"/>
        <w:ind w:firstLine="640" w:firstLineChars="200"/>
        <w:rPr>
          <w:rFonts w:hint="eastAsia" w:ascii="仿宋" w:hAnsi="仿宋" w:eastAsia="仿宋" w:cs="仿宋"/>
          <w:szCs w:val="32"/>
          <w:lang w:eastAsia="zh-CN"/>
        </w:rPr>
      </w:pPr>
      <w:r>
        <w:rPr>
          <w:rFonts w:hint="eastAsia" w:ascii="仿宋" w:hAnsi="仿宋" w:eastAsia="仿宋" w:cs="仿宋"/>
          <w:szCs w:val="32"/>
        </w:rPr>
        <w:t>项目负责人(签章):</w:t>
      </w:r>
      <w:r>
        <w:rPr>
          <w:rFonts w:hint="eastAsia" w:ascii="仿宋" w:hAnsi="仿宋" w:eastAsia="仿宋" w:cs="仿宋"/>
          <w:szCs w:val="32"/>
          <w:lang w:eastAsia="zh-CN"/>
        </w:rPr>
        <w:t>刘建</w:t>
      </w:r>
    </w:p>
    <w:p w14:paraId="37A649A1">
      <w:pPr>
        <w:spacing w:line="560" w:lineRule="exact"/>
        <w:ind w:firstLine="640" w:firstLineChars="200"/>
        <w:rPr>
          <w:rFonts w:ascii="仿宋" w:hAnsi="仿宋" w:eastAsia="仿宋" w:cs="仿宋"/>
          <w:szCs w:val="32"/>
        </w:rPr>
      </w:pPr>
      <w:r>
        <w:rPr>
          <w:rFonts w:hint="eastAsia" w:ascii="仿宋" w:hAnsi="仿宋" w:eastAsia="仿宋" w:cs="仿宋"/>
          <w:szCs w:val="32"/>
        </w:rPr>
        <w:t>填  报  时  间:</w:t>
      </w:r>
      <w:r>
        <w:rPr>
          <w:rFonts w:ascii="仿宋" w:hAnsi="仿宋" w:eastAsia="仿宋" w:cs="仿宋"/>
          <w:szCs w:val="32"/>
        </w:rPr>
        <w:t>20</w:t>
      </w:r>
      <w:r>
        <w:rPr>
          <w:rFonts w:hint="eastAsia" w:ascii="仿宋" w:hAnsi="仿宋" w:eastAsia="仿宋" w:cs="仿宋"/>
          <w:szCs w:val="32"/>
        </w:rPr>
        <w:t>2</w:t>
      </w:r>
      <w:r>
        <w:rPr>
          <w:rFonts w:hint="eastAsia" w:ascii="仿宋" w:hAnsi="仿宋" w:eastAsia="仿宋" w:cs="仿宋"/>
          <w:szCs w:val="32"/>
          <w:lang w:val="en-US" w:eastAsia="zh-CN"/>
        </w:rPr>
        <w:t>5</w:t>
      </w:r>
      <w:r>
        <w:rPr>
          <w:rFonts w:ascii="仿宋" w:hAnsi="仿宋" w:eastAsia="仿宋" w:cs="仿宋"/>
          <w:szCs w:val="32"/>
        </w:rPr>
        <w:t>年</w:t>
      </w:r>
      <w:r>
        <w:rPr>
          <w:rFonts w:hint="eastAsia" w:ascii="仿宋" w:hAnsi="仿宋" w:eastAsia="仿宋" w:cs="仿宋"/>
          <w:szCs w:val="32"/>
          <w:lang w:val="en-US" w:eastAsia="zh-CN"/>
        </w:rPr>
        <w:t>2</w:t>
      </w:r>
      <w:r>
        <w:rPr>
          <w:rFonts w:ascii="仿宋" w:hAnsi="仿宋" w:eastAsia="仿宋" w:cs="仿宋"/>
          <w:szCs w:val="32"/>
        </w:rPr>
        <w:t>月</w:t>
      </w:r>
      <w:r>
        <w:rPr>
          <w:rFonts w:hint="eastAsia" w:ascii="仿宋" w:hAnsi="仿宋" w:eastAsia="仿宋" w:cs="仿宋"/>
          <w:szCs w:val="32"/>
          <w:lang w:val="en-US" w:eastAsia="zh-CN"/>
        </w:rPr>
        <w:t>19</w:t>
      </w:r>
      <w:r>
        <w:rPr>
          <w:rFonts w:ascii="仿宋" w:hAnsi="仿宋" w:eastAsia="仿宋" w:cs="仿宋"/>
          <w:szCs w:val="32"/>
        </w:rPr>
        <w:t>日</w:t>
      </w:r>
    </w:p>
    <w:p w14:paraId="568DAD52">
      <w:pPr>
        <w:spacing w:line="560" w:lineRule="exact"/>
        <w:ind w:firstLine="640" w:firstLineChars="200"/>
        <w:rPr>
          <w:rFonts w:ascii="仿宋" w:hAnsi="仿宋" w:eastAsia="仿宋" w:cs="仿宋"/>
          <w:szCs w:val="32"/>
        </w:rPr>
      </w:pPr>
    </w:p>
    <w:p w14:paraId="674021B1">
      <w:pPr>
        <w:spacing w:line="560" w:lineRule="exact"/>
        <w:ind w:firstLine="640" w:firstLineChars="200"/>
        <w:rPr>
          <w:rFonts w:ascii="仿宋" w:hAnsi="仿宋" w:eastAsia="仿宋" w:cs="仿宋"/>
          <w:szCs w:val="32"/>
        </w:rPr>
      </w:pPr>
    </w:p>
    <w:p w14:paraId="2DF829F6">
      <w:pPr>
        <w:spacing w:line="360" w:lineRule="auto"/>
        <w:ind w:firstLine="627" w:firstLineChars="200"/>
        <w:rPr>
          <w:rStyle w:val="10"/>
          <w:rFonts w:hint="eastAsia" w:ascii="黑体" w:hAnsi="黑体" w:eastAsia="黑体" w:cs="Times New Roman"/>
          <w:spacing w:val="-4"/>
          <w:szCs w:val="32"/>
        </w:rPr>
      </w:pPr>
    </w:p>
    <w:p w14:paraId="1C827F85">
      <w:pPr>
        <w:spacing w:line="360" w:lineRule="auto"/>
        <w:ind w:firstLine="627" w:firstLineChars="200"/>
        <w:rPr>
          <w:rStyle w:val="10"/>
          <w:rFonts w:ascii="黑体" w:hAnsi="黑体" w:eastAsia="黑体" w:cs="Times New Roman"/>
          <w:spacing w:val="-4"/>
          <w:szCs w:val="32"/>
        </w:rPr>
      </w:pPr>
      <w:r>
        <w:rPr>
          <w:rStyle w:val="10"/>
          <w:rFonts w:hint="eastAsia" w:ascii="黑体" w:hAnsi="黑体" w:eastAsia="黑体" w:cs="Times New Roman"/>
          <w:spacing w:val="-4"/>
          <w:szCs w:val="32"/>
        </w:rPr>
        <w:t>一、绩效目标分解下达情况</w:t>
      </w:r>
    </w:p>
    <w:p w14:paraId="760D9382">
      <w:pPr>
        <w:keepNext w:val="0"/>
        <w:keepLines w:val="0"/>
        <w:pageBreakBefore w:val="0"/>
        <w:widowControl w:val="0"/>
        <w:kinsoku/>
        <w:wordWrap/>
        <w:overflowPunct/>
        <w:topLinePunct w:val="0"/>
        <w:autoSpaceDE/>
        <w:autoSpaceDN/>
        <w:bidi w:val="0"/>
        <w:adjustRightInd/>
        <w:spacing w:line="540" w:lineRule="exact"/>
        <w:ind w:firstLine="627" w:firstLineChars="200"/>
        <w:textAlignment w:val="auto"/>
        <w:rPr>
          <w:szCs w:val="32"/>
        </w:rPr>
      </w:pPr>
      <w:r>
        <w:rPr>
          <w:rFonts w:hint="eastAsia" w:ascii="楷体_GB2312" w:hAnsi="楷体" w:cs="Times New Roman"/>
          <w:b/>
          <w:spacing w:val="-4"/>
          <w:szCs w:val="32"/>
        </w:rPr>
        <w:t>（一）财政专项乡村振兴衔接资金下达预算及项目情况</w:t>
      </w:r>
    </w:p>
    <w:p w14:paraId="2B174462">
      <w:pPr>
        <w:pStyle w:val="11"/>
        <w:keepNext w:val="0"/>
        <w:keepLines w:val="0"/>
        <w:pageBreakBefore w:val="0"/>
        <w:widowControl w:val="0"/>
        <w:kinsoku/>
        <w:wordWrap/>
        <w:overflowPunct/>
        <w:topLinePunct w:val="0"/>
        <w:autoSpaceDE/>
        <w:autoSpaceDN/>
        <w:bidi w:val="0"/>
        <w:adjustRightInd/>
        <w:spacing w:line="540" w:lineRule="exact"/>
        <w:ind w:left="3" w:right="3" w:firstLine="643"/>
        <w:textAlignment w:val="auto"/>
        <w:rPr>
          <w:rFonts w:ascii="仿宋_GB2312"/>
          <w:b/>
          <w:sz w:val="32"/>
          <w:szCs w:val="32"/>
        </w:rPr>
      </w:pPr>
      <w:r>
        <w:rPr>
          <w:rFonts w:hint="eastAsia" w:ascii="仿宋_GB2312"/>
          <w:b/>
          <w:sz w:val="32"/>
          <w:szCs w:val="32"/>
        </w:rPr>
        <w:t>1.下达预算情况</w:t>
      </w:r>
    </w:p>
    <w:p w14:paraId="06861767">
      <w:pPr>
        <w:pStyle w:val="11"/>
        <w:keepNext w:val="0"/>
        <w:keepLines w:val="0"/>
        <w:pageBreakBefore w:val="0"/>
        <w:widowControl w:val="0"/>
        <w:kinsoku/>
        <w:wordWrap/>
        <w:overflowPunct/>
        <w:topLinePunct w:val="0"/>
        <w:autoSpaceDE/>
        <w:autoSpaceDN/>
        <w:bidi w:val="0"/>
        <w:adjustRightInd/>
        <w:spacing w:line="540" w:lineRule="exact"/>
        <w:ind w:left="3" w:right="3"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本项目根据于田县民族宗教事务局和于田县财政局下发的《关于于田县困难群众饮用低氟边销茶实施方案的批复》（于民宗发〔202</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03</w:t>
      </w:r>
      <w:r>
        <w:rPr>
          <w:rFonts w:hint="eastAsia" w:ascii="仿宋_GB2312" w:hAnsi="仿宋_GB2312" w:cs="仿宋_GB2312"/>
          <w:color w:val="auto"/>
          <w:sz w:val="32"/>
          <w:szCs w:val="32"/>
        </w:rPr>
        <w:t>号）批复立项实施，边缘群众饮用低氟边销茶项目预算安排总额为</w:t>
      </w:r>
      <w:r>
        <w:rPr>
          <w:rFonts w:hint="eastAsia" w:ascii="仿宋_GB2312" w:hAnsi="仿宋_GB2312" w:cs="仿宋_GB2312"/>
          <w:color w:val="auto"/>
          <w:sz w:val="32"/>
          <w:szCs w:val="32"/>
          <w:lang w:val="en-US" w:eastAsia="zh-CN"/>
        </w:rPr>
        <w:t>50</w:t>
      </w:r>
      <w:r>
        <w:rPr>
          <w:rFonts w:hint="eastAsia" w:ascii="仿宋_GB2312" w:hAnsi="仿宋_GB2312" w:cs="仿宋_GB2312"/>
          <w:color w:val="auto"/>
          <w:sz w:val="32"/>
          <w:szCs w:val="32"/>
        </w:rPr>
        <w:t>万元，经费来源“中央财政衔接推进乡村振兴补助资金（少数民族发展资金）”，预算资金到位率为100%。</w:t>
      </w:r>
    </w:p>
    <w:p w14:paraId="0BF04C1B">
      <w:pPr>
        <w:pStyle w:val="11"/>
        <w:keepNext w:val="0"/>
        <w:keepLines w:val="0"/>
        <w:pageBreakBefore w:val="0"/>
        <w:widowControl w:val="0"/>
        <w:kinsoku/>
        <w:wordWrap/>
        <w:overflowPunct/>
        <w:topLinePunct w:val="0"/>
        <w:autoSpaceDE/>
        <w:autoSpaceDN/>
        <w:bidi w:val="0"/>
        <w:adjustRightInd/>
        <w:spacing w:line="540" w:lineRule="exact"/>
        <w:ind w:left="3" w:right="3" w:firstLine="643"/>
        <w:textAlignment w:val="auto"/>
        <w:rPr>
          <w:rFonts w:ascii="仿宋_GB2312"/>
          <w:b/>
          <w:sz w:val="32"/>
          <w:szCs w:val="32"/>
        </w:rPr>
      </w:pPr>
      <w:r>
        <w:rPr>
          <w:rFonts w:hint="eastAsia" w:ascii="仿宋_GB2312"/>
          <w:b/>
          <w:sz w:val="32"/>
          <w:szCs w:val="32"/>
        </w:rPr>
        <w:t>2.项目实施背景</w:t>
      </w:r>
    </w:p>
    <w:p w14:paraId="674235F4">
      <w:pPr>
        <w:pStyle w:val="11"/>
        <w:keepNext w:val="0"/>
        <w:keepLines w:val="0"/>
        <w:pageBreakBefore w:val="0"/>
        <w:widowControl w:val="0"/>
        <w:kinsoku/>
        <w:wordWrap/>
        <w:overflowPunct/>
        <w:topLinePunct w:val="0"/>
        <w:autoSpaceDE/>
        <w:autoSpaceDN/>
        <w:bidi w:val="0"/>
        <w:adjustRightInd/>
        <w:spacing w:line="540" w:lineRule="exact"/>
        <w:ind w:left="3" w:right="3"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大力推广低氟边销茶，倡导“健康饮茶”“送茶入户”工作重要性的认识。遏制饮茶型地氟病的蔓延，是党中央、国务院提出的一项政治任务，是进一步满足各族群众对美好生活的向往要求。要坚定不移的贯彻落实实行习近平总书记以人民为中心的发展思想，时刻把人民身体健康、生命安全放在首位，进一步强化推广低氟边销茶的正向引导，紧紧围绕铸牢中华民族共同体意识工作主线和战略任务，切实把推广低氟边销茶，倡导“健康饮茶”“送茶入户”工作作为重要的民生实事办好办实，落细落准，让党中央放心，让人民群众满意。</w:t>
      </w:r>
    </w:p>
    <w:p w14:paraId="1E7B3D78">
      <w:pPr>
        <w:pStyle w:val="11"/>
        <w:keepNext w:val="0"/>
        <w:keepLines w:val="0"/>
        <w:pageBreakBefore w:val="0"/>
        <w:widowControl w:val="0"/>
        <w:kinsoku/>
        <w:wordWrap/>
        <w:overflowPunct/>
        <w:topLinePunct w:val="0"/>
        <w:autoSpaceDE/>
        <w:autoSpaceDN/>
        <w:bidi w:val="0"/>
        <w:adjustRightInd/>
        <w:spacing w:line="540" w:lineRule="exact"/>
        <w:ind w:left="3" w:right="3"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由于上述原因开展</w:t>
      </w:r>
      <w:r>
        <w:rPr>
          <w:rFonts w:hint="eastAsia" w:ascii="仿宋_GB2312" w:hAnsi="仿宋_GB2312" w:cs="仿宋_GB2312"/>
          <w:color w:val="auto"/>
          <w:sz w:val="32"/>
          <w:szCs w:val="32"/>
          <w:lang w:eastAsia="zh-CN"/>
        </w:rPr>
        <w:t>于田县2024年困难群众饮用低氟边销茶项目</w:t>
      </w:r>
      <w:r>
        <w:rPr>
          <w:rFonts w:hint="eastAsia" w:ascii="仿宋_GB2312" w:hAnsi="仿宋_GB2312" w:cs="仿宋_GB2312"/>
          <w:color w:val="auto"/>
          <w:sz w:val="32"/>
          <w:szCs w:val="32"/>
        </w:rPr>
        <w:t>，本项目由于田县乡村振兴局主管，于田县民宗局负责实施，项目施工期为</w:t>
      </w:r>
      <w:r>
        <w:rPr>
          <w:rFonts w:ascii="仿宋_GB2312" w:hAnsi="仿宋_GB2312" w:cs="仿宋_GB2312"/>
          <w:color w:val="auto"/>
          <w:sz w:val="32"/>
          <w:szCs w:val="32"/>
        </w:rPr>
        <w:t>202</w:t>
      </w:r>
      <w:r>
        <w:rPr>
          <w:rFonts w:hint="eastAsia" w:ascii="仿宋_GB2312" w:hAnsi="仿宋_GB2312" w:cs="仿宋_GB2312"/>
          <w:color w:val="auto"/>
          <w:sz w:val="32"/>
          <w:szCs w:val="32"/>
          <w:lang w:val="en-US" w:eastAsia="zh-CN"/>
        </w:rPr>
        <w:t>4</w:t>
      </w:r>
      <w:r>
        <w:rPr>
          <w:rFonts w:ascii="仿宋_GB2312" w:hAnsi="仿宋_GB2312" w:cs="仿宋_GB2312"/>
          <w:color w:val="auto"/>
          <w:sz w:val="32"/>
          <w:szCs w:val="32"/>
        </w:rPr>
        <w:t>年</w:t>
      </w:r>
      <w:r>
        <w:rPr>
          <w:rFonts w:hint="eastAsia" w:ascii="仿宋_GB2312" w:hAnsi="仿宋_GB2312" w:cs="仿宋_GB2312"/>
          <w:color w:val="auto"/>
          <w:sz w:val="32"/>
          <w:szCs w:val="32"/>
          <w:lang w:val="en-US" w:eastAsia="zh-CN"/>
        </w:rPr>
        <w:t>3</w:t>
      </w:r>
      <w:r>
        <w:rPr>
          <w:rFonts w:ascii="仿宋_GB2312" w:hAnsi="仿宋_GB2312" w:cs="仿宋_GB2312"/>
          <w:color w:val="auto"/>
          <w:sz w:val="32"/>
          <w:szCs w:val="32"/>
        </w:rPr>
        <w:t>月-202</w:t>
      </w:r>
      <w:r>
        <w:rPr>
          <w:rFonts w:hint="eastAsia" w:ascii="仿宋_GB2312" w:hAnsi="仿宋_GB2312" w:cs="仿宋_GB2312"/>
          <w:color w:val="auto"/>
          <w:sz w:val="32"/>
          <w:szCs w:val="32"/>
          <w:lang w:val="en-US" w:eastAsia="zh-CN"/>
        </w:rPr>
        <w:t>3</w:t>
      </w:r>
      <w:r>
        <w:rPr>
          <w:rFonts w:ascii="仿宋_GB2312" w:hAnsi="仿宋_GB2312" w:cs="仿宋_GB2312"/>
          <w:color w:val="auto"/>
          <w:sz w:val="32"/>
          <w:szCs w:val="32"/>
        </w:rPr>
        <w:t>年</w:t>
      </w:r>
      <w:r>
        <w:rPr>
          <w:rFonts w:hint="eastAsia" w:ascii="仿宋_GB2312" w:hAnsi="仿宋_GB2312" w:cs="仿宋_GB2312"/>
          <w:color w:val="auto"/>
          <w:sz w:val="32"/>
          <w:szCs w:val="32"/>
          <w:lang w:val="en-US" w:eastAsia="zh-CN"/>
        </w:rPr>
        <w:t>6</w:t>
      </w:r>
      <w:r>
        <w:rPr>
          <w:rFonts w:ascii="仿宋_GB2312" w:hAnsi="仿宋_GB2312" w:cs="仿宋_GB2312"/>
          <w:color w:val="auto"/>
          <w:sz w:val="32"/>
          <w:szCs w:val="32"/>
        </w:rPr>
        <w:t>月</w:t>
      </w:r>
      <w:r>
        <w:rPr>
          <w:rFonts w:hint="eastAsia" w:ascii="仿宋_GB2312" w:hAnsi="仿宋_GB2312" w:cs="仿宋_GB2312"/>
          <w:color w:val="auto"/>
          <w:sz w:val="32"/>
          <w:szCs w:val="32"/>
        </w:rPr>
        <w:t>。</w:t>
      </w:r>
    </w:p>
    <w:p w14:paraId="5868FCEA">
      <w:pPr>
        <w:pStyle w:val="11"/>
        <w:keepNext w:val="0"/>
        <w:keepLines w:val="0"/>
        <w:pageBreakBefore w:val="0"/>
        <w:widowControl w:val="0"/>
        <w:kinsoku/>
        <w:wordWrap/>
        <w:overflowPunct/>
        <w:topLinePunct w:val="0"/>
        <w:autoSpaceDE/>
        <w:autoSpaceDN/>
        <w:bidi w:val="0"/>
        <w:adjustRightInd/>
        <w:spacing w:line="540" w:lineRule="exact"/>
        <w:ind w:left="3" w:right="3" w:firstLine="640"/>
        <w:textAlignment w:val="auto"/>
        <w:rPr>
          <w:rFonts w:ascii="仿宋_GB2312" w:hAnsi="仿宋_GB2312" w:cs="仿宋_GB2312"/>
          <w:color w:val="auto"/>
          <w:sz w:val="32"/>
          <w:szCs w:val="32"/>
        </w:rPr>
      </w:pPr>
      <w:r>
        <w:rPr>
          <w:rFonts w:ascii="仿宋_GB2312" w:hAnsi="仿宋_GB2312" w:cs="仿宋_GB2312"/>
          <w:color w:val="auto"/>
          <w:sz w:val="32"/>
          <w:szCs w:val="32"/>
        </w:rPr>
        <w:t>通过实施低氟边销茶入户项目，对全县</w:t>
      </w:r>
      <w:r>
        <w:rPr>
          <w:rFonts w:hint="eastAsia" w:ascii="仿宋_GB2312" w:hAnsi="仿宋_GB2312" w:cs="仿宋_GB2312"/>
          <w:color w:val="auto"/>
          <w:sz w:val="32"/>
          <w:szCs w:val="32"/>
        </w:rPr>
        <w:t>建档立卡脱贫不稳定发放低氟茶户数为</w:t>
      </w:r>
      <w:r>
        <w:rPr>
          <w:rFonts w:hint="eastAsia" w:ascii="仿宋_GB2312" w:hAnsi="仿宋_GB2312" w:cs="仿宋_GB2312"/>
          <w:color w:val="auto"/>
          <w:sz w:val="32"/>
          <w:szCs w:val="32"/>
          <w:lang w:val="en-US" w:eastAsia="zh-CN"/>
        </w:rPr>
        <w:t>2689</w:t>
      </w:r>
      <w:r>
        <w:rPr>
          <w:rFonts w:hint="eastAsia" w:ascii="仿宋_GB2312" w:hAnsi="仿宋_GB2312" w:cs="仿宋_GB2312"/>
          <w:color w:val="auto"/>
          <w:sz w:val="32"/>
          <w:szCs w:val="32"/>
        </w:rPr>
        <w:t>户，一般户边缘易致贫发放低氟茶户数为</w:t>
      </w:r>
      <w:r>
        <w:rPr>
          <w:rFonts w:hint="eastAsia" w:ascii="仿宋_GB2312" w:hAnsi="仿宋_GB2312" w:cs="仿宋_GB2312"/>
          <w:color w:val="auto"/>
          <w:sz w:val="32"/>
          <w:szCs w:val="32"/>
          <w:lang w:val="en-US" w:eastAsia="zh-CN"/>
        </w:rPr>
        <w:t>5932</w:t>
      </w:r>
      <w:r>
        <w:rPr>
          <w:rFonts w:hint="eastAsia" w:ascii="仿宋_GB2312" w:hAnsi="仿宋_GB2312" w:cs="仿宋_GB2312"/>
          <w:color w:val="auto"/>
          <w:sz w:val="32"/>
          <w:szCs w:val="32"/>
        </w:rPr>
        <w:t>户，发放低氟茶人数</w:t>
      </w:r>
      <w:r>
        <w:rPr>
          <w:rFonts w:hint="eastAsia" w:ascii="仿宋_GB2312" w:hAnsi="仿宋_GB2312" w:cs="仿宋_GB2312"/>
          <w:color w:val="auto"/>
          <w:sz w:val="32"/>
          <w:szCs w:val="32"/>
          <w:lang w:val="en-US" w:eastAsia="zh-CN"/>
        </w:rPr>
        <w:t>35652</w:t>
      </w:r>
      <w:r>
        <w:rPr>
          <w:rFonts w:hint="eastAsia" w:ascii="仿宋_GB2312" w:hAnsi="仿宋_GB2312" w:cs="仿宋_GB2312"/>
          <w:color w:val="auto"/>
          <w:sz w:val="32"/>
          <w:szCs w:val="32"/>
        </w:rPr>
        <w:t>人，每户发放低氟茶2公斤，</w:t>
      </w:r>
      <w:r>
        <w:rPr>
          <w:rFonts w:ascii="仿宋_GB2312" w:hAnsi="仿宋_GB2312" w:cs="仿宋_GB2312"/>
          <w:color w:val="auto"/>
          <w:sz w:val="32"/>
          <w:szCs w:val="32"/>
        </w:rPr>
        <w:t>每公斤</w:t>
      </w:r>
      <w:r>
        <w:rPr>
          <w:rFonts w:hint="eastAsia" w:ascii="仿宋_GB2312" w:hAnsi="仿宋_GB2312" w:cs="仿宋_GB2312"/>
          <w:color w:val="auto"/>
          <w:sz w:val="32"/>
          <w:szCs w:val="32"/>
          <w:lang w:val="en-US" w:eastAsia="zh-CN"/>
        </w:rPr>
        <w:t>29</w:t>
      </w:r>
      <w:r>
        <w:rPr>
          <w:rFonts w:ascii="仿宋_GB2312" w:hAnsi="仿宋_GB2312" w:cs="仿宋_GB2312"/>
          <w:color w:val="auto"/>
          <w:sz w:val="32"/>
          <w:szCs w:val="32"/>
        </w:rPr>
        <w:t>元，每户补助</w:t>
      </w:r>
      <w:r>
        <w:rPr>
          <w:rFonts w:hint="eastAsia" w:ascii="仿宋_GB2312" w:hAnsi="仿宋_GB2312" w:cs="仿宋_GB2312"/>
          <w:color w:val="auto"/>
          <w:sz w:val="32"/>
          <w:szCs w:val="32"/>
          <w:lang w:val="en-US" w:eastAsia="zh-CN"/>
        </w:rPr>
        <w:t>58</w:t>
      </w:r>
      <w:r>
        <w:rPr>
          <w:rFonts w:ascii="仿宋_GB2312" w:hAnsi="仿宋_GB2312" w:cs="仿宋_GB2312"/>
          <w:color w:val="auto"/>
          <w:sz w:val="32"/>
          <w:szCs w:val="32"/>
        </w:rPr>
        <w:t>元标准发放完毕。引导群众养成健康饮茶习惯，确保困难群众喝的起，喝的到低氟边销茶，提升各民族群众幸福感，确保中央政策实惠落到困难群众头上。</w:t>
      </w:r>
    </w:p>
    <w:p w14:paraId="568E5C7C">
      <w:pPr>
        <w:keepNext w:val="0"/>
        <w:keepLines w:val="0"/>
        <w:pageBreakBefore w:val="0"/>
        <w:widowControl w:val="0"/>
        <w:kinsoku/>
        <w:wordWrap/>
        <w:overflowPunct/>
        <w:topLinePunct w:val="0"/>
        <w:autoSpaceDE/>
        <w:autoSpaceDN/>
        <w:bidi w:val="0"/>
        <w:adjustRightInd/>
        <w:spacing w:line="540" w:lineRule="exact"/>
        <w:ind w:firstLine="643" w:firstLineChars="200"/>
        <w:textAlignment w:val="auto"/>
        <w:rPr>
          <w:rFonts w:ascii="仿宋_GB2312" w:hAnsi="Times New Roman" w:eastAsia="仿宋_GB2312" w:cs="Times New Roman"/>
          <w:b/>
          <w:bCs/>
          <w:color w:val="000000"/>
          <w:szCs w:val="32"/>
        </w:rPr>
      </w:pPr>
      <w:r>
        <w:rPr>
          <w:rFonts w:ascii="仿宋_GB2312" w:hAnsi="Times New Roman" w:eastAsia="仿宋_GB2312" w:cs="Times New Roman"/>
          <w:b/>
          <w:bCs/>
          <w:color w:val="000000"/>
          <w:szCs w:val="32"/>
        </w:rPr>
        <w:t>3</w:t>
      </w:r>
      <w:r>
        <w:rPr>
          <w:rFonts w:hint="eastAsia" w:ascii="仿宋_GB2312" w:hAnsi="Times New Roman" w:eastAsia="仿宋_GB2312" w:cs="Times New Roman"/>
          <w:b/>
          <w:bCs/>
          <w:color w:val="000000"/>
          <w:szCs w:val="32"/>
        </w:rPr>
        <w:t>、项目实施依据及范围</w:t>
      </w:r>
    </w:p>
    <w:p w14:paraId="1B93B628">
      <w:pPr>
        <w:pStyle w:val="11"/>
        <w:keepNext w:val="0"/>
        <w:keepLines w:val="0"/>
        <w:pageBreakBefore w:val="0"/>
        <w:widowControl w:val="0"/>
        <w:kinsoku/>
        <w:wordWrap/>
        <w:overflowPunct/>
        <w:topLinePunct w:val="0"/>
        <w:autoSpaceDE/>
        <w:autoSpaceDN/>
        <w:bidi w:val="0"/>
        <w:adjustRightInd/>
        <w:spacing w:line="540" w:lineRule="exact"/>
        <w:ind w:left="3" w:right="3"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于田县</w:t>
      </w:r>
      <w:r>
        <w:rPr>
          <w:rFonts w:hint="eastAsia" w:ascii="仿宋_GB2312" w:hAnsi="仿宋_GB2312" w:cs="仿宋_GB2312"/>
          <w:color w:val="auto"/>
          <w:sz w:val="32"/>
          <w:szCs w:val="32"/>
          <w:lang w:eastAsia="zh-CN"/>
        </w:rPr>
        <w:t>于田县2024年困难群众饮用低氟边销茶项目</w:t>
      </w:r>
      <w:r>
        <w:rPr>
          <w:rFonts w:hint="eastAsia" w:ascii="仿宋_GB2312" w:hAnsi="仿宋_GB2312" w:cs="仿宋_GB2312"/>
          <w:color w:val="auto"/>
          <w:sz w:val="32"/>
          <w:szCs w:val="32"/>
        </w:rPr>
        <w:t>根据于田县民族宗教事务局和于田县财政局下发的《关于于田县困难群众饮用低氟边销茶实施方案的批复》（于民宗发〔202</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03</w:t>
      </w:r>
      <w:r>
        <w:rPr>
          <w:rFonts w:hint="eastAsia" w:ascii="仿宋_GB2312" w:hAnsi="仿宋_GB2312" w:cs="仿宋_GB2312"/>
          <w:color w:val="auto"/>
          <w:sz w:val="32"/>
          <w:szCs w:val="32"/>
        </w:rPr>
        <w:t>号）批复立项实施，实施范围涉及木尕拉镇、加依乡、科克亚乡、阿热勒乡、阿日希乡、兰干乡、先拜巴扎镇、托格日尕孜乡、斯也克乡、希吾勒乡、喀尔克乡、英巴格乡、奥依托格拉克乡、阿羌乡、达里雅布依乡、老城区街道办事处、兰干博孜亚农场、新城区街道办事处、玫瑰小镇等19乡（镇），街道办事处。</w:t>
      </w:r>
    </w:p>
    <w:p w14:paraId="5BD78D7B">
      <w:pPr>
        <w:pStyle w:val="11"/>
        <w:keepNext w:val="0"/>
        <w:keepLines w:val="0"/>
        <w:pageBreakBefore w:val="0"/>
        <w:widowControl w:val="0"/>
        <w:kinsoku/>
        <w:wordWrap/>
        <w:overflowPunct/>
        <w:topLinePunct w:val="0"/>
        <w:autoSpaceDE/>
        <w:autoSpaceDN/>
        <w:bidi w:val="0"/>
        <w:adjustRightInd/>
        <w:spacing w:line="540" w:lineRule="exact"/>
        <w:ind w:left="3" w:right="3"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建设内容：为全县</w:t>
      </w:r>
      <w:r>
        <w:rPr>
          <w:rFonts w:hint="eastAsia" w:ascii="仿宋_GB2312" w:hAnsi="仿宋_GB2312" w:cs="仿宋_GB2312"/>
          <w:color w:val="auto"/>
          <w:sz w:val="32"/>
          <w:szCs w:val="32"/>
          <w:lang w:val="en-US" w:eastAsia="zh-CN"/>
        </w:rPr>
        <w:t>8621</w:t>
      </w:r>
      <w:r>
        <w:rPr>
          <w:rFonts w:hint="eastAsia" w:ascii="仿宋_GB2312" w:hAnsi="仿宋_GB2312" w:cs="仿宋_GB2312"/>
          <w:color w:val="auto"/>
          <w:sz w:val="32"/>
          <w:szCs w:val="32"/>
        </w:rPr>
        <w:t>户监测对象（脱贫不稳定户和边缘易致贫户），每户发放2公斤低氟边销茶（每公斤</w:t>
      </w:r>
      <w:r>
        <w:rPr>
          <w:rFonts w:hint="eastAsia" w:ascii="仿宋_GB2312" w:hAnsi="仿宋_GB2312" w:cs="仿宋_GB2312"/>
          <w:color w:val="auto"/>
          <w:sz w:val="32"/>
          <w:szCs w:val="32"/>
          <w:lang w:val="en-US" w:eastAsia="zh-CN"/>
        </w:rPr>
        <w:t>29</w:t>
      </w:r>
      <w:r>
        <w:rPr>
          <w:rFonts w:hint="eastAsia" w:ascii="仿宋_GB2312" w:hAnsi="仿宋_GB2312" w:cs="仿宋_GB2312"/>
          <w:color w:val="auto"/>
          <w:sz w:val="32"/>
          <w:szCs w:val="32"/>
        </w:rPr>
        <w:t>元，每户补助</w:t>
      </w:r>
      <w:r>
        <w:rPr>
          <w:rFonts w:hint="eastAsia" w:ascii="仿宋_GB2312" w:hAnsi="仿宋_GB2312" w:cs="仿宋_GB2312"/>
          <w:color w:val="auto"/>
          <w:sz w:val="32"/>
          <w:szCs w:val="32"/>
          <w:lang w:val="en-US" w:eastAsia="zh-CN"/>
        </w:rPr>
        <w:t>58</w:t>
      </w:r>
      <w:r>
        <w:rPr>
          <w:rFonts w:hint="eastAsia" w:ascii="仿宋_GB2312" w:hAnsi="仿宋_GB2312" w:cs="仿宋_GB2312"/>
          <w:color w:val="auto"/>
          <w:sz w:val="32"/>
          <w:szCs w:val="32"/>
        </w:rPr>
        <w:t>元）。</w:t>
      </w:r>
    </w:p>
    <w:p w14:paraId="04735327">
      <w:pPr>
        <w:pStyle w:val="11"/>
        <w:keepNext w:val="0"/>
        <w:keepLines w:val="0"/>
        <w:pageBreakBefore w:val="0"/>
        <w:widowControl w:val="0"/>
        <w:kinsoku/>
        <w:wordWrap/>
        <w:overflowPunct/>
        <w:topLinePunct w:val="0"/>
        <w:autoSpaceDE/>
        <w:autoSpaceDN/>
        <w:bidi w:val="0"/>
        <w:adjustRightInd/>
        <w:spacing w:line="540" w:lineRule="exact"/>
        <w:ind w:left="3" w:right="3"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规模及来源:</w:t>
      </w:r>
      <w:r>
        <w:rPr>
          <w:rFonts w:hint="eastAsia" w:ascii="仿宋_GB2312" w:hAnsi="仿宋_GB2312" w:cs="仿宋_GB2312"/>
          <w:color w:val="auto"/>
          <w:sz w:val="32"/>
          <w:szCs w:val="32"/>
          <w:lang w:val="en-US" w:eastAsia="zh-CN"/>
        </w:rPr>
        <w:t>50</w:t>
      </w:r>
      <w:r>
        <w:rPr>
          <w:rFonts w:hint="eastAsia" w:ascii="仿宋_GB2312" w:hAnsi="仿宋_GB2312" w:cs="仿宋_GB2312"/>
          <w:color w:val="auto"/>
          <w:sz w:val="32"/>
          <w:szCs w:val="32"/>
        </w:rPr>
        <w:t>万元，中央财政衔接推进乡村振兴补助资金（少数民族发展资金）。</w:t>
      </w:r>
    </w:p>
    <w:p w14:paraId="0C50E09A">
      <w:pPr>
        <w:keepNext w:val="0"/>
        <w:keepLines w:val="0"/>
        <w:pageBreakBefore w:val="0"/>
        <w:widowControl w:val="0"/>
        <w:kinsoku/>
        <w:wordWrap/>
        <w:overflowPunct/>
        <w:topLinePunct w:val="0"/>
        <w:autoSpaceDE/>
        <w:autoSpaceDN/>
        <w:bidi w:val="0"/>
        <w:adjustRightInd/>
        <w:spacing w:line="540" w:lineRule="exact"/>
        <w:ind w:firstLine="643" w:firstLineChars="200"/>
        <w:textAlignment w:val="auto"/>
        <w:rPr>
          <w:rFonts w:ascii="仿宋_GB2312" w:hAnsi="Times New Roman" w:eastAsia="仿宋_GB2312" w:cs="Times New Roman"/>
          <w:b/>
          <w:bCs/>
          <w:color w:val="000000"/>
          <w:szCs w:val="32"/>
        </w:rPr>
      </w:pPr>
      <w:r>
        <w:rPr>
          <w:rFonts w:ascii="仿宋_GB2312" w:hAnsi="Times New Roman" w:eastAsia="仿宋_GB2312" w:cs="Times New Roman"/>
          <w:b/>
          <w:bCs/>
          <w:color w:val="000000"/>
          <w:szCs w:val="32"/>
        </w:rPr>
        <w:t>4</w:t>
      </w:r>
      <w:r>
        <w:rPr>
          <w:rFonts w:hint="eastAsia" w:ascii="仿宋_GB2312" w:hAnsi="Times New Roman" w:eastAsia="仿宋_GB2312" w:cs="Times New Roman"/>
          <w:b/>
          <w:bCs/>
          <w:color w:val="000000"/>
          <w:szCs w:val="32"/>
        </w:rPr>
        <w:t>、项目基本性质及类别</w:t>
      </w:r>
    </w:p>
    <w:p w14:paraId="22F9FA04">
      <w:pPr>
        <w:pStyle w:val="11"/>
        <w:keepNext w:val="0"/>
        <w:keepLines w:val="0"/>
        <w:pageBreakBefore w:val="0"/>
        <w:widowControl w:val="0"/>
        <w:kinsoku/>
        <w:wordWrap/>
        <w:overflowPunct/>
        <w:topLinePunct w:val="0"/>
        <w:autoSpaceDE/>
        <w:autoSpaceDN/>
        <w:bidi w:val="0"/>
        <w:adjustRightInd/>
        <w:spacing w:line="540" w:lineRule="exact"/>
        <w:ind w:left="3" w:right="3"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lang w:eastAsia="zh-CN"/>
        </w:rPr>
        <w:t>于田县2024年困难群众饮用低氟边销茶项目</w:t>
      </w:r>
      <w:r>
        <w:rPr>
          <w:rFonts w:hint="eastAsia" w:ascii="仿宋_GB2312" w:hAnsi="仿宋_GB2312" w:cs="仿宋_GB2312"/>
          <w:color w:val="auto"/>
          <w:sz w:val="32"/>
          <w:szCs w:val="32"/>
        </w:rPr>
        <w:t>性质为新建项目，属于乡村振兴衔接资金项目。</w:t>
      </w:r>
    </w:p>
    <w:p w14:paraId="04097D0B">
      <w:pPr>
        <w:keepNext w:val="0"/>
        <w:keepLines w:val="0"/>
        <w:pageBreakBefore w:val="0"/>
        <w:widowControl w:val="0"/>
        <w:kinsoku/>
        <w:wordWrap/>
        <w:overflowPunct/>
        <w:topLinePunct w:val="0"/>
        <w:autoSpaceDE/>
        <w:autoSpaceDN/>
        <w:bidi w:val="0"/>
        <w:adjustRightInd/>
        <w:spacing w:line="540" w:lineRule="exact"/>
        <w:ind w:firstLine="627" w:firstLineChars="200"/>
        <w:textAlignment w:val="auto"/>
        <w:rPr>
          <w:rStyle w:val="10"/>
          <w:rFonts w:ascii="楷体_GB2312" w:hAnsi="楷体" w:cs="Times New Roman"/>
          <w:spacing w:val="-4"/>
          <w:szCs w:val="32"/>
        </w:rPr>
      </w:pPr>
      <w:r>
        <w:rPr>
          <w:rStyle w:val="10"/>
          <w:rFonts w:hint="eastAsia" w:ascii="楷体_GB2312" w:hAnsi="楷体" w:cs="Times New Roman"/>
          <w:spacing w:val="-4"/>
          <w:szCs w:val="32"/>
        </w:rPr>
        <w:t>（二）财政专项乡村振兴衔接资金项目绩效目标设定情况</w:t>
      </w:r>
    </w:p>
    <w:p w14:paraId="69EAC566">
      <w:pPr>
        <w:keepNext w:val="0"/>
        <w:keepLines w:val="0"/>
        <w:pageBreakBefore w:val="0"/>
        <w:widowControl w:val="0"/>
        <w:kinsoku/>
        <w:wordWrap/>
        <w:overflowPunct/>
        <w:topLinePunct w:val="0"/>
        <w:autoSpaceDE/>
        <w:autoSpaceDN/>
        <w:bidi w:val="0"/>
        <w:adjustRightInd/>
        <w:spacing w:line="540" w:lineRule="exact"/>
        <w:ind w:firstLine="643" w:firstLineChars="200"/>
        <w:textAlignment w:val="auto"/>
        <w:rPr>
          <w:rFonts w:ascii="仿宋_GB2312" w:hAnsi="Times New Roman" w:eastAsia="仿宋_GB2312" w:cs="Times New Roman"/>
          <w:b/>
          <w:bCs/>
          <w:szCs w:val="32"/>
        </w:rPr>
      </w:pPr>
      <w:r>
        <w:rPr>
          <w:rFonts w:hint="eastAsia" w:ascii="仿宋_GB2312" w:hAnsi="Times New Roman" w:eastAsia="仿宋_GB2312" w:cs="Times New Roman"/>
          <w:b/>
          <w:bCs/>
          <w:szCs w:val="32"/>
        </w:rPr>
        <w:t>1.项目绩效总体目标</w:t>
      </w:r>
    </w:p>
    <w:p w14:paraId="2FC74877">
      <w:pPr>
        <w:pStyle w:val="11"/>
        <w:keepNext w:val="0"/>
        <w:keepLines w:val="0"/>
        <w:pageBreakBefore w:val="0"/>
        <w:widowControl w:val="0"/>
        <w:kinsoku/>
        <w:wordWrap/>
        <w:overflowPunct/>
        <w:topLinePunct w:val="0"/>
        <w:autoSpaceDE/>
        <w:autoSpaceDN/>
        <w:bidi w:val="0"/>
        <w:adjustRightInd/>
        <w:spacing w:line="540" w:lineRule="exact"/>
        <w:ind w:left="3" w:right="3"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lang w:eastAsia="zh-CN"/>
        </w:rPr>
        <w:t>于田县2024年困难群众饮用低氟边销茶项目</w:t>
      </w:r>
      <w:r>
        <w:rPr>
          <w:rFonts w:hint="eastAsia" w:ascii="仿宋_GB2312" w:hAnsi="仿宋_GB2312" w:cs="仿宋_GB2312"/>
          <w:color w:val="auto"/>
          <w:sz w:val="32"/>
          <w:szCs w:val="32"/>
        </w:rPr>
        <w:t>总投资</w:t>
      </w:r>
      <w:r>
        <w:rPr>
          <w:rFonts w:hint="eastAsia" w:ascii="仿宋_GB2312" w:hAnsi="仿宋_GB2312" w:cs="仿宋_GB2312"/>
          <w:color w:val="auto"/>
          <w:sz w:val="32"/>
          <w:szCs w:val="32"/>
          <w:lang w:val="en-US" w:eastAsia="zh-CN"/>
        </w:rPr>
        <w:t>50</w:t>
      </w:r>
      <w:r>
        <w:rPr>
          <w:rFonts w:hint="eastAsia" w:ascii="仿宋_GB2312" w:hAnsi="仿宋_GB2312" w:cs="仿宋_GB2312"/>
          <w:color w:val="auto"/>
          <w:sz w:val="32"/>
          <w:szCs w:val="32"/>
        </w:rPr>
        <w:t>万元，中央财政衔接推进乡村振兴补助资金（少数民族发展资金）。主要内容为：木尕拉镇、加依乡、科克亚乡、阿热勒乡、阿日希乡、兰干乡、先拜巴扎镇、托格日尕孜乡、斯也克乡、希吾勒乡、喀尔克乡、英巴格乡、奥依托格拉克乡、阿羌乡、达里雅布依乡、老城区街道办事处、兰干博孜亚农场、新城区街道办事处、玫瑰小镇等19乡（镇），街道办事处的</w:t>
      </w:r>
      <w:r>
        <w:rPr>
          <w:rFonts w:hint="eastAsia" w:ascii="仿宋_GB2312" w:hAnsi="仿宋_GB2312" w:cs="仿宋_GB2312"/>
          <w:color w:val="auto"/>
          <w:sz w:val="32"/>
          <w:szCs w:val="32"/>
          <w:lang w:val="en-US" w:eastAsia="zh-CN"/>
        </w:rPr>
        <w:t>8621</w:t>
      </w:r>
      <w:r>
        <w:rPr>
          <w:rFonts w:hint="eastAsia" w:ascii="仿宋_GB2312" w:hAnsi="仿宋_GB2312" w:cs="仿宋_GB2312"/>
          <w:color w:val="auto"/>
          <w:sz w:val="32"/>
          <w:szCs w:val="32"/>
        </w:rPr>
        <w:t>户监测对象（脱贫不稳定户和边缘易致贫户），每户发放2公斤低氟边销茶（每公斤</w:t>
      </w:r>
      <w:r>
        <w:rPr>
          <w:rFonts w:hint="eastAsia" w:ascii="仿宋_GB2312" w:hAnsi="仿宋_GB2312" w:cs="仿宋_GB2312"/>
          <w:color w:val="auto"/>
          <w:sz w:val="32"/>
          <w:szCs w:val="32"/>
          <w:lang w:val="en-US" w:eastAsia="zh-CN"/>
        </w:rPr>
        <w:t>29</w:t>
      </w:r>
      <w:r>
        <w:rPr>
          <w:rFonts w:hint="eastAsia" w:ascii="仿宋_GB2312" w:hAnsi="仿宋_GB2312" w:cs="仿宋_GB2312"/>
          <w:color w:val="auto"/>
          <w:sz w:val="32"/>
          <w:szCs w:val="32"/>
        </w:rPr>
        <w:t>元，每户补助</w:t>
      </w:r>
      <w:r>
        <w:rPr>
          <w:rFonts w:hint="eastAsia" w:ascii="仿宋_GB2312" w:hAnsi="仿宋_GB2312" w:cs="仿宋_GB2312"/>
          <w:color w:val="auto"/>
          <w:sz w:val="32"/>
          <w:szCs w:val="32"/>
          <w:lang w:val="en-US" w:eastAsia="zh-CN"/>
        </w:rPr>
        <w:t>58</w:t>
      </w:r>
      <w:r>
        <w:rPr>
          <w:rFonts w:hint="eastAsia" w:ascii="仿宋_GB2312" w:hAnsi="仿宋_GB2312" w:cs="仿宋_GB2312"/>
          <w:color w:val="auto"/>
          <w:sz w:val="32"/>
          <w:szCs w:val="32"/>
        </w:rPr>
        <w:t>元）。</w:t>
      </w:r>
    </w:p>
    <w:p w14:paraId="332A79FF">
      <w:pPr>
        <w:pStyle w:val="11"/>
        <w:keepNext w:val="0"/>
        <w:keepLines w:val="0"/>
        <w:pageBreakBefore w:val="0"/>
        <w:widowControl w:val="0"/>
        <w:kinsoku/>
        <w:wordWrap/>
        <w:overflowPunct/>
        <w:topLinePunct w:val="0"/>
        <w:autoSpaceDE/>
        <w:autoSpaceDN/>
        <w:bidi w:val="0"/>
        <w:adjustRightInd/>
        <w:spacing w:line="540" w:lineRule="exact"/>
        <w:ind w:left="3" w:right="3"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通过</w:t>
      </w:r>
      <w:r>
        <w:rPr>
          <w:rFonts w:hint="eastAsia" w:ascii="仿宋_GB2312" w:hAnsi="仿宋_GB2312" w:cs="仿宋_GB2312"/>
          <w:color w:val="auto"/>
          <w:sz w:val="32"/>
          <w:szCs w:val="32"/>
          <w:lang w:eastAsia="zh-CN"/>
        </w:rPr>
        <w:t>于田县2024年困难群众饮用低氟边销茶项目</w:t>
      </w:r>
      <w:r>
        <w:rPr>
          <w:rFonts w:hint="eastAsia" w:ascii="仿宋_GB2312" w:hAnsi="仿宋_GB2312" w:cs="仿宋_GB2312"/>
          <w:color w:val="auto"/>
          <w:sz w:val="32"/>
          <w:szCs w:val="32"/>
        </w:rPr>
        <w:t>实施，</w:t>
      </w:r>
      <w:r>
        <w:rPr>
          <w:rFonts w:ascii="仿宋_GB2312" w:hAnsi="仿宋_GB2312" w:cs="仿宋_GB2312"/>
          <w:color w:val="auto"/>
          <w:sz w:val="32"/>
          <w:szCs w:val="32"/>
        </w:rPr>
        <w:t>预计将提升于田县低氟边销茶的销量，</w:t>
      </w:r>
      <w:r>
        <w:rPr>
          <w:rFonts w:hint="eastAsia" w:ascii="仿宋_GB2312" w:hAnsi="仿宋_GB2312" w:cs="仿宋_GB2312"/>
          <w:color w:val="auto"/>
          <w:sz w:val="32"/>
          <w:szCs w:val="32"/>
        </w:rPr>
        <w:t>引导群众提高对饮茶型地氟病的防治意识，有效提升困难群众身心健康。</w:t>
      </w:r>
    </w:p>
    <w:p w14:paraId="27988B72">
      <w:pPr>
        <w:pStyle w:val="11"/>
        <w:keepNext w:val="0"/>
        <w:keepLines w:val="0"/>
        <w:pageBreakBefore w:val="0"/>
        <w:widowControl w:val="0"/>
        <w:kinsoku/>
        <w:wordWrap/>
        <w:overflowPunct/>
        <w:topLinePunct w:val="0"/>
        <w:autoSpaceDE/>
        <w:autoSpaceDN/>
        <w:bidi w:val="0"/>
        <w:adjustRightInd/>
        <w:spacing w:line="540" w:lineRule="exact"/>
        <w:ind w:left="3" w:right="3" w:firstLine="643"/>
        <w:textAlignment w:val="auto"/>
        <w:rPr>
          <w:rFonts w:ascii="仿宋_GB2312"/>
          <w:b/>
          <w:bCs/>
          <w:sz w:val="32"/>
          <w:szCs w:val="32"/>
        </w:rPr>
      </w:pPr>
      <w:r>
        <w:rPr>
          <w:rFonts w:hint="eastAsia" w:ascii="仿宋_GB2312"/>
          <w:b/>
          <w:bCs/>
          <w:sz w:val="32"/>
          <w:szCs w:val="32"/>
        </w:rPr>
        <w:t>2.具体绩效指标</w:t>
      </w:r>
    </w:p>
    <w:p w14:paraId="2601073E">
      <w:pPr>
        <w:pStyle w:val="11"/>
        <w:keepNext w:val="0"/>
        <w:keepLines w:val="0"/>
        <w:pageBreakBefore w:val="0"/>
        <w:widowControl w:val="0"/>
        <w:kinsoku/>
        <w:wordWrap/>
        <w:overflowPunct/>
        <w:topLinePunct w:val="0"/>
        <w:autoSpaceDE/>
        <w:autoSpaceDN/>
        <w:bidi w:val="0"/>
        <w:adjustRightInd/>
        <w:spacing w:line="540" w:lineRule="exact"/>
        <w:ind w:left="3" w:right="3"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根据《自治区财政专项扶贫资金绩效管理操作指南》（新财预〔2019〕170号）的规定，结合项目具体情况，本项目共设置一级指标3个，二级指标7个，三级指标1</w:t>
      </w:r>
      <w:r>
        <w:rPr>
          <w:rFonts w:hint="eastAsia" w:ascii="仿宋_GB2312" w:hAnsi="仿宋_GB2312" w:cs="仿宋_GB2312"/>
          <w:color w:val="auto"/>
          <w:sz w:val="32"/>
          <w:szCs w:val="32"/>
          <w:lang w:val="en-US" w:eastAsia="zh-CN"/>
        </w:rPr>
        <w:t>6</w:t>
      </w:r>
      <w:r>
        <w:rPr>
          <w:rFonts w:hint="eastAsia" w:ascii="仿宋_GB2312" w:hAnsi="仿宋_GB2312" w:cs="仿宋_GB2312"/>
          <w:color w:val="auto"/>
          <w:sz w:val="32"/>
          <w:szCs w:val="32"/>
        </w:rPr>
        <w:t>个。</w:t>
      </w:r>
    </w:p>
    <w:p w14:paraId="79B9799C">
      <w:pPr>
        <w:pStyle w:val="12"/>
        <w:numPr>
          <w:ilvl w:val="0"/>
          <w:numId w:val="1"/>
        </w:numPr>
        <w:spacing w:before="217" w:line="560" w:lineRule="exact"/>
        <w:ind w:left="0" w:leftChars="0" w:right="3" w:firstLine="643" w:firstLineChars="200"/>
        <w:rPr>
          <w:rFonts w:hint="eastAsia"/>
          <w:sz w:val="32"/>
          <w:szCs w:val="32"/>
        </w:rPr>
      </w:pPr>
      <w:r>
        <w:rPr>
          <w:rFonts w:hint="eastAsia"/>
          <w:sz w:val="32"/>
          <w:szCs w:val="32"/>
        </w:rPr>
        <w:t>绩效自评工作开展情况</w:t>
      </w:r>
    </w:p>
    <w:p w14:paraId="6CF61DB5">
      <w:pPr>
        <w:keepNext w:val="0"/>
        <w:keepLines w:val="0"/>
        <w:pageBreakBefore w:val="0"/>
        <w:widowControl w:val="0"/>
        <w:kinsoku/>
        <w:wordWrap/>
        <w:overflowPunct/>
        <w:topLinePunct w:val="0"/>
        <w:autoSpaceDE/>
        <w:autoSpaceDN/>
        <w:bidi w:val="0"/>
        <w:adjustRightInd/>
        <w:spacing w:line="580" w:lineRule="exact"/>
        <w:ind w:firstLine="627" w:firstLineChars="200"/>
        <w:textAlignment w:val="auto"/>
        <w:rPr>
          <w:rStyle w:val="10"/>
          <w:rFonts w:ascii="楷体_GB2312" w:hAnsi="楷体" w:cs="Times New Roman"/>
          <w:spacing w:val="-4"/>
          <w:szCs w:val="32"/>
        </w:rPr>
      </w:pPr>
      <w:r>
        <w:rPr>
          <w:rStyle w:val="10"/>
          <w:rFonts w:hint="eastAsia" w:ascii="楷体_GB2312" w:hAnsi="楷体" w:cs="Times New Roman"/>
          <w:spacing w:val="-4"/>
          <w:szCs w:val="32"/>
        </w:rPr>
        <w:t>（一）绩效自评工作开展范围</w:t>
      </w:r>
    </w:p>
    <w:p w14:paraId="210F2E6F">
      <w:pPr>
        <w:pStyle w:val="11"/>
        <w:keepNext w:val="0"/>
        <w:keepLines w:val="0"/>
        <w:pageBreakBefore w:val="0"/>
        <w:widowControl w:val="0"/>
        <w:kinsoku/>
        <w:wordWrap/>
        <w:overflowPunct/>
        <w:topLinePunct w:val="0"/>
        <w:autoSpaceDE/>
        <w:autoSpaceDN/>
        <w:bidi w:val="0"/>
        <w:adjustRightInd/>
        <w:spacing w:line="580" w:lineRule="exact"/>
        <w:ind w:left="3" w:right="3"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本次自评范围涵盖项目总体绩效目标、各项绩效指标完成情况以及预算执行情况。</w:t>
      </w:r>
    </w:p>
    <w:p w14:paraId="79B44AF3">
      <w:pPr>
        <w:keepNext w:val="0"/>
        <w:keepLines w:val="0"/>
        <w:pageBreakBefore w:val="0"/>
        <w:widowControl w:val="0"/>
        <w:kinsoku/>
        <w:wordWrap/>
        <w:overflowPunct/>
        <w:topLinePunct w:val="0"/>
        <w:autoSpaceDE/>
        <w:autoSpaceDN/>
        <w:bidi w:val="0"/>
        <w:adjustRightInd/>
        <w:spacing w:line="580" w:lineRule="exact"/>
        <w:ind w:firstLine="627" w:firstLineChars="200"/>
        <w:textAlignment w:val="auto"/>
        <w:rPr>
          <w:rStyle w:val="10"/>
          <w:rFonts w:ascii="楷体_GB2312" w:hAnsi="楷体" w:cs="Times New Roman"/>
          <w:spacing w:val="-4"/>
          <w:szCs w:val="32"/>
        </w:rPr>
      </w:pPr>
      <w:r>
        <w:rPr>
          <w:rStyle w:val="10"/>
          <w:rFonts w:hint="eastAsia" w:ascii="楷体_GB2312" w:hAnsi="楷体" w:cs="Times New Roman"/>
          <w:spacing w:val="-4"/>
          <w:szCs w:val="32"/>
        </w:rPr>
        <w:t>（二）绩效自评工作对象</w:t>
      </w:r>
    </w:p>
    <w:p w14:paraId="32582069">
      <w:pPr>
        <w:pStyle w:val="11"/>
        <w:keepNext w:val="0"/>
        <w:keepLines w:val="0"/>
        <w:pageBreakBefore w:val="0"/>
        <w:widowControl w:val="0"/>
        <w:kinsoku/>
        <w:wordWrap/>
        <w:overflowPunct/>
        <w:topLinePunct w:val="0"/>
        <w:autoSpaceDE/>
        <w:autoSpaceDN/>
        <w:bidi w:val="0"/>
        <w:adjustRightInd/>
        <w:spacing w:line="580" w:lineRule="exact"/>
        <w:ind w:left="3" w:right="3"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_GB2312" w:hAnsi="仿宋_GB2312" w:cs="仿宋_GB2312"/>
          <w:color w:val="auto"/>
          <w:sz w:val="32"/>
          <w:szCs w:val="32"/>
          <w:lang w:eastAsia="zh-CN"/>
        </w:rPr>
        <w:t>于田县2024年困难群众饮用低氟边销茶项目</w:t>
      </w:r>
      <w:r>
        <w:rPr>
          <w:rFonts w:hint="eastAsia" w:ascii="仿宋_GB2312" w:hAnsi="仿宋_GB2312" w:cs="仿宋_GB2312"/>
          <w:color w:val="auto"/>
          <w:sz w:val="32"/>
          <w:szCs w:val="32"/>
        </w:rPr>
        <w:t>资金的使用管理、项目产出、综合效益等进行评价。</w:t>
      </w:r>
    </w:p>
    <w:p w14:paraId="566AE3C1">
      <w:pPr>
        <w:spacing w:line="560" w:lineRule="exact"/>
        <w:ind w:firstLine="627" w:firstLineChars="200"/>
        <w:rPr>
          <w:rStyle w:val="10"/>
          <w:rFonts w:ascii="楷体_GB2312" w:hAnsi="楷体" w:cs="Times New Roman"/>
          <w:spacing w:val="-4"/>
          <w:szCs w:val="32"/>
        </w:rPr>
      </w:pPr>
      <w:r>
        <w:rPr>
          <w:rStyle w:val="10"/>
          <w:rFonts w:hint="eastAsia" w:ascii="楷体_GB2312" w:hAnsi="楷体" w:cs="Times New Roman"/>
          <w:spacing w:val="-4"/>
          <w:szCs w:val="32"/>
        </w:rPr>
        <w:t>（三）绩效自评工作方式</w:t>
      </w:r>
    </w:p>
    <w:p w14:paraId="37B56570">
      <w:pPr>
        <w:pStyle w:val="13"/>
        <w:spacing w:before="217"/>
        <w:ind w:firstLine="643"/>
        <w:rPr>
          <w:sz w:val="32"/>
        </w:rPr>
      </w:pPr>
      <w:r>
        <w:rPr>
          <w:rFonts w:hint="eastAsia"/>
          <w:sz w:val="32"/>
        </w:rPr>
        <w:t>1.前期准备</w:t>
      </w:r>
    </w:p>
    <w:p w14:paraId="387654B1">
      <w:pPr>
        <w:pStyle w:val="11"/>
        <w:spacing w:line="560" w:lineRule="exact"/>
        <w:ind w:left="3" w:right="3" w:firstLine="640"/>
        <w:rPr>
          <w:rFonts w:ascii="仿宋_GB2312" w:hAnsi="仿宋_GB2312" w:cs="仿宋_GB2312"/>
          <w:color w:val="auto"/>
          <w:sz w:val="32"/>
          <w:szCs w:val="32"/>
        </w:rPr>
      </w:pPr>
      <w:r>
        <w:rPr>
          <w:rFonts w:hint="eastAsia" w:ascii="仿宋_GB2312" w:hAnsi="仿宋_GB2312" w:cs="仿宋_GB2312"/>
          <w:color w:val="auto"/>
          <w:sz w:val="32"/>
          <w:szCs w:val="32"/>
        </w:rPr>
        <w:t>202</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年，认真学习相关要求与规定，成立绩效自评工作组，作为绩效自评工作具体实施机构。成员构成如下：</w:t>
      </w:r>
    </w:p>
    <w:p w14:paraId="4CEC4D35">
      <w:pPr>
        <w:pStyle w:val="11"/>
        <w:spacing w:line="560" w:lineRule="exact"/>
        <w:ind w:left="3" w:right="3" w:firstLine="640"/>
        <w:jc w:val="left"/>
        <w:rPr>
          <w:sz w:val="32"/>
          <w:szCs w:val="32"/>
        </w:rPr>
      </w:pPr>
      <w:r>
        <w:rPr>
          <w:rFonts w:hint="eastAsia"/>
          <w:bCs/>
          <w:sz w:val="32"/>
          <w:szCs w:val="32"/>
        </w:rPr>
        <w:t>组  长：</w:t>
      </w:r>
      <w:r>
        <w:rPr>
          <w:rFonts w:hint="eastAsia"/>
          <w:sz w:val="32"/>
          <w:szCs w:val="32"/>
        </w:rPr>
        <w:t xml:space="preserve">丁二平  </w:t>
      </w:r>
      <w:r>
        <w:rPr>
          <w:sz w:val="32"/>
          <w:szCs w:val="32"/>
        </w:rPr>
        <w:t xml:space="preserve">           </w:t>
      </w:r>
      <w:r>
        <w:rPr>
          <w:rFonts w:hint="eastAsia"/>
          <w:sz w:val="32"/>
          <w:szCs w:val="32"/>
        </w:rPr>
        <w:t xml:space="preserve">         统战部副部长</w:t>
      </w:r>
    </w:p>
    <w:p w14:paraId="7A8E90AD">
      <w:pPr>
        <w:pStyle w:val="11"/>
        <w:spacing w:line="560" w:lineRule="exact"/>
        <w:ind w:left="3" w:right="3" w:firstLine="640"/>
        <w:jc w:val="left"/>
        <w:rPr>
          <w:sz w:val="32"/>
          <w:szCs w:val="32"/>
        </w:rPr>
      </w:pPr>
      <w:r>
        <w:rPr>
          <w:rFonts w:hint="eastAsia"/>
          <w:bCs/>
          <w:sz w:val="32"/>
          <w:szCs w:val="32"/>
        </w:rPr>
        <w:t>副组长：</w:t>
      </w:r>
      <w:r>
        <w:rPr>
          <w:rFonts w:hint="eastAsia"/>
          <w:sz w:val="32"/>
          <w:szCs w:val="32"/>
          <w:lang w:eastAsia="zh-CN"/>
        </w:rPr>
        <w:t>刘建</w:t>
      </w:r>
      <w:r>
        <w:rPr>
          <w:rFonts w:hint="eastAsia"/>
          <w:sz w:val="32"/>
          <w:szCs w:val="32"/>
          <w:lang w:val="en-US" w:eastAsia="zh-CN"/>
        </w:rPr>
        <w:t xml:space="preserve">            </w:t>
      </w:r>
      <w:r>
        <w:rPr>
          <w:rFonts w:hint="eastAsia"/>
          <w:sz w:val="32"/>
          <w:szCs w:val="32"/>
        </w:rPr>
        <w:t xml:space="preserve">            统战部副部长</w:t>
      </w:r>
    </w:p>
    <w:p w14:paraId="02E705E3">
      <w:pPr>
        <w:pStyle w:val="11"/>
        <w:spacing w:line="560" w:lineRule="exact"/>
        <w:ind w:left="3" w:right="3" w:firstLine="640"/>
        <w:jc w:val="left"/>
        <w:rPr>
          <w:rFonts w:hint="eastAsia" w:eastAsia="仿宋_GB2312"/>
          <w:b/>
          <w:bCs/>
          <w:sz w:val="32"/>
          <w:szCs w:val="32"/>
          <w:lang w:eastAsia="zh-CN"/>
        </w:rPr>
      </w:pPr>
      <w:r>
        <w:rPr>
          <w:rFonts w:hint="eastAsia"/>
          <w:bCs/>
          <w:sz w:val="32"/>
          <w:szCs w:val="32"/>
        </w:rPr>
        <w:t>成  员：</w:t>
      </w:r>
      <w:r>
        <w:rPr>
          <w:rFonts w:hint="eastAsia"/>
          <w:bCs/>
          <w:sz w:val="32"/>
          <w:szCs w:val="32"/>
          <w:lang w:eastAsia="zh-CN"/>
        </w:rPr>
        <w:t>牙森江</w:t>
      </w:r>
      <w:r>
        <w:rPr>
          <w:rFonts w:hint="eastAsia"/>
          <w:bCs/>
          <w:sz w:val="32"/>
          <w:szCs w:val="32"/>
          <w:lang w:val="en-US" w:eastAsia="zh-CN"/>
        </w:rPr>
        <w:t>·</w:t>
      </w:r>
      <w:r>
        <w:rPr>
          <w:rFonts w:hint="eastAsia"/>
          <w:bCs/>
          <w:sz w:val="32"/>
          <w:szCs w:val="32"/>
          <w:lang w:eastAsia="zh-CN"/>
        </w:rPr>
        <w:t>尼加提</w:t>
      </w:r>
      <w:r>
        <w:rPr>
          <w:rFonts w:hint="eastAsia"/>
          <w:sz w:val="32"/>
          <w:szCs w:val="32"/>
        </w:rPr>
        <w:t xml:space="preserve">                </w:t>
      </w:r>
      <w:r>
        <w:rPr>
          <w:rFonts w:hint="eastAsia"/>
          <w:sz w:val="32"/>
          <w:szCs w:val="32"/>
          <w:lang w:eastAsia="zh-CN"/>
        </w:rPr>
        <w:t>统战部干部</w:t>
      </w:r>
    </w:p>
    <w:p w14:paraId="27C50ACE">
      <w:pPr>
        <w:pStyle w:val="11"/>
        <w:spacing w:line="560" w:lineRule="exact"/>
        <w:ind w:left="3" w:right="3" w:firstLine="1600" w:firstLineChars="500"/>
        <w:jc w:val="distribute"/>
        <w:rPr>
          <w:sz w:val="32"/>
          <w:szCs w:val="32"/>
        </w:rPr>
      </w:pPr>
      <w:r>
        <w:rPr>
          <w:rFonts w:hint="eastAsia"/>
          <w:sz w:val="32"/>
          <w:szCs w:val="32"/>
        </w:rPr>
        <w:t xml:space="preserve">  于淑霞 </w:t>
      </w:r>
      <w:r>
        <w:rPr>
          <w:sz w:val="32"/>
          <w:szCs w:val="32"/>
        </w:rPr>
        <w:t xml:space="preserve">         </w:t>
      </w:r>
      <w:r>
        <w:rPr>
          <w:rFonts w:hint="eastAsia"/>
          <w:sz w:val="32"/>
          <w:szCs w:val="32"/>
        </w:rPr>
        <w:t xml:space="preserve">           统战部干部</w:t>
      </w:r>
    </w:p>
    <w:p w14:paraId="4F7F4CE4">
      <w:pPr>
        <w:pStyle w:val="11"/>
        <w:spacing w:line="560" w:lineRule="exact"/>
        <w:ind w:left="3" w:right="3" w:firstLine="1600" w:firstLineChars="500"/>
        <w:jc w:val="distribute"/>
        <w:rPr>
          <w:sz w:val="32"/>
          <w:szCs w:val="32"/>
        </w:rPr>
      </w:pPr>
      <w:r>
        <w:rPr>
          <w:rFonts w:hint="eastAsia"/>
          <w:sz w:val="32"/>
          <w:szCs w:val="32"/>
        </w:rPr>
        <w:t xml:space="preserve">  </w:t>
      </w:r>
      <w:r>
        <w:rPr>
          <w:rFonts w:hint="eastAsia"/>
          <w:sz w:val="32"/>
          <w:szCs w:val="32"/>
          <w:lang w:eastAsia="zh-CN"/>
        </w:rPr>
        <w:t>古丽艾萨尔</w:t>
      </w:r>
      <w:r>
        <w:rPr>
          <w:rFonts w:hint="eastAsia"/>
          <w:sz w:val="32"/>
          <w:szCs w:val="32"/>
          <w:lang w:val="en-US" w:eastAsia="zh-CN"/>
        </w:rPr>
        <w:t>·买买提明</w:t>
      </w:r>
      <w:r>
        <w:rPr>
          <w:rFonts w:hint="eastAsia"/>
          <w:sz w:val="32"/>
          <w:szCs w:val="32"/>
        </w:rPr>
        <w:t xml:space="preserve">         统战部干部</w:t>
      </w:r>
      <w:r>
        <w:rPr>
          <w:sz w:val="32"/>
          <w:szCs w:val="32"/>
        </w:rPr>
        <w:t xml:space="preserve">  </w:t>
      </w:r>
    </w:p>
    <w:p w14:paraId="75443472">
      <w:pPr>
        <w:pStyle w:val="11"/>
        <w:spacing w:line="560" w:lineRule="exact"/>
        <w:ind w:left="3" w:right="3" w:firstLine="1920" w:firstLineChars="600"/>
        <w:jc w:val="left"/>
        <w:rPr>
          <w:sz w:val="32"/>
          <w:szCs w:val="32"/>
        </w:rPr>
      </w:pPr>
      <w:r>
        <w:rPr>
          <w:rFonts w:hint="eastAsia"/>
          <w:sz w:val="32"/>
          <w:szCs w:val="32"/>
        </w:rPr>
        <w:t>各乡镇项目对接工作人员</w:t>
      </w:r>
    </w:p>
    <w:p w14:paraId="64684DAC">
      <w:pPr>
        <w:pStyle w:val="11"/>
        <w:spacing w:line="560" w:lineRule="exact"/>
        <w:ind w:left="3" w:right="3" w:firstLine="640"/>
        <w:jc w:val="left"/>
        <w:rPr>
          <w:rFonts w:ascii="仿宋_GB2312" w:hAnsi="仿宋_GB2312" w:cs="仿宋_GB2312"/>
          <w:color w:val="auto"/>
          <w:sz w:val="32"/>
          <w:szCs w:val="32"/>
        </w:rPr>
      </w:pPr>
      <w:r>
        <w:rPr>
          <w:rFonts w:hint="eastAsia" w:ascii="仿宋_GB2312" w:hAnsi="仿宋_GB2312" w:cs="仿宋_GB2312"/>
          <w:color w:val="auto"/>
          <w:sz w:val="32"/>
          <w:szCs w:val="32"/>
        </w:rPr>
        <w:t>办公室负责项目的计划制定、实施，督查、指导相关单位共同做好项目管理工作。切实把该项目作为惠及民生的重要举措来抓，加强领导，明确分工，落实责任，密切配合，形成合力，推动该项目顺利实施。由于田县民族宗教事务局牵头，负责整个项目的统筹安排和经费使用管理工作，实现分级管理制度。</w:t>
      </w:r>
    </w:p>
    <w:p w14:paraId="767DCFE2">
      <w:pPr>
        <w:pStyle w:val="13"/>
        <w:spacing w:before="0" w:beforeLines="0"/>
        <w:ind w:firstLine="643"/>
        <w:rPr>
          <w:sz w:val="32"/>
        </w:rPr>
      </w:pPr>
      <w:r>
        <w:rPr>
          <w:rFonts w:hint="eastAsia"/>
          <w:sz w:val="32"/>
        </w:rPr>
        <w:t>2.组织实施</w:t>
      </w:r>
    </w:p>
    <w:p w14:paraId="6EF0F0E3">
      <w:pPr>
        <w:pStyle w:val="11"/>
        <w:keepNext w:val="0"/>
        <w:keepLines w:val="0"/>
        <w:pageBreakBefore w:val="0"/>
        <w:widowControl w:val="0"/>
        <w:kinsoku/>
        <w:wordWrap/>
        <w:overflowPunct/>
        <w:topLinePunct w:val="0"/>
        <w:autoSpaceDE/>
        <w:autoSpaceDN/>
        <w:bidi w:val="0"/>
        <w:adjustRightInd/>
        <w:snapToGrid w:val="0"/>
        <w:spacing w:line="540" w:lineRule="exact"/>
        <w:ind w:left="3" w:right="3"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成立绩效自评工作组后，经评价组通过实地调研等方式，采用综合分析法对项目的决策、管理、绩效进行的综合评价分析。</w:t>
      </w:r>
    </w:p>
    <w:p w14:paraId="5820CE8A">
      <w:pPr>
        <w:pStyle w:val="13"/>
        <w:keepNext w:val="0"/>
        <w:keepLines w:val="0"/>
        <w:pageBreakBefore w:val="0"/>
        <w:widowControl w:val="0"/>
        <w:kinsoku/>
        <w:wordWrap/>
        <w:overflowPunct/>
        <w:topLinePunct w:val="0"/>
        <w:autoSpaceDE/>
        <w:autoSpaceDN/>
        <w:bidi w:val="0"/>
        <w:adjustRightInd/>
        <w:snapToGrid w:val="0"/>
        <w:spacing w:before="0" w:beforeLines="0" w:line="540" w:lineRule="exact"/>
        <w:ind w:firstLine="643"/>
        <w:textAlignment w:val="auto"/>
        <w:rPr>
          <w:sz w:val="32"/>
        </w:rPr>
      </w:pPr>
      <w:r>
        <w:rPr>
          <w:rFonts w:hint="eastAsia"/>
          <w:sz w:val="32"/>
        </w:rPr>
        <w:t>3.分析评价</w:t>
      </w:r>
    </w:p>
    <w:p w14:paraId="25C50001">
      <w:pPr>
        <w:pStyle w:val="11"/>
        <w:keepNext w:val="0"/>
        <w:keepLines w:val="0"/>
        <w:pageBreakBefore w:val="0"/>
        <w:widowControl w:val="0"/>
        <w:kinsoku/>
        <w:wordWrap/>
        <w:overflowPunct/>
        <w:topLinePunct w:val="0"/>
        <w:autoSpaceDE/>
        <w:autoSpaceDN/>
        <w:bidi w:val="0"/>
        <w:adjustRightInd/>
        <w:snapToGrid w:val="0"/>
        <w:spacing w:line="540" w:lineRule="exact"/>
        <w:ind w:left="3" w:right="3"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首先按照指标体系进行定量、定性分析。其次开展量化打分、综合评价工作，形成初步评价结论。最后归纳整体项目情况与存在问题，撰写绩效自评报告。</w:t>
      </w:r>
    </w:p>
    <w:p w14:paraId="1B1B14E0">
      <w:pPr>
        <w:pStyle w:val="11"/>
        <w:keepNext w:val="0"/>
        <w:keepLines w:val="0"/>
        <w:pageBreakBefore w:val="0"/>
        <w:widowControl w:val="0"/>
        <w:kinsoku/>
        <w:wordWrap/>
        <w:overflowPunct/>
        <w:topLinePunct w:val="0"/>
        <w:autoSpaceDE/>
        <w:autoSpaceDN/>
        <w:bidi w:val="0"/>
        <w:adjustRightInd/>
        <w:snapToGrid w:val="0"/>
        <w:spacing w:line="540" w:lineRule="exact"/>
        <w:ind w:left="3" w:right="3" w:firstLine="640"/>
        <w:textAlignment w:val="auto"/>
        <w:rPr>
          <w:sz w:val="32"/>
          <w:szCs w:val="32"/>
        </w:rPr>
      </w:pPr>
      <w:r>
        <w:rPr>
          <w:sz w:val="32"/>
          <w:szCs w:val="32"/>
        </w:rPr>
        <w:t>（1）绩效自评指标体系</w:t>
      </w:r>
    </w:p>
    <w:p w14:paraId="0EB42192">
      <w:pPr>
        <w:pStyle w:val="11"/>
        <w:keepNext w:val="0"/>
        <w:keepLines w:val="0"/>
        <w:pageBreakBefore w:val="0"/>
        <w:widowControl w:val="0"/>
        <w:kinsoku/>
        <w:wordWrap/>
        <w:overflowPunct/>
        <w:topLinePunct w:val="0"/>
        <w:autoSpaceDE/>
        <w:autoSpaceDN/>
        <w:bidi w:val="0"/>
        <w:adjustRightInd/>
        <w:snapToGrid w:val="0"/>
        <w:spacing w:line="540" w:lineRule="exact"/>
        <w:ind w:left="3" w:right="3" w:firstLine="640"/>
        <w:textAlignment w:val="auto"/>
        <w:rPr>
          <w:sz w:val="32"/>
          <w:szCs w:val="32"/>
        </w:rPr>
      </w:pPr>
      <w:r>
        <w:rPr>
          <w:rFonts w:hint="eastAsia" w:ascii="仿宋_GB2312" w:hAnsi="仿宋_GB2312" w:cs="仿宋_GB2312"/>
          <w:color w:val="auto"/>
          <w:sz w:val="32"/>
          <w:szCs w:val="32"/>
        </w:rPr>
        <w:t>按照《自治区财政专项扶贫资金绩效管理操作指南》（新财预〔2019〕170号）文件要求，并根据项目各项指标重要程度确定二级指标的分值，并对核心指标赋予更高的权重。其中：数量指标</w:t>
      </w:r>
      <w:r>
        <w:rPr>
          <w:rFonts w:hint="eastAsia" w:ascii="仿宋_GB2312" w:hAnsi="仿宋_GB2312" w:cs="仿宋_GB2312"/>
          <w:color w:val="auto"/>
          <w:sz w:val="32"/>
          <w:szCs w:val="32"/>
          <w:lang w:val="en-US" w:eastAsia="zh-CN"/>
        </w:rPr>
        <w:t>20</w:t>
      </w:r>
      <w:r>
        <w:rPr>
          <w:rFonts w:hint="eastAsia" w:ascii="仿宋_GB2312" w:hAnsi="仿宋_GB2312" w:cs="仿宋_GB2312"/>
          <w:color w:val="auto"/>
          <w:sz w:val="32"/>
          <w:szCs w:val="32"/>
        </w:rPr>
        <w:t>分、质量指标</w:t>
      </w:r>
      <w:r>
        <w:rPr>
          <w:rFonts w:hint="eastAsia" w:ascii="仿宋_GB2312" w:hAnsi="仿宋_GB2312" w:cs="仿宋_GB2312"/>
          <w:color w:val="auto"/>
          <w:sz w:val="32"/>
          <w:szCs w:val="32"/>
          <w:lang w:val="en-US" w:eastAsia="zh-CN"/>
        </w:rPr>
        <w:t>13</w:t>
      </w:r>
      <w:r>
        <w:rPr>
          <w:rFonts w:hint="eastAsia" w:ascii="仿宋_GB2312" w:hAnsi="仿宋_GB2312" w:cs="仿宋_GB2312"/>
          <w:color w:val="auto"/>
          <w:sz w:val="32"/>
          <w:szCs w:val="32"/>
        </w:rPr>
        <w:t>分，时效指标</w:t>
      </w:r>
      <w:r>
        <w:rPr>
          <w:rFonts w:hint="eastAsia" w:ascii="仿宋_GB2312" w:hAnsi="仿宋_GB2312" w:cs="仿宋_GB2312"/>
          <w:color w:val="auto"/>
          <w:sz w:val="32"/>
          <w:szCs w:val="32"/>
          <w:lang w:val="en-US" w:eastAsia="zh-CN"/>
        </w:rPr>
        <w:t>12</w:t>
      </w:r>
      <w:r>
        <w:rPr>
          <w:rFonts w:hint="eastAsia" w:ascii="仿宋_GB2312" w:hAnsi="仿宋_GB2312" w:cs="仿宋_GB2312"/>
          <w:color w:val="auto"/>
          <w:sz w:val="32"/>
          <w:szCs w:val="32"/>
        </w:rPr>
        <w:t>分、成本指标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分、社会效益指标20分、可持续影响指标10分、服务对象满意度指标10分、预算资金执行率10分，满分100分。</w:t>
      </w:r>
    </w:p>
    <w:p w14:paraId="4E7E68A2">
      <w:pPr>
        <w:pStyle w:val="11"/>
        <w:keepNext w:val="0"/>
        <w:keepLines w:val="0"/>
        <w:pageBreakBefore w:val="0"/>
        <w:widowControl w:val="0"/>
        <w:kinsoku/>
        <w:wordWrap/>
        <w:overflowPunct/>
        <w:topLinePunct w:val="0"/>
        <w:autoSpaceDE/>
        <w:autoSpaceDN/>
        <w:bidi w:val="0"/>
        <w:adjustRightInd/>
        <w:snapToGrid w:val="0"/>
        <w:spacing w:line="540" w:lineRule="exact"/>
        <w:ind w:left="3" w:right="3" w:firstLine="640"/>
        <w:textAlignment w:val="auto"/>
        <w:rPr>
          <w:sz w:val="32"/>
          <w:szCs w:val="32"/>
        </w:rPr>
      </w:pPr>
      <w:r>
        <w:rPr>
          <w:sz w:val="32"/>
          <w:szCs w:val="32"/>
        </w:rPr>
        <w:t>（2）绩效自评方法</w:t>
      </w:r>
    </w:p>
    <w:p w14:paraId="2742FD46">
      <w:pPr>
        <w:pStyle w:val="11"/>
        <w:keepNext w:val="0"/>
        <w:keepLines w:val="0"/>
        <w:pageBreakBefore w:val="0"/>
        <w:widowControl w:val="0"/>
        <w:kinsoku/>
        <w:wordWrap/>
        <w:overflowPunct/>
        <w:topLinePunct w:val="0"/>
        <w:autoSpaceDE/>
        <w:autoSpaceDN/>
        <w:bidi w:val="0"/>
        <w:adjustRightInd/>
        <w:snapToGrid w:val="0"/>
        <w:spacing w:line="540" w:lineRule="exact"/>
        <w:ind w:left="3" w:right="3" w:firstLine="640"/>
        <w:textAlignment w:val="auto"/>
        <w:rPr>
          <w:sz w:val="32"/>
          <w:szCs w:val="32"/>
        </w:rPr>
      </w:pPr>
      <w:r>
        <w:rPr>
          <w:sz w:val="32"/>
          <w:szCs w:val="32"/>
        </w:rPr>
        <w:t>本次绩效自评采用比较法和综合分析法对项目资金的使用管理、项目产出、综合效益等进行评价。</w:t>
      </w:r>
    </w:p>
    <w:p w14:paraId="5CAF3752">
      <w:pPr>
        <w:pStyle w:val="11"/>
        <w:keepNext w:val="0"/>
        <w:keepLines w:val="0"/>
        <w:pageBreakBefore w:val="0"/>
        <w:widowControl w:val="0"/>
        <w:kinsoku/>
        <w:wordWrap/>
        <w:overflowPunct/>
        <w:topLinePunct w:val="0"/>
        <w:autoSpaceDE/>
        <w:autoSpaceDN/>
        <w:bidi w:val="0"/>
        <w:adjustRightInd/>
        <w:snapToGrid w:val="0"/>
        <w:spacing w:line="540" w:lineRule="exact"/>
        <w:ind w:left="3" w:right="3" w:firstLine="640"/>
        <w:textAlignment w:val="auto"/>
        <w:rPr>
          <w:sz w:val="32"/>
          <w:szCs w:val="32"/>
        </w:rPr>
      </w:pPr>
      <w:r>
        <w:rPr>
          <w:sz w:val="32"/>
          <w:szCs w:val="32"/>
        </w:rPr>
        <w:t>（3）绩效自评标准</w:t>
      </w:r>
    </w:p>
    <w:p w14:paraId="5C50071E">
      <w:pPr>
        <w:pStyle w:val="11"/>
        <w:keepNext w:val="0"/>
        <w:keepLines w:val="0"/>
        <w:pageBreakBefore w:val="0"/>
        <w:widowControl w:val="0"/>
        <w:kinsoku/>
        <w:wordWrap/>
        <w:overflowPunct/>
        <w:topLinePunct w:val="0"/>
        <w:autoSpaceDE/>
        <w:autoSpaceDN/>
        <w:bidi w:val="0"/>
        <w:adjustRightInd/>
        <w:snapToGrid w:val="0"/>
        <w:spacing w:line="540" w:lineRule="exact"/>
        <w:ind w:left="3" w:right="3" w:firstLine="640"/>
        <w:textAlignment w:val="auto"/>
        <w:rPr>
          <w:sz w:val="32"/>
          <w:szCs w:val="32"/>
        </w:rPr>
      </w:pPr>
      <w:r>
        <w:rPr>
          <w:sz w:val="32"/>
          <w:szCs w:val="32"/>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2FF778C">
      <w:pPr>
        <w:pStyle w:val="11"/>
        <w:keepNext w:val="0"/>
        <w:keepLines w:val="0"/>
        <w:pageBreakBefore w:val="0"/>
        <w:widowControl w:val="0"/>
        <w:kinsoku/>
        <w:wordWrap/>
        <w:overflowPunct/>
        <w:topLinePunct w:val="0"/>
        <w:autoSpaceDE/>
        <w:autoSpaceDN/>
        <w:bidi w:val="0"/>
        <w:adjustRightInd/>
        <w:snapToGrid w:val="0"/>
        <w:spacing w:line="540" w:lineRule="exact"/>
        <w:ind w:left="3" w:right="3" w:firstLine="640"/>
        <w:textAlignment w:val="auto"/>
        <w:rPr>
          <w:sz w:val="32"/>
          <w:szCs w:val="32"/>
        </w:rPr>
      </w:pPr>
      <w:r>
        <w:rPr>
          <w:sz w:val="32"/>
          <w:szCs w:val="32"/>
        </w:rPr>
        <w:t>（4）绩效自评等级</w:t>
      </w:r>
    </w:p>
    <w:p w14:paraId="096FAE61">
      <w:pPr>
        <w:pStyle w:val="11"/>
        <w:keepNext w:val="0"/>
        <w:keepLines w:val="0"/>
        <w:pageBreakBefore w:val="0"/>
        <w:widowControl w:val="0"/>
        <w:kinsoku/>
        <w:wordWrap/>
        <w:overflowPunct/>
        <w:topLinePunct w:val="0"/>
        <w:autoSpaceDE/>
        <w:autoSpaceDN/>
        <w:bidi w:val="0"/>
        <w:adjustRightInd/>
        <w:snapToGrid w:val="0"/>
        <w:spacing w:line="540" w:lineRule="exact"/>
        <w:ind w:left="3" w:right="3" w:firstLine="640"/>
        <w:textAlignment w:val="auto"/>
        <w:rPr>
          <w:sz w:val="32"/>
          <w:szCs w:val="32"/>
        </w:rPr>
      </w:pPr>
      <w:r>
        <w:rPr>
          <w:sz w:val="32"/>
          <w:szCs w:val="32"/>
        </w:rPr>
        <w:t>绩效自评总分值100分，根据评分结果，90（含）</w:t>
      </w:r>
      <w:r>
        <w:rPr>
          <w:rFonts w:hint="eastAsia"/>
          <w:sz w:val="32"/>
          <w:szCs w:val="32"/>
          <w:lang w:val="en-US" w:eastAsia="zh-CN"/>
        </w:rPr>
        <w:t>-</w:t>
      </w:r>
      <w:r>
        <w:rPr>
          <w:sz w:val="32"/>
          <w:szCs w:val="32"/>
        </w:rPr>
        <w:t>100分为优、80（含）</w:t>
      </w:r>
      <w:r>
        <w:rPr>
          <w:rFonts w:hint="eastAsia"/>
          <w:sz w:val="32"/>
          <w:szCs w:val="32"/>
          <w:lang w:val="en-US" w:eastAsia="zh-CN"/>
        </w:rPr>
        <w:t>-</w:t>
      </w:r>
      <w:r>
        <w:rPr>
          <w:sz w:val="32"/>
          <w:szCs w:val="32"/>
        </w:rPr>
        <w:t>90分为良、60（含）</w:t>
      </w:r>
      <w:r>
        <w:rPr>
          <w:rFonts w:hint="eastAsia"/>
          <w:sz w:val="32"/>
          <w:szCs w:val="32"/>
          <w:lang w:val="en-US" w:eastAsia="zh-CN"/>
        </w:rPr>
        <w:t>-</w:t>
      </w:r>
      <w:r>
        <w:rPr>
          <w:sz w:val="32"/>
          <w:szCs w:val="32"/>
        </w:rPr>
        <w:t>80分为中、60分以下为差。</w:t>
      </w:r>
    </w:p>
    <w:p w14:paraId="6B8EAB25">
      <w:pPr>
        <w:pStyle w:val="12"/>
        <w:spacing w:before="217" w:line="560" w:lineRule="exact"/>
        <w:ind w:leftChars="0" w:right="3" w:firstLine="643" w:firstLineChars="200"/>
        <w:rPr>
          <w:sz w:val="32"/>
          <w:szCs w:val="32"/>
        </w:rPr>
      </w:pPr>
      <w:r>
        <w:rPr>
          <w:rFonts w:hint="eastAsia"/>
          <w:sz w:val="32"/>
          <w:szCs w:val="32"/>
        </w:rPr>
        <w:t>三、绩效目标自评完成情况分析</w:t>
      </w:r>
    </w:p>
    <w:p w14:paraId="5CF4FBB6">
      <w:pPr>
        <w:spacing w:line="560" w:lineRule="exact"/>
        <w:ind w:firstLine="627" w:firstLineChars="200"/>
        <w:rPr>
          <w:rStyle w:val="10"/>
          <w:rFonts w:ascii="楷体_GB2312" w:hAnsi="楷体" w:cs="Times New Roman"/>
          <w:spacing w:val="-4"/>
          <w:szCs w:val="32"/>
        </w:rPr>
      </w:pPr>
      <w:r>
        <w:rPr>
          <w:rStyle w:val="10"/>
          <w:rFonts w:hint="eastAsia" w:ascii="楷体_GB2312" w:hAnsi="楷体" w:cs="Times New Roman"/>
          <w:spacing w:val="-4"/>
          <w:szCs w:val="32"/>
        </w:rPr>
        <w:t>（一）资金投入情况分析</w:t>
      </w:r>
    </w:p>
    <w:p w14:paraId="0C3ACAA9">
      <w:pPr>
        <w:pStyle w:val="13"/>
        <w:keepNext w:val="0"/>
        <w:keepLines w:val="0"/>
        <w:pageBreakBefore w:val="0"/>
        <w:widowControl w:val="0"/>
        <w:kinsoku/>
        <w:wordWrap/>
        <w:overflowPunct/>
        <w:topLinePunct w:val="0"/>
        <w:autoSpaceDE/>
        <w:autoSpaceDN/>
        <w:bidi w:val="0"/>
        <w:adjustRightInd/>
        <w:snapToGrid w:val="0"/>
        <w:spacing w:before="217" w:line="540" w:lineRule="exact"/>
        <w:ind w:firstLine="643"/>
        <w:textAlignment w:val="auto"/>
        <w:rPr>
          <w:sz w:val="32"/>
        </w:rPr>
      </w:pPr>
      <w:r>
        <w:rPr>
          <w:rFonts w:hint="eastAsia"/>
          <w:sz w:val="32"/>
        </w:rPr>
        <w:t>1.项目资金到位情况分析</w:t>
      </w:r>
    </w:p>
    <w:p w14:paraId="2E65F994">
      <w:pPr>
        <w:pStyle w:val="11"/>
        <w:keepNext w:val="0"/>
        <w:keepLines w:val="0"/>
        <w:pageBreakBefore w:val="0"/>
        <w:widowControl w:val="0"/>
        <w:kinsoku/>
        <w:wordWrap/>
        <w:overflowPunct/>
        <w:topLinePunct w:val="0"/>
        <w:autoSpaceDE/>
        <w:autoSpaceDN/>
        <w:bidi w:val="0"/>
        <w:adjustRightInd/>
        <w:snapToGrid w:val="0"/>
        <w:spacing w:line="540" w:lineRule="exact"/>
        <w:ind w:left="3" w:right="3" w:firstLine="640"/>
        <w:textAlignment w:val="auto"/>
        <w:rPr>
          <w:sz w:val="32"/>
          <w:szCs w:val="32"/>
        </w:rPr>
      </w:pPr>
      <w:r>
        <w:rPr>
          <w:rFonts w:hint="eastAsia"/>
          <w:sz w:val="32"/>
          <w:szCs w:val="32"/>
          <w:lang w:eastAsia="zh-CN"/>
        </w:rPr>
        <w:t>于田县2024年困难群众饮用低氟边销茶项目</w:t>
      </w:r>
      <w:r>
        <w:rPr>
          <w:rFonts w:hint="eastAsia"/>
          <w:sz w:val="32"/>
          <w:szCs w:val="32"/>
        </w:rPr>
        <w:t>预算安排总额为</w:t>
      </w:r>
      <w:r>
        <w:rPr>
          <w:rFonts w:hint="eastAsia"/>
          <w:sz w:val="32"/>
          <w:szCs w:val="32"/>
          <w:lang w:val="en-US" w:eastAsia="zh-CN"/>
        </w:rPr>
        <w:t>50</w:t>
      </w:r>
      <w:r>
        <w:rPr>
          <w:rFonts w:hint="eastAsia"/>
          <w:sz w:val="32"/>
          <w:szCs w:val="32"/>
        </w:rPr>
        <w:t>万元，</w:t>
      </w:r>
      <w:r>
        <w:rPr>
          <w:rFonts w:hint="eastAsia" w:ascii="仿宋_GB2312" w:hAnsi="仿宋_GB2312" w:cs="仿宋_GB2312"/>
          <w:color w:val="auto"/>
          <w:sz w:val="32"/>
          <w:szCs w:val="32"/>
        </w:rPr>
        <w:t>中央财政衔接推进乡村振兴补助资金（少数民族发展资金）。</w:t>
      </w:r>
      <w:r>
        <w:rPr>
          <w:rFonts w:hint="eastAsia"/>
          <w:sz w:val="32"/>
          <w:szCs w:val="32"/>
        </w:rPr>
        <w:t>预算资金到位率为100%。</w:t>
      </w:r>
    </w:p>
    <w:p w14:paraId="462EB5E4">
      <w:pPr>
        <w:pStyle w:val="13"/>
        <w:keepNext w:val="0"/>
        <w:keepLines w:val="0"/>
        <w:pageBreakBefore w:val="0"/>
        <w:widowControl w:val="0"/>
        <w:kinsoku/>
        <w:wordWrap/>
        <w:overflowPunct/>
        <w:topLinePunct w:val="0"/>
        <w:autoSpaceDE/>
        <w:autoSpaceDN/>
        <w:bidi w:val="0"/>
        <w:adjustRightInd/>
        <w:snapToGrid w:val="0"/>
        <w:spacing w:before="217" w:line="540" w:lineRule="exact"/>
        <w:ind w:firstLine="643"/>
        <w:textAlignment w:val="auto"/>
        <w:rPr>
          <w:sz w:val="32"/>
        </w:rPr>
      </w:pPr>
      <w:r>
        <w:rPr>
          <w:rFonts w:hint="eastAsia"/>
          <w:sz w:val="32"/>
        </w:rPr>
        <w:t>2.项目资金执行情况分析</w:t>
      </w:r>
    </w:p>
    <w:p w14:paraId="166167F2">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right="3" w:firstLine="640"/>
        <w:textAlignment w:val="auto"/>
        <w:rPr>
          <w:sz w:val="32"/>
          <w:szCs w:val="32"/>
        </w:rPr>
      </w:pPr>
      <w:r>
        <w:rPr>
          <w:rFonts w:hint="eastAsia"/>
          <w:sz w:val="32"/>
          <w:szCs w:val="32"/>
          <w:lang w:eastAsia="zh-CN"/>
        </w:rPr>
        <w:t>于田县2024年困难群众饮用低氟边销茶项目</w:t>
      </w:r>
      <w:r>
        <w:rPr>
          <w:rFonts w:hint="eastAsia"/>
          <w:sz w:val="32"/>
          <w:szCs w:val="32"/>
        </w:rPr>
        <w:t>预算投入资金</w:t>
      </w:r>
      <w:r>
        <w:rPr>
          <w:rFonts w:hint="eastAsia"/>
          <w:sz w:val="32"/>
          <w:szCs w:val="32"/>
          <w:lang w:val="en-US" w:eastAsia="zh-CN"/>
        </w:rPr>
        <w:t>50</w:t>
      </w:r>
      <w:r>
        <w:rPr>
          <w:rFonts w:hint="eastAsia"/>
          <w:sz w:val="32"/>
          <w:szCs w:val="32"/>
        </w:rPr>
        <w:t>万元，与</w:t>
      </w:r>
      <w:r>
        <w:rPr>
          <w:rFonts w:hint="eastAsia"/>
          <w:sz w:val="32"/>
          <w:szCs w:val="32"/>
          <w:lang w:val="en-US" w:eastAsia="zh-CN"/>
        </w:rPr>
        <w:t>和田阗威商贸有限公司</w:t>
      </w:r>
      <w:r>
        <w:rPr>
          <w:rFonts w:hint="eastAsia"/>
          <w:sz w:val="32"/>
          <w:szCs w:val="32"/>
        </w:rPr>
        <w:t>签订合同价</w:t>
      </w:r>
      <w:r>
        <w:rPr>
          <w:rFonts w:hint="eastAsia"/>
          <w:sz w:val="32"/>
          <w:szCs w:val="32"/>
          <w:lang w:val="en-US" w:eastAsia="zh-CN"/>
        </w:rPr>
        <w:t>50</w:t>
      </w:r>
      <w:r>
        <w:rPr>
          <w:rFonts w:hint="eastAsia"/>
          <w:sz w:val="32"/>
          <w:szCs w:val="32"/>
        </w:rPr>
        <w:t>万元，第一次申请支付</w:t>
      </w:r>
      <w:r>
        <w:rPr>
          <w:rFonts w:hint="eastAsia"/>
          <w:sz w:val="32"/>
          <w:szCs w:val="32"/>
          <w:lang w:val="en-US" w:eastAsia="zh-CN"/>
        </w:rPr>
        <w:t>30</w:t>
      </w:r>
      <w:r>
        <w:rPr>
          <w:rFonts w:hint="eastAsia"/>
          <w:sz w:val="32"/>
          <w:szCs w:val="32"/>
        </w:rPr>
        <w:t>万元，第二次申请支付</w:t>
      </w:r>
      <w:r>
        <w:rPr>
          <w:rFonts w:hint="eastAsia"/>
          <w:sz w:val="32"/>
          <w:szCs w:val="32"/>
          <w:lang w:val="en-US" w:eastAsia="zh-CN"/>
        </w:rPr>
        <w:t>19.9989</w:t>
      </w:r>
      <w:r>
        <w:rPr>
          <w:rFonts w:hint="eastAsia"/>
          <w:sz w:val="32"/>
          <w:szCs w:val="32"/>
        </w:rPr>
        <w:t>万元，实际合计完成支出</w:t>
      </w:r>
      <w:r>
        <w:rPr>
          <w:rFonts w:hint="eastAsia"/>
          <w:sz w:val="32"/>
          <w:szCs w:val="32"/>
          <w:lang w:val="en-US" w:eastAsia="zh-CN"/>
        </w:rPr>
        <w:t>49.9989</w:t>
      </w:r>
      <w:r>
        <w:rPr>
          <w:rFonts w:hint="eastAsia"/>
          <w:sz w:val="32"/>
          <w:szCs w:val="32"/>
        </w:rPr>
        <w:t>万元，预算资金执行率100%。</w:t>
      </w:r>
    </w:p>
    <w:p w14:paraId="238768D9">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right="3" w:firstLine="640"/>
        <w:textAlignment w:val="auto"/>
        <w:rPr>
          <w:sz w:val="32"/>
          <w:szCs w:val="32"/>
        </w:rPr>
      </w:pPr>
      <w:r>
        <w:rPr>
          <w:sz w:val="32"/>
          <w:szCs w:val="32"/>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6EFB12EC">
      <w:pPr>
        <w:pStyle w:val="11"/>
        <w:keepNext w:val="0"/>
        <w:keepLines w:val="0"/>
        <w:pageBreakBefore w:val="0"/>
        <w:widowControl w:val="0"/>
        <w:kinsoku/>
        <w:wordWrap/>
        <w:overflowPunct/>
        <w:topLinePunct w:val="0"/>
        <w:autoSpaceDE/>
        <w:autoSpaceDN/>
        <w:bidi w:val="0"/>
        <w:adjustRightInd/>
        <w:snapToGrid w:val="0"/>
        <w:spacing w:line="540" w:lineRule="exact"/>
        <w:ind w:leftChars="0" w:right="3" w:firstLine="643"/>
        <w:textAlignment w:val="auto"/>
        <w:rPr>
          <w:b/>
          <w:sz w:val="32"/>
          <w:szCs w:val="32"/>
        </w:rPr>
      </w:pPr>
      <w:r>
        <w:rPr>
          <w:rFonts w:hint="eastAsia"/>
          <w:b/>
          <w:sz w:val="32"/>
          <w:szCs w:val="32"/>
        </w:rPr>
        <w:t>4.项目管理情况分析</w:t>
      </w:r>
    </w:p>
    <w:p w14:paraId="5DF4EBF9">
      <w:pPr>
        <w:pStyle w:val="11"/>
        <w:keepNext w:val="0"/>
        <w:keepLines w:val="0"/>
        <w:pageBreakBefore w:val="0"/>
        <w:widowControl w:val="0"/>
        <w:kinsoku/>
        <w:wordWrap/>
        <w:overflowPunct/>
        <w:topLinePunct w:val="0"/>
        <w:autoSpaceDE/>
        <w:autoSpaceDN/>
        <w:bidi w:val="0"/>
        <w:adjustRightInd/>
        <w:spacing w:line="540" w:lineRule="exact"/>
        <w:ind w:left="0" w:leftChars="0" w:right="3" w:firstLine="640"/>
        <w:textAlignment w:val="auto"/>
        <w:rPr>
          <w:sz w:val="32"/>
          <w:szCs w:val="32"/>
        </w:rPr>
      </w:pPr>
      <w:r>
        <w:rPr>
          <w:rFonts w:hint="eastAsia"/>
          <w:sz w:val="32"/>
          <w:szCs w:val="32"/>
        </w:rPr>
        <w:t>在项目实施中，于田县委统战部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68F6628F">
      <w:pPr>
        <w:keepNext w:val="0"/>
        <w:keepLines w:val="0"/>
        <w:pageBreakBefore w:val="0"/>
        <w:widowControl w:val="0"/>
        <w:kinsoku/>
        <w:wordWrap/>
        <w:overflowPunct/>
        <w:topLinePunct w:val="0"/>
        <w:autoSpaceDE/>
        <w:autoSpaceDN/>
        <w:bidi w:val="0"/>
        <w:adjustRightInd/>
        <w:spacing w:line="540" w:lineRule="exact"/>
        <w:ind w:firstLine="627" w:firstLineChars="200"/>
        <w:textAlignment w:val="auto"/>
        <w:rPr>
          <w:rStyle w:val="10"/>
          <w:rFonts w:ascii="楷体_GB2312" w:hAnsi="楷体" w:cs="Times New Roman"/>
          <w:spacing w:val="-4"/>
          <w:szCs w:val="32"/>
        </w:rPr>
      </w:pPr>
      <w:r>
        <w:rPr>
          <w:rStyle w:val="10"/>
          <w:rFonts w:hint="eastAsia" w:ascii="楷体_GB2312" w:hAnsi="楷体" w:cs="Times New Roman"/>
          <w:spacing w:val="-4"/>
          <w:szCs w:val="32"/>
        </w:rPr>
        <w:t>（二）绩效目标完成情况分析</w:t>
      </w:r>
    </w:p>
    <w:p w14:paraId="72749706">
      <w:pPr>
        <w:pStyle w:val="11"/>
        <w:keepNext w:val="0"/>
        <w:keepLines w:val="0"/>
        <w:pageBreakBefore w:val="0"/>
        <w:widowControl w:val="0"/>
        <w:kinsoku/>
        <w:wordWrap/>
        <w:overflowPunct/>
        <w:topLinePunct w:val="0"/>
        <w:autoSpaceDE/>
        <w:autoSpaceDN/>
        <w:bidi w:val="0"/>
        <w:adjustRightInd/>
        <w:spacing w:line="540" w:lineRule="exact"/>
        <w:ind w:left="3" w:right="3" w:firstLine="640"/>
        <w:textAlignment w:val="auto"/>
        <w:rPr>
          <w:sz w:val="32"/>
          <w:szCs w:val="32"/>
        </w:rPr>
      </w:pPr>
      <w:r>
        <w:rPr>
          <w:sz w:val="32"/>
          <w:szCs w:val="32"/>
        </w:rPr>
        <w:t>本项目在202</w:t>
      </w:r>
      <w:r>
        <w:rPr>
          <w:rFonts w:hint="eastAsia"/>
          <w:sz w:val="32"/>
          <w:szCs w:val="32"/>
          <w:lang w:val="en-US" w:eastAsia="zh-CN"/>
        </w:rPr>
        <w:t>4</w:t>
      </w:r>
      <w:r>
        <w:rPr>
          <w:sz w:val="32"/>
          <w:szCs w:val="32"/>
        </w:rPr>
        <w:t>年</w:t>
      </w:r>
      <w:r>
        <w:rPr>
          <w:rFonts w:hint="eastAsia"/>
          <w:sz w:val="32"/>
          <w:szCs w:val="32"/>
        </w:rPr>
        <w:t>截止12月底，通过实施低氟边销茶入户项目，对全县建档立卡脱贫不稳定户26</w:t>
      </w:r>
      <w:r>
        <w:rPr>
          <w:rFonts w:hint="eastAsia"/>
          <w:sz w:val="32"/>
          <w:szCs w:val="32"/>
          <w:lang w:val="en-US" w:eastAsia="zh-CN"/>
        </w:rPr>
        <w:t>89</w:t>
      </w:r>
      <w:r>
        <w:rPr>
          <w:rFonts w:hint="eastAsia"/>
          <w:sz w:val="32"/>
          <w:szCs w:val="32"/>
        </w:rPr>
        <w:t>户，边缘易致贫户</w:t>
      </w:r>
      <w:r>
        <w:rPr>
          <w:rFonts w:hint="eastAsia"/>
          <w:sz w:val="32"/>
          <w:szCs w:val="32"/>
          <w:lang w:val="en-US" w:eastAsia="zh-CN"/>
        </w:rPr>
        <w:t>5932</w:t>
      </w:r>
      <w:r>
        <w:rPr>
          <w:rFonts w:hint="eastAsia"/>
          <w:sz w:val="32"/>
          <w:szCs w:val="32"/>
        </w:rPr>
        <w:t>户，共计</w:t>
      </w:r>
      <w:r>
        <w:rPr>
          <w:rFonts w:hint="eastAsia"/>
          <w:sz w:val="32"/>
          <w:szCs w:val="32"/>
          <w:lang w:val="en-US" w:eastAsia="zh-CN"/>
        </w:rPr>
        <w:t>8621</w:t>
      </w:r>
      <w:r>
        <w:rPr>
          <w:rFonts w:hint="eastAsia"/>
          <w:sz w:val="32"/>
          <w:szCs w:val="32"/>
        </w:rPr>
        <w:t>户</w:t>
      </w:r>
      <w:r>
        <w:rPr>
          <w:rFonts w:hint="eastAsia"/>
          <w:sz w:val="32"/>
          <w:szCs w:val="32"/>
          <w:lang w:val="en-US" w:eastAsia="zh-CN"/>
        </w:rPr>
        <w:t>35652</w:t>
      </w:r>
      <w:r>
        <w:rPr>
          <w:rFonts w:hint="eastAsia"/>
          <w:sz w:val="32"/>
          <w:szCs w:val="32"/>
        </w:rPr>
        <w:t>人，按每户2公斤，每公斤</w:t>
      </w:r>
      <w:r>
        <w:rPr>
          <w:rFonts w:hint="eastAsia"/>
          <w:sz w:val="32"/>
          <w:szCs w:val="32"/>
          <w:lang w:val="en-US" w:eastAsia="zh-CN"/>
        </w:rPr>
        <w:t>29</w:t>
      </w:r>
      <w:r>
        <w:rPr>
          <w:rFonts w:hint="eastAsia"/>
          <w:sz w:val="32"/>
          <w:szCs w:val="32"/>
        </w:rPr>
        <w:t>元，每户补助</w:t>
      </w:r>
      <w:r>
        <w:rPr>
          <w:rFonts w:hint="eastAsia"/>
          <w:sz w:val="32"/>
          <w:szCs w:val="32"/>
          <w:lang w:val="en-US" w:eastAsia="zh-CN"/>
        </w:rPr>
        <w:t>58</w:t>
      </w:r>
      <w:r>
        <w:rPr>
          <w:rFonts w:hint="eastAsia"/>
          <w:sz w:val="32"/>
          <w:szCs w:val="32"/>
        </w:rPr>
        <w:t>元标准发放完毕。通过实施低氟边销茶入户项目，引导群众养成健康饮茶习惯，确保困难群众喝的起，喝的到低氟边销茶，提升各民族群众幸福感，引导群众提高对饮茶型地氟病的防治意识，预防低氟慢性病。</w:t>
      </w:r>
    </w:p>
    <w:p w14:paraId="0BE50D36">
      <w:pPr>
        <w:pStyle w:val="11"/>
        <w:keepNext w:val="0"/>
        <w:keepLines w:val="0"/>
        <w:pageBreakBefore w:val="0"/>
        <w:widowControl w:val="0"/>
        <w:kinsoku/>
        <w:wordWrap/>
        <w:overflowPunct/>
        <w:topLinePunct w:val="0"/>
        <w:autoSpaceDE/>
        <w:autoSpaceDN/>
        <w:bidi w:val="0"/>
        <w:adjustRightInd/>
        <w:spacing w:line="540" w:lineRule="exact"/>
        <w:ind w:left="3" w:right="3" w:firstLine="640"/>
        <w:textAlignment w:val="auto"/>
        <w:rPr>
          <w:sz w:val="32"/>
          <w:szCs w:val="32"/>
        </w:rPr>
      </w:pPr>
      <w:r>
        <w:rPr>
          <w:rFonts w:hint="eastAsia"/>
          <w:sz w:val="32"/>
          <w:szCs w:val="32"/>
        </w:rPr>
        <w:t>本项目共设置一级指标3个，二级指标7个，三级指标1</w:t>
      </w:r>
      <w:r>
        <w:rPr>
          <w:rFonts w:hint="eastAsia"/>
          <w:sz w:val="32"/>
          <w:szCs w:val="32"/>
          <w:lang w:val="en-US" w:eastAsia="zh-CN"/>
        </w:rPr>
        <w:t>6</w:t>
      </w:r>
      <w:r>
        <w:rPr>
          <w:rFonts w:hint="eastAsia"/>
          <w:sz w:val="32"/>
          <w:szCs w:val="32"/>
        </w:rPr>
        <w:t>个，其中已完成三级指标1</w:t>
      </w:r>
      <w:r>
        <w:rPr>
          <w:rFonts w:hint="eastAsia"/>
          <w:sz w:val="32"/>
          <w:szCs w:val="32"/>
          <w:lang w:val="en-US" w:eastAsia="zh-CN"/>
        </w:rPr>
        <w:t>6</w:t>
      </w:r>
      <w:r>
        <w:rPr>
          <w:rFonts w:hint="eastAsia"/>
          <w:sz w:val="32"/>
          <w:szCs w:val="32"/>
        </w:rPr>
        <w:t>个，指标完成率为100%，指标完成情况分析如下：</w:t>
      </w:r>
    </w:p>
    <w:p w14:paraId="6D969039">
      <w:pPr>
        <w:pStyle w:val="11"/>
        <w:keepNext w:val="0"/>
        <w:keepLines w:val="0"/>
        <w:pageBreakBefore w:val="0"/>
        <w:widowControl w:val="0"/>
        <w:numPr>
          <w:ilvl w:val="0"/>
          <w:numId w:val="2"/>
        </w:numPr>
        <w:kinsoku/>
        <w:wordWrap/>
        <w:overflowPunct/>
        <w:topLinePunct w:val="0"/>
        <w:autoSpaceDE/>
        <w:autoSpaceDN/>
        <w:bidi w:val="0"/>
        <w:adjustRightInd/>
        <w:spacing w:line="540" w:lineRule="exact"/>
        <w:ind w:left="3" w:right="3" w:firstLine="643"/>
        <w:textAlignment w:val="auto"/>
        <w:rPr>
          <w:b/>
          <w:sz w:val="32"/>
          <w:szCs w:val="32"/>
        </w:rPr>
      </w:pPr>
      <w:r>
        <w:rPr>
          <w:rFonts w:hint="eastAsia"/>
          <w:b/>
          <w:sz w:val="32"/>
          <w:szCs w:val="32"/>
        </w:rPr>
        <w:t>产出指标完成情况分析</w:t>
      </w:r>
    </w:p>
    <w:p w14:paraId="467DB901">
      <w:pPr>
        <w:pStyle w:val="11"/>
        <w:keepNext w:val="0"/>
        <w:keepLines w:val="0"/>
        <w:pageBreakBefore w:val="0"/>
        <w:widowControl w:val="0"/>
        <w:kinsoku/>
        <w:wordWrap/>
        <w:overflowPunct/>
        <w:topLinePunct w:val="0"/>
        <w:autoSpaceDE/>
        <w:autoSpaceDN/>
        <w:bidi w:val="0"/>
        <w:adjustRightInd/>
        <w:spacing w:line="540" w:lineRule="exact"/>
        <w:ind w:left="0" w:leftChars="0" w:right="3" w:firstLine="640"/>
        <w:textAlignment w:val="auto"/>
        <w:rPr>
          <w:rFonts w:ascii="仿宋_GB2312"/>
          <w:sz w:val="32"/>
          <w:szCs w:val="32"/>
        </w:rPr>
      </w:pPr>
      <w:r>
        <w:rPr>
          <w:rFonts w:hint="eastAsia"/>
          <w:sz w:val="32"/>
          <w:szCs w:val="32"/>
        </w:rPr>
        <w:t>1.1</w:t>
      </w:r>
      <w:r>
        <w:rPr>
          <w:rFonts w:hint="eastAsia" w:ascii="仿宋_GB2312"/>
          <w:sz w:val="32"/>
          <w:szCs w:val="32"/>
        </w:rPr>
        <w:t>项目完成数量</w:t>
      </w:r>
    </w:p>
    <w:p w14:paraId="4D377E09">
      <w:pPr>
        <w:pStyle w:val="11"/>
        <w:keepNext w:val="0"/>
        <w:keepLines w:val="0"/>
        <w:pageBreakBefore w:val="0"/>
        <w:widowControl w:val="0"/>
        <w:kinsoku/>
        <w:wordWrap/>
        <w:overflowPunct/>
        <w:topLinePunct w:val="0"/>
        <w:autoSpaceDE/>
        <w:autoSpaceDN/>
        <w:bidi w:val="0"/>
        <w:adjustRightInd/>
        <w:spacing w:line="540" w:lineRule="exact"/>
        <w:ind w:left="0" w:leftChars="0" w:right="3" w:firstLine="640"/>
        <w:textAlignment w:val="auto"/>
        <w:rPr>
          <w:sz w:val="32"/>
          <w:szCs w:val="32"/>
        </w:rPr>
      </w:pPr>
      <w:r>
        <w:rPr>
          <w:rFonts w:hint="eastAsia"/>
          <w:sz w:val="32"/>
          <w:szCs w:val="32"/>
        </w:rPr>
        <w:t>“建档立卡脱贫不稳定发放低氟茶户数”指标，预期指标值为</w:t>
      </w:r>
      <w:r>
        <w:rPr>
          <w:rFonts w:hint="eastAsia"/>
          <w:sz w:val="32"/>
          <w:szCs w:val="32"/>
          <w:lang w:eastAsia="zh-CN"/>
        </w:rPr>
        <w:t>大于等于</w:t>
      </w:r>
      <w:r>
        <w:rPr>
          <w:rFonts w:hint="eastAsia"/>
          <w:sz w:val="32"/>
          <w:szCs w:val="32"/>
          <w:lang w:val="en-US" w:eastAsia="zh-CN"/>
        </w:rPr>
        <w:t>2689</w:t>
      </w:r>
      <w:r>
        <w:rPr>
          <w:rFonts w:hint="eastAsia"/>
          <w:sz w:val="32"/>
          <w:szCs w:val="32"/>
        </w:rPr>
        <w:t>户</w:t>
      </w:r>
      <w:r>
        <w:rPr>
          <w:rFonts w:hint="eastAsia"/>
          <w:sz w:val="32"/>
          <w:szCs w:val="32"/>
          <w:lang w:eastAsia="zh-CN"/>
        </w:rPr>
        <w:t>，</w:t>
      </w:r>
      <w:r>
        <w:rPr>
          <w:rFonts w:hint="eastAsia"/>
          <w:sz w:val="32"/>
          <w:szCs w:val="32"/>
        </w:rPr>
        <w:t>全年实际值为</w:t>
      </w:r>
      <w:r>
        <w:rPr>
          <w:rFonts w:hint="eastAsia"/>
          <w:sz w:val="32"/>
          <w:szCs w:val="32"/>
          <w:lang w:val="en-US" w:eastAsia="zh-CN"/>
        </w:rPr>
        <w:t>2689</w:t>
      </w:r>
      <w:r>
        <w:rPr>
          <w:rFonts w:hint="eastAsia"/>
          <w:sz w:val="32"/>
          <w:szCs w:val="32"/>
        </w:rPr>
        <w:t>户，指标完成率为100%。所设分值5分，实际得分5分。</w:t>
      </w:r>
    </w:p>
    <w:p w14:paraId="75E28125">
      <w:pPr>
        <w:pStyle w:val="11"/>
        <w:keepNext w:val="0"/>
        <w:keepLines w:val="0"/>
        <w:pageBreakBefore w:val="0"/>
        <w:widowControl w:val="0"/>
        <w:kinsoku/>
        <w:wordWrap/>
        <w:overflowPunct/>
        <w:topLinePunct w:val="0"/>
        <w:autoSpaceDE/>
        <w:autoSpaceDN/>
        <w:bidi w:val="0"/>
        <w:adjustRightInd/>
        <w:spacing w:line="540" w:lineRule="exact"/>
        <w:ind w:left="0" w:leftChars="0" w:right="3" w:firstLine="640"/>
        <w:textAlignment w:val="auto"/>
        <w:rPr>
          <w:sz w:val="32"/>
          <w:szCs w:val="32"/>
        </w:rPr>
      </w:pPr>
      <w:r>
        <w:rPr>
          <w:rFonts w:hint="eastAsia"/>
          <w:sz w:val="32"/>
          <w:szCs w:val="32"/>
        </w:rPr>
        <w:t>“一般户边缘易致贫发放低氟茶户数”指标，预期指标值为</w:t>
      </w:r>
      <w:r>
        <w:rPr>
          <w:rFonts w:hint="eastAsia"/>
          <w:sz w:val="32"/>
          <w:szCs w:val="32"/>
          <w:lang w:eastAsia="zh-CN"/>
        </w:rPr>
        <w:t>大于等于</w:t>
      </w:r>
      <w:r>
        <w:rPr>
          <w:rFonts w:hint="eastAsia"/>
          <w:sz w:val="32"/>
          <w:szCs w:val="32"/>
          <w:lang w:val="en-US" w:eastAsia="zh-CN"/>
        </w:rPr>
        <w:t>5932</w:t>
      </w:r>
      <w:r>
        <w:rPr>
          <w:rFonts w:hint="eastAsia"/>
          <w:sz w:val="32"/>
          <w:szCs w:val="32"/>
        </w:rPr>
        <w:t>户</w:t>
      </w:r>
      <w:r>
        <w:rPr>
          <w:rFonts w:hint="eastAsia"/>
          <w:sz w:val="32"/>
          <w:szCs w:val="32"/>
          <w:lang w:eastAsia="zh-CN"/>
        </w:rPr>
        <w:t>，</w:t>
      </w:r>
      <w:r>
        <w:rPr>
          <w:rFonts w:hint="eastAsia"/>
          <w:sz w:val="32"/>
          <w:szCs w:val="32"/>
        </w:rPr>
        <w:t>全年实际值为</w:t>
      </w:r>
      <w:r>
        <w:rPr>
          <w:rFonts w:hint="eastAsia"/>
          <w:sz w:val="32"/>
          <w:szCs w:val="32"/>
          <w:lang w:val="en-US" w:eastAsia="zh-CN"/>
        </w:rPr>
        <w:t>5932</w:t>
      </w:r>
      <w:r>
        <w:rPr>
          <w:rFonts w:hint="eastAsia"/>
          <w:sz w:val="32"/>
          <w:szCs w:val="32"/>
        </w:rPr>
        <w:t>户，指标完成率为100%。所设分值5分，实际得分5分。</w:t>
      </w:r>
    </w:p>
    <w:p w14:paraId="191EC621">
      <w:pPr>
        <w:pStyle w:val="11"/>
        <w:keepNext w:val="0"/>
        <w:keepLines w:val="0"/>
        <w:pageBreakBefore w:val="0"/>
        <w:widowControl w:val="0"/>
        <w:kinsoku/>
        <w:wordWrap/>
        <w:overflowPunct/>
        <w:topLinePunct w:val="0"/>
        <w:autoSpaceDE/>
        <w:autoSpaceDN/>
        <w:bidi w:val="0"/>
        <w:adjustRightInd/>
        <w:spacing w:line="540" w:lineRule="exact"/>
        <w:ind w:left="0" w:leftChars="0" w:right="3" w:firstLine="640"/>
        <w:textAlignment w:val="auto"/>
        <w:rPr>
          <w:rFonts w:hint="eastAsia"/>
          <w:sz w:val="32"/>
          <w:szCs w:val="32"/>
        </w:rPr>
      </w:pPr>
      <w:r>
        <w:rPr>
          <w:rFonts w:hint="eastAsia"/>
          <w:sz w:val="32"/>
          <w:szCs w:val="32"/>
        </w:rPr>
        <w:t>“建档立卡脱贫不稳定发放低氟茶</w:t>
      </w:r>
      <w:r>
        <w:rPr>
          <w:rFonts w:hint="eastAsia"/>
          <w:sz w:val="32"/>
          <w:szCs w:val="32"/>
          <w:lang w:eastAsia="zh-CN"/>
        </w:rPr>
        <w:t>人</w:t>
      </w:r>
      <w:r>
        <w:rPr>
          <w:rFonts w:hint="eastAsia"/>
          <w:sz w:val="32"/>
          <w:szCs w:val="32"/>
        </w:rPr>
        <w:t>数”指标，预期指标值为</w:t>
      </w:r>
      <w:r>
        <w:rPr>
          <w:rFonts w:hint="eastAsia"/>
          <w:sz w:val="32"/>
          <w:szCs w:val="32"/>
          <w:lang w:eastAsia="zh-CN"/>
        </w:rPr>
        <w:t>大于等于</w:t>
      </w:r>
      <w:r>
        <w:rPr>
          <w:rFonts w:hint="eastAsia"/>
          <w:sz w:val="32"/>
          <w:szCs w:val="32"/>
        </w:rPr>
        <w:t>10</w:t>
      </w:r>
      <w:r>
        <w:rPr>
          <w:rFonts w:hint="eastAsia"/>
          <w:sz w:val="32"/>
          <w:szCs w:val="32"/>
          <w:lang w:val="en-US" w:eastAsia="zh-CN"/>
        </w:rPr>
        <w:t>485</w:t>
      </w:r>
      <w:r>
        <w:rPr>
          <w:rFonts w:hint="eastAsia"/>
          <w:sz w:val="32"/>
          <w:szCs w:val="32"/>
        </w:rPr>
        <w:t>人</w:t>
      </w:r>
      <w:r>
        <w:rPr>
          <w:rFonts w:hint="eastAsia"/>
          <w:sz w:val="32"/>
          <w:szCs w:val="32"/>
          <w:lang w:eastAsia="zh-CN"/>
        </w:rPr>
        <w:t>，</w:t>
      </w:r>
      <w:r>
        <w:rPr>
          <w:rFonts w:hint="eastAsia"/>
          <w:sz w:val="32"/>
          <w:szCs w:val="32"/>
        </w:rPr>
        <w:t>全年实际值为</w:t>
      </w:r>
      <w:r>
        <w:rPr>
          <w:rFonts w:hint="eastAsia"/>
          <w:sz w:val="32"/>
          <w:szCs w:val="32"/>
          <w:lang w:val="en-US" w:eastAsia="zh-CN"/>
        </w:rPr>
        <w:t>10485</w:t>
      </w:r>
      <w:r>
        <w:rPr>
          <w:rFonts w:hint="eastAsia"/>
          <w:sz w:val="32"/>
          <w:szCs w:val="32"/>
        </w:rPr>
        <w:t>人，指标完成率为100%。所设分值5分，实际得分5分。</w:t>
      </w:r>
    </w:p>
    <w:p w14:paraId="64BE315E">
      <w:pPr>
        <w:pStyle w:val="11"/>
        <w:keepNext w:val="0"/>
        <w:keepLines w:val="0"/>
        <w:pageBreakBefore w:val="0"/>
        <w:widowControl w:val="0"/>
        <w:kinsoku/>
        <w:wordWrap/>
        <w:overflowPunct/>
        <w:topLinePunct w:val="0"/>
        <w:autoSpaceDE/>
        <w:autoSpaceDN/>
        <w:bidi w:val="0"/>
        <w:adjustRightInd/>
        <w:spacing w:line="540" w:lineRule="exact"/>
        <w:ind w:left="0" w:leftChars="0" w:right="3" w:firstLine="640"/>
        <w:textAlignment w:val="auto"/>
        <w:rPr>
          <w:sz w:val="32"/>
          <w:szCs w:val="32"/>
        </w:rPr>
      </w:pPr>
      <w:r>
        <w:rPr>
          <w:rFonts w:hint="eastAsia"/>
          <w:sz w:val="32"/>
          <w:szCs w:val="32"/>
        </w:rPr>
        <w:t>“一般户边缘易致贫发放低氟茶</w:t>
      </w:r>
      <w:r>
        <w:rPr>
          <w:rFonts w:hint="eastAsia"/>
          <w:sz w:val="32"/>
          <w:szCs w:val="32"/>
          <w:lang w:eastAsia="zh-CN"/>
        </w:rPr>
        <w:t>人</w:t>
      </w:r>
      <w:r>
        <w:rPr>
          <w:rFonts w:hint="eastAsia"/>
          <w:sz w:val="32"/>
          <w:szCs w:val="32"/>
        </w:rPr>
        <w:t>数”指标，预期指标值为</w:t>
      </w:r>
      <w:r>
        <w:rPr>
          <w:rFonts w:hint="eastAsia"/>
          <w:sz w:val="32"/>
          <w:szCs w:val="32"/>
          <w:lang w:eastAsia="zh-CN"/>
        </w:rPr>
        <w:t>大于等于</w:t>
      </w:r>
      <w:r>
        <w:rPr>
          <w:rFonts w:hint="eastAsia"/>
          <w:sz w:val="32"/>
          <w:szCs w:val="32"/>
          <w:lang w:val="en-US" w:eastAsia="zh-CN"/>
        </w:rPr>
        <w:t>25167</w:t>
      </w:r>
      <w:r>
        <w:rPr>
          <w:rFonts w:hint="eastAsia"/>
          <w:sz w:val="32"/>
          <w:szCs w:val="32"/>
        </w:rPr>
        <w:t>人</w:t>
      </w:r>
      <w:r>
        <w:rPr>
          <w:rFonts w:hint="eastAsia"/>
          <w:sz w:val="32"/>
          <w:szCs w:val="32"/>
          <w:lang w:eastAsia="zh-CN"/>
        </w:rPr>
        <w:t>，</w:t>
      </w:r>
      <w:r>
        <w:rPr>
          <w:rFonts w:hint="eastAsia"/>
          <w:sz w:val="32"/>
          <w:szCs w:val="32"/>
        </w:rPr>
        <w:t>全年实际值为</w:t>
      </w:r>
      <w:r>
        <w:rPr>
          <w:rFonts w:hint="eastAsia"/>
          <w:sz w:val="32"/>
          <w:szCs w:val="32"/>
          <w:lang w:val="en-US" w:eastAsia="zh-CN"/>
        </w:rPr>
        <w:t>25167</w:t>
      </w:r>
      <w:r>
        <w:rPr>
          <w:rFonts w:hint="eastAsia"/>
          <w:sz w:val="32"/>
          <w:szCs w:val="32"/>
        </w:rPr>
        <w:t>人，指标完成率为100%。所设分值5分，实际得分5分。</w:t>
      </w:r>
    </w:p>
    <w:p w14:paraId="09785392">
      <w:pPr>
        <w:pStyle w:val="11"/>
        <w:spacing w:line="560" w:lineRule="exact"/>
        <w:ind w:left="0" w:leftChars="0" w:right="0" w:rightChars="0" w:firstLine="640"/>
        <w:rPr>
          <w:sz w:val="32"/>
          <w:szCs w:val="32"/>
        </w:rPr>
      </w:pPr>
      <w:r>
        <w:rPr>
          <w:rFonts w:ascii="仿宋_GB2312"/>
          <w:sz w:val="32"/>
          <w:szCs w:val="32"/>
        </w:rPr>
        <w:t>1.2项目完成质量</w:t>
      </w:r>
    </w:p>
    <w:p w14:paraId="572B0881">
      <w:pPr>
        <w:pStyle w:val="11"/>
        <w:spacing w:line="560" w:lineRule="exact"/>
        <w:ind w:left="0" w:leftChars="0" w:right="0" w:rightChars="0" w:firstLine="640"/>
        <w:rPr>
          <w:sz w:val="32"/>
          <w:szCs w:val="32"/>
        </w:rPr>
      </w:pPr>
      <w:r>
        <w:rPr>
          <w:rFonts w:hint="eastAsia"/>
          <w:sz w:val="32"/>
          <w:szCs w:val="32"/>
        </w:rPr>
        <w:t>“脱贫不稳定发放低氟茶覆盖率”指标，预期指标值为</w:t>
      </w:r>
      <w:r>
        <w:rPr>
          <w:rFonts w:hint="eastAsia"/>
          <w:sz w:val="32"/>
          <w:szCs w:val="32"/>
          <w:lang w:eastAsia="zh-CN"/>
        </w:rPr>
        <w:t>等于</w:t>
      </w:r>
      <w:r>
        <w:rPr>
          <w:rFonts w:hint="eastAsia"/>
          <w:sz w:val="32"/>
          <w:szCs w:val="32"/>
        </w:rPr>
        <w:t>100%</w:t>
      </w:r>
      <w:r>
        <w:rPr>
          <w:rFonts w:hint="eastAsia"/>
          <w:sz w:val="32"/>
          <w:szCs w:val="32"/>
          <w:lang w:eastAsia="zh-CN"/>
        </w:rPr>
        <w:t>，</w:t>
      </w:r>
      <w:r>
        <w:rPr>
          <w:rFonts w:hint="eastAsia"/>
          <w:sz w:val="32"/>
          <w:szCs w:val="32"/>
        </w:rPr>
        <w:t>全年实际值为100%，指标完成率为100%。所设分值5分，实际得分5分。</w:t>
      </w:r>
    </w:p>
    <w:p w14:paraId="70ABFAB8">
      <w:pPr>
        <w:pStyle w:val="11"/>
        <w:spacing w:line="560" w:lineRule="exact"/>
        <w:ind w:left="0" w:leftChars="0" w:right="0" w:rightChars="0" w:firstLine="640"/>
        <w:rPr>
          <w:sz w:val="32"/>
          <w:szCs w:val="32"/>
        </w:rPr>
      </w:pPr>
      <w:r>
        <w:rPr>
          <w:rFonts w:hint="eastAsia"/>
          <w:sz w:val="32"/>
          <w:szCs w:val="32"/>
        </w:rPr>
        <w:t>“一般户边缘易致贫发放低氟茶覆盖率”指标，预期指标值为</w:t>
      </w:r>
      <w:r>
        <w:rPr>
          <w:rFonts w:hint="eastAsia"/>
          <w:sz w:val="32"/>
          <w:szCs w:val="32"/>
          <w:lang w:eastAsia="zh-CN"/>
        </w:rPr>
        <w:t>等于</w:t>
      </w:r>
      <w:r>
        <w:rPr>
          <w:rFonts w:hint="eastAsia"/>
          <w:sz w:val="32"/>
          <w:szCs w:val="32"/>
        </w:rPr>
        <w:t>100%</w:t>
      </w:r>
      <w:r>
        <w:rPr>
          <w:rFonts w:hint="eastAsia"/>
          <w:sz w:val="32"/>
          <w:szCs w:val="32"/>
          <w:lang w:eastAsia="zh-CN"/>
        </w:rPr>
        <w:t>，</w:t>
      </w:r>
      <w:r>
        <w:rPr>
          <w:rFonts w:hint="eastAsia"/>
          <w:sz w:val="32"/>
          <w:szCs w:val="32"/>
        </w:rPr>
        <w:t>全年实际值为100%，指标完成率为100%。所设分值</w:t>
      </w:r>
      <w:r>
        <w:rPr>
          <w:rFonts w:hint="eastAsia"/>
          <w:sz w:val="32"/>
          <w:szCs w:val="32"/>
          <w:lang w:val="en-US" w:eastAsia="zh-CN"/>
        </w:rPr>
        <w:t>4</w:t>
      </w:r>
      <w:r>
        <w:rPr>
          <w:rFonts w:hint="eastAsia"/>
          <w:sz w:val="32"/>
          <w:szCs w:val="32"/>
        </w:rPr>
        <w:t>分，实际得分</w:t>
      </w:r>
      <w:r>
        <w:rPr>
          <w:rFonts w:hint="eastAsia"/>
          <w:sz w:val="32"/>
          <w:szCs w:val="32"/>
          <w:lang w:val="en-US" w:eastAsia="zh-CN"/>
        </w:rPr>
        <w:t>4</w:t>
      </w:r>
      <w:r>
        <w:rPr>
          <w:rFonts w:hint="eastAsia"/>
          <w:sz w:val="32"/>
          <w:szCs w:val="32"/>
        </w:rPr>
        <w:t>分。</w:t>
      </w:r>
    </w:p>
    <w:p w14:paraId="24AB9F94">
      <w:pPr>
        <w:pStyle w:val="11"/>
        <w:spacing w:line="560" w:lineRule="exact"/>
        <w:ind w:left="0" w:leftChars="0" w:right="0" w:rightChars="0" w:firstLine="640"/>
        <w:rPr>
          <w:sz w:val="32"/>
          <w:szCs w:val="32"/>
        </w:rPr>
      </w:pPr>
      <w:r>
        <w:rPr>
          <w:rFonts w:hint="eastAsia"/>
          <w:sz w:val="32"/>
          <w:szCs w:val="32"/>
        </w:rPr>
        <w:t>“资金支出合规率”指标，预期指标值为</w:t>
      </w:r>
      <w:r>
        <w:rPr>
          <w:rFonts w:hint="eastAsia"/>
          <w:sz w:val="32"/>
          <w:szCs w:val="32"/>
          <w:lang w:eastAsia="zh-CN"/>
        </w:rPr>
        <w:t>等于</w:t>
      </w:r>
      <w:r>
        <w:rPr>
          <w:rFonts w:hint="eastAsia"/>
          <w:sz w:val="32"/>
          <w:szCs w:val="32"/>
        </w:rPr>
        <w:t>100%</w:t>
      </w:r>
      <w:r>
        <w:rPr>
          <w:rFonts w:hint="eastAsia"/>
          <w:sz w:val="32"/>
          <w:szCs w:val="32"/>
          <w:lang w:eastAsia="zh-CN"/>
        </w:rPr>
        <w:t>，</w:t>
      </w:r>
      <w:r>
        <w:rPr>
          <w:rFonts w:hint="eastAsia"/>
          <w:sz w:val="32"/>
          <w:szCs w:val="32"/>
        </w:rPr>
        <w:t>全年实际值为100%，指标完成率为100%。所设分值</w:t>
      </w:r>
      <w:r>
        <w:rPr>
          <w:rFonts w:hint="eastAsia"/>
          <w:sz w:val="32"/>
          <w:szCs w:val="32"/>
          <w:lang w:val="en-US" w:eastAsia="zh-CN"/>
        </w:rPr>
        <w:t>4</w:t>
      </w:r>
      <w:r>
        <w:rPr>
          <w:rFonts w:hint="eastAsia"/>
          <w:sz w:val="32"/>
          <w:szCs w:val="32"/>
        </w:rPr>
        <w:t>分，实际得分</w:t>
      </w:r>
      <w:r>
        <w:rPr>
          <w:rFonts w:hint="eastAsia"/>
          <w:sz w:val="32"/>
          <w:szCs w:val="32"/>
          <w:lang w:val="en-US" w:eastAsia="zh-CN"/>
        </w:rPr>
        <w:t>4</w:t>
      </w:r>
      <w:r>
        <w:rPr>
          <w:rFonts w:hint="eastAsia"/>
          <w:sz w:val="32"/>
          <w:szCs w:val="32"/>
        </w:rPr>
        <w:t>分。</w:t>
      </w:r>
    </w:p>
    <w:p w14:paraId="4E7EB1AC">
      <w:pPr>
        <w:pStyle w:val="11"/>
        <w:spacing w:line="560" w:lineRule="exact"/>
        <w:ind w:left="0" w:leftChars="0" w:right="0" w:rightChars="0" w:firstLine="640"/>
        <w:rPr>
          <w:sz w:val="32"/>
          <w:szCs w:val="32"/>
        </w:rPr>
      </w:pPr>
      <w:r>
        <w:rPr>
          <w:sz w:val="32"/>
          <w:szCs w:val="32"/>
        </w:rPr>
        <w:t>1.3项目完成时效</w:t>
      </w:r>
    </w:p>
    <w:p w14:paraId="518E13FB">
      <w:pPr>
        <w:pStyle w:val="11"/>
        <w:spacing w:line="560" w:lineRule="exact"/>
        <w:ind w:left="0" w:leftChars="0" w:right="0" w:rightChars="0" w:firstLine="640"/>
        <w:rPr>
          <w:rFonts w:hint="eastAsia"/>
          <w:sz w:val="32"/>
          <w:szCs w:val="32"/>
        </w:rPr>
      </w:pPr>
      <w:r>
        <w:rPr>
          <w:rFonts w:hint="eastAsia"/>
          <w:sz w:val="32"/>
          <w:szCs w:val="32"/>
        </w:rPr>
        <w:t>“</w:t>
      </w:r>
      <w:r>
        <w:rPr>
          <w:rFonts w:hint="eastAsia"/>
          <w:sz w:val="32"/>
          <w:szCs w:val="32"/>
          <w:lang w:val="en-US" w:eastAsia="zh-CN"/>
        </w:rPr>
        <w:t>资金支付及时率</w:t>
      </w:r>
      <w:r>
        <w:rPr>
          <w:rFonts w:hint="eastAsia"/>
          <w:sz w:val="32"/>
          <w:szCs w:val="32"/>
        </w:rPr>
        <w:t>”指标，预期指标值为</w:t>
      </w:r>
      <w:r>
        <w:rPr>
          <w:rFonts w:hint="eastAsia"/>
          <w:sz w:val="32"/>
          <w:szCs w:val="32"/>
          <w:lang w:val="en-US" w:eastAsia="zh-CN"/>
        </w:rPr>
        <w:t>等于100%，</w:t>
      </w:r>
      <w:r>
        <w:rPr>
          <w:rFonts w:hint="eastAsia"/>
          <w:sz w:val="32"/>
          <w:szCs w:val="32"/>
        </w:rPr>
        <w:t>全年实际值为</w:t>
      </w:r>
      <w:r>
        <w:rPr>
          <w:rFonts w:hint="eastAsia"/>
          <w:sz w:val="32"/>
          <w:szCs w:val="32"/>
          <w:lang w:val="en-US" w:eastAsia="zh-CN"/>
        </w:rPr>
        <w:t>100%</w:t>
      </w:r>
      <w:r>
        <w:rPr>
          <w:rFonts w:hint="eastAsia"/>
          <w:sz w:val="32"/>
          <w:szCs w:val="32"/>
        </w:rPr>
        <w:t>，指标完成率为100%。所设分值</w:t>
      </w:r>
      <w:r>
        <w:rPr>
          <w:rFonts w:hint="eastAsia"/>
          <w:sz w:val="32"/>
          <w:szCs w:val="32"/>
          <w:lang w:val="en-US" w:eastAsia="zh-CN"/>
        </w:rPr>
        <w:t>4</w:t>
      </w:r>
      <w:r>
        <w:rPr>
          <w:rFonts w:hint="eastAsia"/>
          <w:sz w:val="32"/>
          <w:szCs w:val="32"/>
        </w:rPr>
        <w:t>分，实际得分</w:t>
      </w:r>
      <w:r>
        <w:rPr>
          <w:rFonts w:hint="eastAsia"/>
          <w:sz w:val="32"/>
          <w:szCs w:val="32"/>
          <w:lang w:val="en-US" w:eastAsia="zh-CN"/>
        </w:rPr>
        <w:t>4</w:t>
      </w:r>
      <w:r>
        <w:rPr>
          <w:rFonts w:hint="eastAsia"/>
          <w:sz w:val="32"/>
          <w:szCs w:val="32"/>
        </w:rPr>
        <w:t>分。</w:t>
      </w:r>
    </w:p>
    <w:p w14:paraId="4247AC83">
      <w:pPr>
        <w:pStyle w:val="11"/>
        <w:spacing w:line="560" w:lineRule="exact"/>
        <w:ind w:left="0" w:leftChars="0" w:right="0" w:rightChars="0" w:firstLine="640"/>
        <w:rPr>
          <w:sz w:val="32"/>
          <w:szCs w:val="32"/>
        </w:rPr>
      </w:pPr>
      <w:r>
        <w:rPr>
          <w:rFonts w:hint="eastAsia"/>
          <w:sz w:val="32"/>
          <w:szCs w:val="32"/>
        </w:rPr>
        <w:t>“</w:t>
      </w:r>
      <w:r>
        <w:rPr>
          <w:rFonts w:hint="eastAsia"/>
          <w:sz w:val="32"/>
          <w:szCs w:val="32"/>
          <w:lang w:val="en-US" w:eastAsia="zh-CN"/>
        </w:rPr>
        <w:t>项目启动时间</w:t>
      </w:r>
      <w:r>
        <w:rPr>
          <w:rFonts w:hint="eastAsia"/>
          <w:sz w:val="32"/>
          <w:szCs w:val="32"/>
        </w:rPr>
        <w:t>”指标，预期指标值为</w:t>
      </w:r>
      <w:r>
        <w:rPr>
          <w:rFonts w:hint="eastAsia"/>
          <w:sz w:val="32"/>
          <w:szCs w:val="32"/>
          <w:lang w:val="en-US" w:eastAsia="zh-CN"/>
        </w:rPr>
        <w:t>2024年3月</w:t>
      </w:r>
      <w:r>
        <w:rPr>
          <w:rFonts w:hint="eastAsia"/>
          <w:sz w:val="32"/>
          <w:szCs w:val="32"/>
          <w:lang w:eastAsia="zh-CN"/>
        </w:rPr>
        <w:t>，</w:t>
      </w:r>
      <w:r>
        <w:rPr>
          <w:rFonts w:hint="eastAsia"/>
          <w:sz w:val="32"/>
          <w:szCs w:val="32"/>
        </w:rPr>
        <w:t>全年实际值为</w:t>
      </w:r>
      <w:r>
        <w:rPr>
          <w:rFonts w:hint="eastAsia"/>
          <w:sz w:val="32"/>
          <w:szCs w:val="32"/>
          <w:lang w:val="en-US" w:eastAsia="zh-CN"/>
        </w:rPr>
        <w:t>2024年3月</w:t>
      </w:r>
      <w:r>
        <w:rPr>
          <w:rFonts w:hint="eastAsia"/>
          <w:sz w:val="32"/>
          <w:szCs w:val="32"/>
        </w:rPr>
        <w:t>，指标完成率为100%。所设分值</w:t>
      </w:r>
      <w:r>
        <w:rPr>
          <w:rFonts w:hint="eastAsia"/>
          <w:sz w:val="32"/>
          <w:szCs w:val="32"/>
          <w:lang w:val="en-US" w:eastAsia="zh-CN"/>
        </w:rPr>
        <w:t>4</w:t>
      </w:r>
      <w:r>
        <w:rPr>
          <w:rFonts w:hint="eastAsia"/>
          <w:sz w:val="32"/>
          <w:szCs w:val="32"/>
        </w:rPr>
        <w:t>分，实际得分</w:t>
      </w:r>
      <w:r>
        <w:rPr>
          <w:rFonts w:hint="eastAsia"/>
          <w:sz w:val="32"/>
          <w:szCs w:val="32"/>
          <w:lang w:val="en-US" w:eastAsia="zh-CN"/>
        </w:rPr>
        <w:t>4</w:t>
      </w:r>
      <w:r>
        <w:rPr>
          <w:rFonts w:hint="eastAsia"/>
          <w:sz w:val="32"/>
          <w:szCs w:val="32"/>
        </w:rPr>
        <w:t>分。</w:t>
      </w:r>
    </w:p>
    <w:p w14:paraId="7362181E">
      <w:pPr>
        <w:pStyle w:val="11"/>
        <w:spacing w:line="560" w:lineRule="exact"/>
        <w:ind w:left="0" w:leftChars="0" w:right="0" w:rightChars="0" w:firstLine="640"/>
        <w:rPr>
          <w:sz w:val="32"/>
          <w:szCs w:val="32"/>
        </w:rPr>
      </w:pPr>
      <w:r>
        <w:rPr>
          <w:rFonts w:hint="eastAsia"/>
          <w:sz w:val="32"/>
          <w:szCs w:val="32"/>
        </w:rPr>
        <w:t>“</w:t>
      </w:r>
      <w:r>
        <w:rPr>
          <w:rFonts w:hint="eastAsia"/>
          <w:sz w:val="32"/>
          <w:szCs w:val="32"/>
          <w:lang w:val="en-US" w:eastAsia="zh-CN"/>
        </w:rPr>
        <w:t>项目完工时间</w:t>
      </w:r>
      <w:r>
        <w:rPr>
          <w:rFonts w:hint="eastAsia"/>
          <w:sz w:val="32"/>
          <w:szCs w:val="32"/>
        </w:rPr>
        <w:t>”指标，预期指标值为</w:t>
      </w:r>
      <w:r>
        <w:rPr>
          <w:rFonts w:hint="eastAsia"/>
          <w:sz w:val="32"/>
          <w:szCs w:val="32"/>
          <w:lang w:val="en-US" w:eastAsia="zh-CN"/>
        </w:rPr>
        <w:t>2024年6月</w:t>
      </w:r>
      <w:r>
        <w:rPr>
          <w:rFonts w:hint="eastAsia"/>
          <w:sz w:val="32"/>
          <w:szCs w:val="32"/>
          <w:lang w:eastAsia="zh-CN"/>
        </w:rPr>
        <w:t>，</w:t>
      </w:r>
      <w:r>
        <w:rPr>
          <w:rFonts w:hint="eastAsia"/>
          <w:sz w:val="32"/>
          <w:szCs w:val="32"/>
        </w:rPr>
        <w:t>全年实际值为</w:t>
      </w:r>
      <w:r>
        <w:rPr>
          <w:rFonts w:hint="eastAsia"/>
          <w:sz w:val="32"/>
          <w:szCs w:val="32"/>
          <w:lang w:val="en-US" w:eastAsia="zh-CN"/>
        </w:rPr>
        <w:t>2024年6月</w:t>
      </w:r>
      <w:r>
        <w:rPr>
          <w:rFonts w:hint="eastAsia"/>
          <w:sz w:val="32"/>
          <w:szCs w:val="32"/>
        </w:rPr>
        <w:t>，指标完成率为100%。所设分值</w:t>
      </w:r>
      <w:r>
        <w:rPr>
          <w:rFonts w:hint="eastAsia"/>
          <w:sz w:val="32"/>
          <w:szCs w:val="32"/>
          <w:lang w:val="en-US" w:eastAsia="zh-CN"/>
        </w:rPr>
        <w:t>4</w:t>
      </w:r>
      <w:r>
        <w:rPr>
          <w:rFonts w:hint="eastAsia"/>
          <w:sz w:val="32"/>
          <w:szCs w:val="32"/>
        </w:rPr>
        <w:t>分，实际得分</w:t>
      </w:r>
      <w:r>
        <w:rPr>
          <w:rFonts w:hint="eastAsia"/>
          <w:sz w:val="32"/>
          <w:szCs w:val="32"/>
          <w:lang w:val="en-US" w:eastAsia="zh-CN"/>
        </w:rPr>
        <w:t>4</w:t>
      </w:r>
      <w:r>
        <w:rPr>
          <w:rFonts w:hint="eastAsia"/>
          <w:sz w:val="32"/>
          <w:szCs w:val="32"/>
        </w:rPr>
        <w:t>分。</w:t>
      </w:r>
    </w:p>
    <w:p w14:paraId="7BF749E0">
      <w:pPr>
        <w:pStyle w:val="11"/>
        <w:spacing w:line="560" w:lineRule="exact"/>
        <w:ind w:left="0" w:leftChars="0" w:right="0" w:rightChars="0" w:firstLine="640"/>
        <w:rPr>
          <w:sz w:val="32"/>
          <w:szCs w:val="32"/>
        </w:rPr>
      </w:pPr>
      <w:r>
        <w:rPr>
          <w:sz w:val="32"/>
          <w:szCs w:val="32"/>
        </w:rPr>
        <w:t>1.4项目成本节约情况</w:t>
      </w:r>
    </w:p>
    <w:p w14:paraId="3B2FD8F1">
      <w:pPr>
        <w:pStyle w:val="11"/>
        <w:spacing w:line="560" w:lineRule="exact"/>
        <w:ind w:left="0" w:leftChars="0" w:right="0" w:rightChars="0" w:firstLine="640"/>
        <w:rPr>
          <w:sz w:val="32"/>
          <w:szCs w:val="32"/>
        </w:rPr>
      </w:pPr>
      <w:r>
        <w:rPr>
          <w:rFonts w:hint="eastAsia"/>
          <w:sz w:val="32"/>
          <w:szCs w:val="32"/>
        </w:rPr>
        <w:t>为有效控制项目实施成本，我单位在实施项目前就该项目设定了成本控制指标，实施过程中我单位通过政府采购方式有效降低了项目执行成本，具体指标设置及完成情况如下：</w:t>
      </w:r>
    </w:p>
    <w:p w14:paraId="66140410">
      <w:pPr>
        <w:pStyle w:val="13"/>
        <w:spacing w:before="217"/>
        <w:ind w:firstLine="640"/>
        <w:rPr>
          <w:b w:val="0"/>
          <w:sz w:val="32"/>
        </w:rPr>
      </w:pPr>
      <w:r>
        <w:rPr>
          <w:rFonts w:hint="eastAsia"/>
          <w:b w:val="0"/>
          <w:sz w:val="32"/>
        </w:rPr>
        <w:t>“每公斤低氟茶采购成本”指标，预期指标值为</w:t>
      </w:r>
      <w:r>
        <w:rPr>
          <w:rFonts w:hint="eastAsia"/>
          <w:b w:val="0"/>
          <w:sz w:val="32"/>
          <w:lang w:eastAsia="zh-CN"/>
        </w:rPr>
        <w:t>小于等于</w:t>
      </w:r>
      <w:r>
        <w:rPr>
          <w:rFonts w:hint="eastAsia"/>
          <w:b w:val="0"/>
          <w:sz w:val="32"/>
          <w:lang w:val="en-US" w:eastAsia="zh-CN"/>
        </w:rPr>
        <w:t>29</w:t>
      </w:r>
      <w:r>
        <w:rPr>
          <w:rFonts w:hint="eastAsia"/>
          <w:b w:val="0"/>
          <w:sz w:val="32"/>
        </w:rPr>
        <w:t>元</w:t>
      </w:r>
      <w:r>
        <w:rPr>
          <w:rFonts w:hint="eastAsia"/>
          <w:b w:val="0"/>
          <w:sz w:val="32"/>
          <w:lang w:eastAsia="zh-CN"/>
        </w:rPr>
        <w:t>，</w:t>
      </w:r>
      <w:r>
        <w:rPr>
          <w:rFonts w:hint="eastAsia"/>
          <w:b w:val="0"/>
          <w:sz w:val="32"/>
        </w:rPr>
        <w:t xml:space="preserve"> 全年实际值为</w:t>
      </w:r>
      <w:r>
        <w:rPr>
          <w:rFonts w:hint="eastAsia"/>
          <w:b w:val="0"/>
          <w:sz w:val="32"/>
          <w:lang w:val="en-US" w:eastAsia="zh-CN"/>
        </w:rPr>
        <w:t>29</w:t>
      </w:r>
      <w:r>
        <w:rPr>
          <w:rFonts w:hint="eastAsia"/>
          <w:b w:val="0"/>
          <w:sz w:val="32"/>
        </w:rPr>
        <w:t>元，指标完成率为100%。所设分值</w:t>
      </w:r>
      <w:r>
        <w:rPr>
          <w:rFonts w:hint="eastAsia"/>
          <w:b w:val="0"/>
          <w:sz w:val="32"/>
          <w:lang w:val="en-US" w:eastAsia="zh-CN"/>
        </w:rPr>
        <w:t>5</w:t>
      </w:r>
      <w:r>
        <w:rPr>
          <w:rFonts w:hint="eastAsia"/>
          <w:b w:val="0"/>
          <w:sz w:val="32"/>
        </w:rPr>
        <w:t>分，实际得分</w:t>
      </w:r>
      <w:r>
        <w:rPr>
          <w:rFonts w:hint="eastAsia"/>
          <w:b w:val="0"/>
          <w:sz w:val="32"/>
          <w:lang w:val="en-US" w:eastAsia="zh-CN"/>
        </w:rPr>
        <w:t>5</w:t>
      </w:r>
      <w:r>
        <w:rPr>
          <w:rFonts w:hint="eastAsia"/>
          <w:b w:val="0"/>
          <w:sz w:val="32"/>
        </w:rPr>
        <w:t>分。</w:t>
      </w:r>
    </w:p>
    <w:p w14:paraId="2F9A2CD4">
      <w:pPr>
        <w:pStyle w:val="13"/>
        <w:spacing w:before="217"/>
        <w:ind w:firstLine="643"/>
        <w:rPr>
          <w:sz w:val="32"/>
        </w:rPr>
      </w:pPr>
      <w:r>
        <w:rPr>
          <w:rFonts w:hint="eastAsia"/>
          <w:sz w:val="32"/>
        </w:rPr>
        <w:t>2.效益指标完成情况分析</w:t>
      </w:r>
    </w:p>
    <w:p w14:paraId="52349888">
      <w:pPr>
        <w:pStyle w:val="11"/>
        <w:spacing w:line="560" w:lineRule="exact"/>
        <w:ind w:left="0" w:leftChars="0" w:right="0" w:rightChars="0" w:firstLine="640"/>
        <w:rPr>
          <w:sz w:val="32"/>
          <w:szCs w:val="32"/>
        </w:rPr>
      </w:pPr>
      <w:r>
        <w:rPr>
          <w:sz w:val="32"/>
          <w:szCs w:val="32"/>
        </w:rPr>
        <w:t>2.1</w:t>
      </w:r>
      <w:r>
        <w:rPr>
          <w:rFonts w:hint="eastAsia"/>
          <w:sz w:val="32"/>
          <w:szCs w:val="32"/>
        </w:rPr>
        <w:t>社会效益指标</w:t>
      </w:r>
    </w:p>
    <w:p w14:paraId="672F6C63">
      <w:pPr>
        <w:pStyle w:val="11"/>
        <w:spacing w:line="560" w:lineRule="exact"/>
        <w:ind w:left="0" w:leftChars="0" w:right="0" w:rightChars="0" w:firstLine="640"/>
        <w:rPr>
          <w:sz w:val="32"/>
          <w:szCs w:val="32"/>
        </w:rPr>
      </w:pPr>
      <w:r>
        <w:rPr>
          <w:rFonts w:hint="eastAsia"/>
          <w:sz w:val="32"/>
          <w:szCs w:val="32"/>
        </w:rPr>
        <w:t>“每户发放低氟茶数量</w:t>
      </w:r>
      <w:r>
        <w:rPr>
          <w:rFonts w:hint="eastAsia"/>
          <w:sz w:val="32"/>
          <w:szCs w:val="32"/>
          <w:lang w:eastAsia="zh-CN"/>
        </w:rPr>
        <w:t>”</w:t>
      </w:r>
      <w:r>
        <w:rPr>
          <w:rFonts w:hint="eastAsia"/>
          <w:sz w:val="32"/>
          <w:szCs w:val="32"/>
        </w:rPr>
        <w:t>指标，指标预期值为</w:t>
      </w:r>
      <w:r>
        <w:rPr>
          <w:rFonts w:hint="eastAsia"/>
          <w:sz w:val="32"/>
          <w:szCs w:val="32"/>
          <w:lang w:eastAsia="zh-CN"/>
        </w:rPr>
        <w:t>大于等于</w:t>
      </w:r>
      <w:r>
        <w:rPr>
          <w:rFonts w:hint="eastAsia"/>
          <w:sz w:val="32"/>
          <w:szCs w:val="32"/>
        </w:rPr>
        <w:t>2公斤，实际完成值为2公斤，指标完成率为100%。所设分值10分，实际得分10分。</w:t>
      </w:r>
    </w:p>
    <w:p w14:paraId="03E515A0">
      <w:pPr>
        <w:pStyle w:val="11"/>
        <w:spacing w:line="560" w:lineRule="exact"/>
        <w:ind w:left="0" w:leftChars="0" w:right="0" w:rightChars="0" w:firstLine="640"/>
        <w:rPr>
          <w:sz w:val="32"/>
          <w:szCs w:val="32"/>
        </w:rPr>
      </w:pPr>
      <w:r>
        <w:rPr>
          <w:rFonts w:hint="eastAsia"/>
          <w:sz w:val="32"/>
          <w:szCs w:val="32"/>
        </w:rPr>
        <w:t>“预防低氟慢性病”指标，指标预期值为有效预防，实际完成值为有效预防</w:t>
      </w:r>
      <w:r>
        <w:rPr>
          <w:rFonts w:hint="eastAsia"/>
          <w:sz w:val="32"/>
          <w:szCs w:val="32"/>
          <w:lang w:eastAsia="zh-CN"/>
        </w:rPr>
        <w:t>，</w:t>
      </w:r>
      <w:r>
        <w:rPr>
          <w:rFonts w:hint="eastAsia"/>
          <w:sz w:val="32"/>
          <w:szCs w:val="32"/>
        </w:rPr>
        <w:t>指标完成率为</w:t>
      </w:r>
      <w:r>
        <w:rPr>
          <w:sz w:val="32"/>
          <w:szCs w:val="32"/>
        </w:rPr>
        <w:t>100</w:t>
      </w:r>
      <w:r>
        <w:rPr>
          <w:rFonts w:hint="eastAsia"/>
          <w:sz w:val="32"/>
          <w:szCs w:val="32"/>
        </w:rPr>
        <w:t>%。所设分值10分，实际得分10分。</w:t>
      </w:r>
    </w:p>
    <w:p w14:paraId="7C175DB5">
      <w:pPr>
        <w:pStyle w:val="11"/>
        <w:spacing w:line="560" w:lineRule="exact"/>
        <w:ind w:left="0" w:leftChars="0" w:right="0" w:rightChars="0" w:firstLine="640"/>
        <w:rPr>
          <w:sz w:val="32"/>
          <w:szCs w:val="32"/>
        </w:rPr>
      </w:pPr>
      <w:r>
        <w:rPr>
          <w:sz w:val="32"/>
          <w:szCs w:val="32"/>
        </w:rPr>
        <w:t>2.</w:t>
      </w:r>
      <w:r>
        <w:rPr>
          <w:rFonts w:hint="eastAsia"/>
          <w:sz w:val="32"/>
          <w:szCs w:val="32"/>
        </w:rPr>
        <w:t>2可持续影响指标</w:t>
      </w:r>
    </w:p>
    <w:p w14:paraId="596E715C">
      <w:pPr>
        <w:pStyle w:val="11"/>
        <w:spacing w:line="560" w:lineRule="exact"/>
        <w:ind w:left="0" w:leftChars="0" w:right="0" w:rightChars="0" w:firstLine="640"/>
        <w:rPr>
          <w:rFonts w:hint="eastAsia"/>
          <w:sz w:val="32"/>
          <w:szCs w:val="32"/>
          <w:lang w:val="en-US" w:eastAsia="zh-CN"/>
        </w:rPr>
      </w:pPr>
      <w:r>
        <w:rPr>
          <w:rFonts w:hint="eastAsia"/>
          <w:sz w:val="32"/>
          <w:szCs w:val="32"/>
          <w:lang w:val="en-US" w:eastAsia="zh-CN"/>
        </w:rPr>
        <w:t>“引导群众提高对饮茶型地氟病的防治意识”指标，指标预期值为长期引导，实际完成值为长期引导，指标完成率为100%。所设分值10分，实际得分10分。</w:t>
      </w:r>
    </w:p>
    <w:p w14:paraId="33523FB2">
      <w:pPr>
        <w:pStyle w:val="13"/>
        <w:spacing w:before="217"/>
        <w:ind w:firstLine="643"/>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3.满意度指标完成情况分析</w:t>
      </w:r>
    </w:p>
    <w:p w14:paraId="10D2E44D">
      <w:pPr>
        <w:spacing w:line="560" w:lineRule="exact"/>
        <w:ind w:firstLine="624" w:firstLineChars="200"/>
        <w:rPr>
          <w:rFonts w:ascii="仿宋_GB2312" w:hAnsi="Times New Roman" w:eastAsia="仿宋_GB2312" w:cs="Times New Roman"/>
          <w:bCs/>
          <w:spacing w:val="-4"/>
          <w:szCs w:val="32"/>
        </w:rPr>
      </w:pPr>
      <w:r>
        <w:rPr>
          <w:rFonts w:hint="eastAsia" w:ascii="仿宋_GB2312" w:hAnsi="Times New Roman" w:eastAsia="仿宋_GB2312" w:cs="Times New Roman"/>
          <w:bCs/>
          <w:spacing w:val="-4"/>
          <w:szCs w:val="32"/>
        </w:rPr>
        <w:t>“受益脱贫不稳定满意度”指标，指标预期指标值为</w:t>
      </w:r>
      <w:r>
        <w:rPr>
          <w:rFonts w:hint="eastAsia" w:ascii="仿宋_GB2312" w:hAnsi="Times New Roman" w:eastAsia="仿宋_GB2312" w:cs="Times New Roman"/>
          <w:bCs/>
          <w:spacing w:val="-4"/>
          <w:szCs w:val="32"/>
          <w:lang w:eastAsia="zh-CN"/>
        </w:rPr>
        <w:t>大于等于</w:t>
      </w:r>
      <w:r>
        <w:rPr>
          <w:rFonts w:hint="eastAsia" w:ascii="仿宋_GB2312" w:hAnsi="Times New Roman" w:eastAsia="仿宋_GB2312" w:cs="Times New Roman"/>
          <w:bCs/>
          <w:spacing w:val="-4"/>
          <w:szCs w:val="32"/>
        </w:rPr>
        <w:t>95%，实际完成值为</w:t>
      </w:r>
      <w:r>
        <w:rPr>
          <w:rFonts w:hint="eastAsia" w:ascii="仿宋_GB2312" w:hAnsi="Times New Roman" w:eastAsia="仿宋_GB2312" w:cs="Times New Roman"/>
          <w:bCs/>
          <w:spacing w:val="-4"/>
          <w:szCs w:val="32"/>
          <w:lang w:val="en-US" w:eastAsia="zh-CN"/>
        </w:rPr>
        <w:t>100</w:t>
      </w:r>
      <w:r>
        <w:rPr>
          <w:rFonts w:hint="eastAsia" w:ascii="仿宋_GB2312" w:hAnsi="Times New Roman" w:eastAsia="仿宋_GB2312" w:cs="Times New Roman"/>
          <w:bCs/>
          <w:spacing w:val="-4"/>
          <w:szCs w:val="32"/>
        </w:rPr>
        <w:t>%，指标完成率为100%。所设分值</w:t>
      </w:r>
      <w:r>
        <w:rPr>
          <w:rFonts w:hint="eastAsia" w:ascii="仿宋_GB2312" w:hAnsi="Times New Roman" w:eastAsia="仿宋_GB2312" w:cs="Times New Roman"/>
          <w:bCs/>
          <w:spacing w:val="-4"/>
          <w:szCs w:val="32"/>
          <w:lang w:val="en-US" w:eastAsia="zh-CN"/>
        </w:rPr>
        <w:t>5</w:t>
      </w:r>
      <w:r>
        <w:rPr>
          <w:rFonts w:hint="eastAsia" w:ascii="仿宋_GB2312" w:hAnsi="Times New Roman" w:eastAsia="仿宋_GB2312" w:cs="Times New Roman"/>
          <w:bCs/>
          <w:spacing w:val="-4"/>
          <w:szCs w:val="32"/>
        </w:rPr>
        <w:t>分，实际得分</w:t>
      </w:r>
      <w:r>
        <w:rPr>
          <w:rFonts w:hint="eastAsia" w:ascii="仿宋_GB2312" w:hAnsi="Times New Roman" w:eastAsia="仿宋_GB2312" w:cs="Times New Roman"/>
          <w:bCs/>
          <w:spacing w:val="-4"/>
          <w:szCs w:val="32"/>
          <w:lang w:val="en-US" w:eastAsia="zh-CN"/>
        </w:rPr>
        <w:t>5</w:t>
      </w:r>
      <w:r>
        <w:rPr>
          <w:rFonts w:hint="eastAsia" w:ascii="仿宋_GB2312" w:hAnsi="Times New Roman" w:eastAsia="仿宋_GB2312" w:cs="Times New Roman"/>
          <w:bCs/>
          <w:spacing w:val="-4"/>
          <w:szCs w:val="32"/>
        </w:rPr>
        <w:t>分。</w:t>
      </w:r>
    </w:p>
    <w:p w14:paraId="3C09BE90">
      <w:pPr>
        <w:spacing w:line="560" w:lineRule="exact"/>
        <w:ind w:firstLine="624" w:firstLineChars="200"/>
        <w:rPr>
          <w:rFonts w:ascii="仿宋_GB2312" w:hAnsi="Times New Roman" w:eastAsia="仿宋_GB2312" w:cs="Times New Roman"/>
          <w:bCs/>
          <w:spacing w:val="-4"/>
          <w:szCs w:val="32"/>
        </w:rPr>
      </w:pPr>
      <w:r>
        <w:rPr>
          <w:rFonts w:hint="eastAsia" w:ascii="仿宋_GB2312" w:hAnsi="Times New Roman" w:eastAsia="仿宋_GB2312" w:cs="Times New Roman"/>
          <w:bCs/>
          <w:spacing w:val="-4"/>
          <w:szCs w:val="32"/>
        </w:rPr>
        <w:t>“受益一般户边缘易致贫满意度</w:t>
      </w:r>
      <w:bookmarkStart w:id="0" w:name="_GoBack"/>
      <w:bookmarkEnd w:id="0"/>
      <w:r>
        <w:rPr>
          <w:rFonts w:hint="eastAsia" w:ascii="仿宋_GB2312" w:hAnsi="Times New Roman" w:eastAsia="仿宋_GB2312" w:cs="Times New Roman"/>
          <w:bCs/>
          <w:spacing w:val="-4"/>
          <w:szCs w:val="32"/>
        </w:rPr>
        <w:t>”指标，指标预期指标值为</w:t>
      </w:r>
      <w:r>
        <w:rPr>
          <w:rFonts w:hint="eastAsia" w:ascii="仿宋_GB2312" w:hAnsi="Times New Roman" w:eastAsia="仿宋_GB2312" w:cs="Times New Roman"/>
          <w:bCs/>
          <w:spacing w:val="-4"/>
          <w:szCs w:val="32"/>
          <w:lang w:eastAsia="zh-CN"/>
        </w:rPr>
        <w:t>大于等于</w:t>
      </w:r>
      <w:r>
        <w:rPr>
          <w:rFonts w:hint="eastAsia" w:ascii="仿宋_GB2312" w:hAnsi="Times New Roman" w:eastAsia="仿宋_GB2312" w:cs="Times New Roman"/>
          <w:bCs/>
          <w:spacing w:val="-4"/>
          <w:szCs w:val="32"/>
        </w:rPr>
        <w:t>95%，实际完成值为</w:t>
      </w:r>
      <w:r>
        <w:rPr>
          <w:rFonts w:hint="eastAsia" w:ascii="仿宋_GB2312" w:hAnsi="Times New Roman" w:eastAsia="仿宋_GB2312" w:cs="Times New Roman"/>
          <w:bCs/>
          <w:spacing w:val="-4"/>
          <w:szCs w:val="32"/>
          <w:lang w:val="en-US" w:eastAsia="zh-CN"/>
        </w:rPr>
        <w:t>100</w:t>
      </w:r>
      <w:r>
        <w:rPr>
          <w:rFonts w:hint="eastAsia" w:ascii="仿宋_GB2312" w:hAnsi="Times New Roman" w:eastAsia="仿宋_GB2312" w:cs="Times New Roman"/>
          <w:bCs/>
          <w:spacing w:val="-4"/>
          <w:szCs w:val="32"/>
        </w:rPr>
        <w:t>%，指标完成率为100%。所设分值</w:t>
      </w:r>
      <w:r>
        <w:rPr>
          <w:rFonts w:hint="eastAsia" w:ascii="仿宋_GB2312" w:hAnsi="Times New Roman" w:eastAsia="仿宋_GB2312" w:cs="Times New Roman"/>
          <w:bCs/>
          <w:spacing w:val="-4"/>
          <w:szCs w:val="32"/>
          <w:lang w:val="en-US" w:eastAsia="zh-CN"/>
        </w:rPr>
        <w:t>5</w:t>
      </w:r>
      <w:r>
        <w:rPr>
          <w:rFonts w:hint="eastAsia" w:ascii="仿宋_GB2312" w:hAnsi="Times New Roman" w:eastAsia="仿宋_GB2312" w:cs="Times New Roman"/>
          <w:bCs/>
          <w:spacing w:val="-4"/>
          <w:szCs w:val="32"/>
        </w:rPr>
        <w:t>分，实际得分</w:t>
      </w:r>
      <w:r>
        <w:rPr>
          <w:rFonts w:hint="eastAsia" w:ascii="仿宋_GB2312" w:hAnsi="Times New Roman" w:eastAsia="仿宋_GB2312" w:cs="Times New Roman"/>
          <w:bCs/>
          <w:spacing w:val="-4"/>
          <w:szCs w:val="32"/>
          <w:lang w:val="en-US" w:eastAsia="zh-CN"/>
        </w:rPr>
        <w:t>5</w:t>
      </w:r>
      <w:r>
        <w:rPr>
          <w:rFonts w:hint="eastAsia" w:ascii="仿宋_GB2312" w:hAnsi="Times New Roman" w:eastAsia="仿宋_GB2312" w:cs="Times New Roman"/>
          <w:bCs/>
          <w:spacing w:val="-4"/>
          <w:szCs w:val="32"/>
        </w:rPr>
        <w:t>分。</w:t>
      </w:r>
    </w:p>
    <w:p w14:paraId="1F7F8995">
      <w:pPr>
        <w:pStyle w:val="11"/>
        <w:spacing w:line="560" w:lineRule="exact"/>
        <w:ind w:left="0" w:leftChars="0" w:right="3" w:firstLine="624"/>
        <w:rPr>
          <w:sz w:val="32"/>
          <w:szCs w:val="32"/>
        </w:rPr>
      </w:pPr>
      <w:r>
        <w:rPr>
          <w:rFonts w:hint="eastAsia" w:ascii="仿宋_GB2312"/>
          <w:color w:val="auto"/>
          <w:spacing w:val="-4"/>
          <w:sz w:val="32"/>
          <w:szCs w:val="32"/>
        </w:rPr>
        <w:t>项目实施完成后我单位就该项目的满意度采取抽样发放调查问卷的方式开展调查，通过对调查问卷的梳理和统计，受益建档一般户边缘易致贫户及受益建档立卡脱贫不稳定户满意度指标综合满意率为</w:t>
      </w:r>
      <w:r>
        <w:rPr>
          <w:rFonts w:hint="eastAsia" w:ascii="仿宋_GB2312"/>
          <w:color w:val="auto"/>
          <w:spacing w:val="-4"/>
          <w:sz w:val="32"/>
          <w:szCs w:val="32"/>
          <w:lang w:val="en-US" w:eastAsia="zh-CN"/>
        </w:rPr>
        <w:t>100</w:t>
      </w:r>
      <w:r>
        <w:rPr>
          <w:rFonts w:hint="eastAsia" w:ascii="仿宋_GB2312"/>
          <w:color w:val="auto"/>
          <w:spacing w:val="-4"/>
          <w:sz w:val="32"/>
          <w:szCs w:val="32"/>
        </w:rPr>
        <w:t>%。</w:t>
      </w:r>
    </w:p>
    <w:p w14:paraId="06BAC8A5">
      <w:pPr>
        <w:pStyle w:val="13"/>
        <w:spacing w:before="217"/>
        <w:ind w:firstLine="643"/>
        <w:rPr>
          <w:sz w:val="32"/>
        </w:rPr>
      </w:pPr>
      <w:r>
        <w:rPr>
          <w:rFonts w:hint="eastAsia"/>
          <w:sz w:val="32"/>
        </w:rPr>
        <w:t>四、偏离绩效目标的原因和下一步改进措施</w:t>
      </w:r>
    </w:p>
    <w:p w14:paraId="130D200F">
      <w:pPr>
        <w:pStyle w:val="13"/>
        <w:spacing w:before="217"/>
        <w:ind w:firstLine="640"/>
        <w:rPr>
          <w:b w:val="0"/>
          <w:sz w:val="32"/>
        </w:rPr>
      </w:pPr>
      <w:r>
        <w:rPr>
          <w:rFonts w:hint="eastAsia"/>
          <w:b w:val="0"/>
          <w:sz w:val="32"/>
        </w:rPr>
        <w:t>无。</w:t>
      </w:r>
    </w:p>
    <w:p w14:paraId="777513F4">
      <w:pPr>
        <w:pStyle w:val="13"/>
        <w:spacing w:before="217"/>
        <w:ind w:firstLine="643"/>
        <w:rPr>
          <w:b w:val="0"/>
          <w:sz w:val="32"/>
        </w:rPr>
      </w:pPr>
      <w:r>
        <w:rPr>
          <w:rFonts w:hint="eastAsia"/>
          <w:sz w:val="32"/>
        </w:rPr>
        <w:t>五、绩效自评结果拟应用和公开情况</w:t>
      </w:r>
    </w:p>
    <w:p w14:paraId="283704C6">
      <w:pPr>
        <w:pStyle w:val="11"/>
        <w:keepNext w:val="0"/>
        <w:keepLines w:val="0"/>
        <w:pageBreakBefore w:val="0"/>
        <w:widowControl w:val="0"/>
        <w:kinsoku/>
        <w:wordWrap/>
        <w:overflowPunct/>
        <w:topLinePunct w:val="0"/>
        <w:autoSpaceDE/>
        <w:autoSpaceDN/>
        <w:bidi w:val="0"/>
        <w:adjustRightInd/>
        <w:snapToGrid w:val="0"/>
        <w:spacing w:line="540" w:lineRule="exact"/>
        <w:ind w:left="3" w:right="3" w:firstLine="640"/>
        <w:textAlignment w:val="auto"/>
        <w:rPr>
          <w:rFonts w:ascii="仿宋_GB2312"/>
          <w:spacing w:val="-4"/>
          <w:sz w:val="32"/>
          <w:szCs w:val="32"/>
        </w:rPr>
      </w:pPr>
      <w:r>
        <w:rPr>
          <w:rFonts w:hint="eastAsia" w:ascii="仿宋_GB2312"/>
          <w:sz w:val="32"/>
          <w:szCs w:val="32"/>
        </w:rPr>
        <w:t>项目本次评价通过文件研读、实地调研、数据采集、问卷调查方式下，全面了解《于田县</w:t>
      </w:r>
      <w:r>
        <w:rPr>
          <w:rFonts w:hint="eastAsia" w:ascii="仿宋_GB2312"/>
          <w:sz w:val="32"/>
          <w:szCs w:val="32"/>
          <w:lang w:eastAsia="zh-CN"/>
        </w:rPr>
        <w:t>于田县2024年困难群众饮用低氟边销茶项目</w:t>
      </w:r>
      <w:r>
        <w:rPr>
          <w:rFonts w:hint="eastAsia" w:ascii="仿宋_GB2312"/>
          <w:sz w:val="32"/>
          <w:szCs w:val="32"/>
        </w:rPr>
        <w:t>》资金的使用效率和效果，从而得出以下综合评价结论：在绩效目标方面，本项目共设置一级指标3个，二级指标7个，三级指标1</w:t>
      </w:r>
      <w:r>
        <w:rPr>
          <w:rFonts w:hint="eastAsia" w:ascii="仿宋_GB2312"/>
          <w:sz w:val="32"/>
          <w:szCs w:val="32"/>
          <w:lang w:val="en-US" w:eastAsia="zh-CN"/>
        </w:rPr>
        <w:t>6</w:t>
      </w:r>
      <w:r>
        <w:rPr>
          <w:rFonts w:hint="eastAsia" w:ascii="仿宋_GB2312"/>
          <w:sz w:val="32"/>
          <w:szCs w:val="32"/>
        </w:rPr>
        <w:t>个，其中已完成三级指标1</w:t>
      </w:r>
      <w:r>
        <w:rPr>
          <w:rFonts w:hint="eastAsia" w:ascii="仿宋_GB2312"/>
          <w:sz w:val="32"/>
          <w:szCs w:val="32"/>
          <w:lang w:val="en-US" w:eastAsia="zh-CN"/>
        </w:rPr>
        <w:t>6</w:t>
      </w:r>
      <w:r>
        <w:rPr>
          <w:rFonts w:hint="eastAsia" w:ascii="仿宋_GB2312"/>
          <w:sz w:val="32"/>
          <w:szCs w:val="32"/>
        </w:rPr>
        <w:t>个，指标完成率为100%；在资金使用方面，严格按照《于田县</w:t>
      </w:r>
      <w:r>
        <w:rPr>
          <w:rFonts w:hint="eastAsia" w:ascii="仿宋_GB2312"/>
          <w:sz w:val="32"/>
          <w:szCs w:val="32"/>
          <w:lang w:val="en-US" w:eastAsia="zh-CN"/>
        </w:rPr>
        <w:t>衔接</w:t>
      </w:r>
      <w:r>
        <w:rPr>
          <w:rFonts w:hint="eastAsia" w:ascii="仿宋_GB2312"/>
          <w:sz w:val="32"/>
          <w:szCs w:val="32"/>
        </w:rPr>
        <w:t>资金财务管理制度》、《于田县委统战部财务管理制度》执行，保障了资金使用规范、安全，无挪用、截留资金的情况发生。在项目管理方面，制定了《于田县</w:t>
      </w:r>
      <w:r>
        <w:rPr>
          <w:rFonts w:hint="eastAsia" w:ascii="仿宋_GB2312"/>
          <w:sz w:val="32"/>
          <w:szCs w:val="32"/>
          <w:lang w:eastAsia="zh-CN"/>
        </w:rPr>
        <w:t>于田县2024年困难群众饮用低氟边销茶项目</w:t>
      </w:r>
      <w:r>
        <w:rPr>
          <w:rFonts w:hint="eastAsia" w:ascii="仿宋_GB2312"/>
          <w:sz w:val="32"/>
          <w:szCs w:val="32"/>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2732B288">
      <w:pPr>
        <w:pStyle w:val="11"/>
        <w:keepNext w:val="0"/>
        <w:keepLines w:val="0"/>
        <w:pageBreakBefore w:val="0"/>
        <w:widowControl w:val="0"/>
        <w:kinsoku/>
        <w:wordWrap/>
        <w:overflowPunct/>
        <w:topLinePunct w:val="0"/>
        <w:autoSpaceDE/>
        <w:autoSpaceDN/>
        <w:bidi w:val="0"/>
        <w:adjustRightInd/>
        <w:snapToGrid w:val="0"/>
        <w:spacing w:line="540" w:lineRule="exact"/>
        <w:ind w:left="3" w:right="3" w:firstLine="624"/>
        <w:textAlignment w:val="auto"/>
        <w:rPr>
          <w:rStyle w:val="10"/>
          <w:rFonts w:ascii="楷体_GB2312" w:hAnsi="楷体"/>
          <w:b w:val="0"/>
          <w:spacing w:val="-4"/>
          <w:sz w:val="32"/>
          <w:szCs w:val="32"/>
        </w:rPr>
      </w:pPr>
      <w:r>
        <w:rPr>
          <w:rStyle w:val="10"/>
          <w:rFonts w:hint="eastAsia" w:ascii="楷体_GB2312" w:hAnsi="楷体"/>
          <w:b w:val="0"/>
          <w:spacing w:val="-4"/>
          <w:sz w:val="32"/>
          <w:szCs w:val="32"/>
        </w:rPr>
        <w:t>项目最终得分为100 分，评价等级为优。</w:t>
      </w:r>
    </w:p>
    <w:p w14:paraId="4940ED6E">
      <w:pPr>
        <w:pStyle w:val="11"/>
        <w:spacing w:line="560" w:lineRule="exact"/>
        <w:ind w:left="3" w:right="3" w:firstLine="627"/>
        <w:rPr>
          <w:rStyle w:val="10"/>
          <w:rFonts w:ascii="楷体_GB2312" w:hAnsi="楷体"/>
          <w:spacing w:val="-4"/>
          <w:sz w:val="32"/>
          <w:szCs w:val="32"/>
        </w:rPr>
      </w:pPr>
      <w:r>
        <w:rPr>
          <w:rStyle w:val="10"/>
          <w:rFonts w:hint="eastAsia" w:ascii="楷体_GB2312" w:hAnsi="楷体"/>
          <w:spacing w:val="-4"/>
          <w:sz w:val="32"/>
          <w:szCs w:val="32"/>
        </w:rPr>
        <w:t>（一）绩效自评结果拟应用情况</w:t>
      </w:r>
    </w:p>
    <w:p w14:paraId="5A66859C">
      <w:pPr>
        <w:pStyle w:val="11"/>
        <w:keepNext w:val="0"/>
        <w:keepLines w:val="0"/>
        <w:pageBreakBefore w:val="0"/>
        <w:widowControl w:val="0"/>
        <w:kinsoku/>
        <w:wordWrap/>
        <w:overflowPunct/>
        <w:topLinePunct w:val="0"/>
        <w:autoSpaceDE/>
        <w:autoSpaceDN/>
        <w:bidi w:val="0"/>
        <w:adjustRightInd/>
        <w:spacing w:line="540" w:lineRule="exact"/>
        <w:ind w:left="3" w:right="3" w:firstLine="640"/>
        <w:textAlignment w:val="auto"/>
        <w:rPr>
          <w:rFonts w:ascii="仿宋_GB2312"/>
          <w:sz w:val="32"/>
          <w:szCs w:val="32"/>
        </w:rPr>
      </w:pPr>
      <w:r>
        <w:rPr>
          <w:rFonts w:hint="eastAsia" w:ascii="仿宋_GB2312"/>
          <w:sz w:val="32"/>
          <w:szCs w:val="32"/>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3E0CDB04">
      <w:pPr>
        <w:keepNext w:val="0"/>
        <w:keepLines w:val="0"/>
        <w:pageBreakBefore w:val="0"/>
        <w:widowControl w:val="0"/>
        <w:kinsoku/>
        <w:wordWrap/>
        <w:overflowPunct/>
        <w:topLinePunct w:val="0"/>
        <w:autoSpaceDE/>
        <w:autoSpaceDN/>
        <w:bidi w:val="0"/>
        <w:adjustRightInd/>
        <w:spacing w:line="540" w:lineRule="exact"/>
        <w:ind w:firstLine="627" w:firstLineChars="200"/>
        <w:textAlignment w:val="auto"/>
        <w:rPr>
          <w:rStyle w:val="10"/>
          <w:rFonts w:ascii="楷体_GB2312" w:hAnsi="楷体" w:cs="Times New Roman"/>
          <w:spacing w:val="-4"/>
          <w:szCs w:val="32"/>
        </w:rPr>
      </w:pPr>
      <w:r>
        <w:rPr>
          <w:rStyle w:val="10"/>
          <w:rFonts w:hint="eastAsia" w:ascii="楷体_GB2312" w:hAnsi="楷体" w:cs="Times New Roman"/>
          <w:spacing w:val="-4"/>
          <w:szCs w:val="32"/>
        </w:rPr>
        <w:t>（二）指标佐证材料说明</w:t>
      </w:r>
    </w:p>
    <w:p w14:paraId="3E79663C">
      <w:pPr>
        <w:keepNext w:val="0"/>
        <w:keepLines w:val="0"/>
        <w:pageBreakBefore w:val="0"/>
        <w:widowControl w:val="0"/>
        <w:tabs>
          <w:tab w:val="center" w:pos="4153"/>
        </w:tabs>
        <w:kinsoku/>
        <w:wordWrap/>
        <w:overflowPunct/>
        <w:topLinePunct w:val="0"/>
        <w:autoSpaceDE/>
        <w:autoSpaceDN/>
        <w:bidi w:val="0"/>
        <w:adjustRightInd/>
        <w:spacing w:line="540" w:lineRule="exact"/>
        <w:ind w:firstLine="560"/>
        <w:textAlignment w:val="auto"/>
        <w:rPr>
          <w:rFonts w:ascii="仿宋_GB2312" w:hAnsi="Times New Roman" w:eastAsia="仿宋_GB2312" w:cs="Times New Roman"/>
          <w:color w:val="000000"/>
          <w:szCs w:val="32"/>
        </w:rPr>
      </w:pPr>
      <w:r>
        <w:rPr>
          <w:rFonts w:hint="eastAsia" w:ascii="仿宋_GB2312" w:hAnsi="Times New Roman" w:eastAsia="仿宋_GB2312" w:cs="Times New Roman"/>
          <w:b/>
          <w:color w:val="000000"/>
          <w:szCs w:val="32"/>
        </w:rPr>
        <w:t>项目状况：</w:t>
      </w:r>
      <w:r>
        <w:rPr>
          <w:rFonts w:hint="eastAsia" w:ascii="仿宋_GB2312" w:hAnsi="Times New Roman" w:eastAsia="仿宋_GB2312" w:cs="Times New Roman"/>
          <w:color w:val="000000"/>
          <w:szCs w:val="32"/>
        </w:rPr>
        <w:t>该项目由于田县民宗局负责项目的实施方案，并由于田县民族宗教事务局，于田县财政局审核后下发了</w:t>
      </w:r>
      <w:r>
        <w:rPr>
          <w:rFonts w:hint="eastAsia" w:ascii="仿宋_GB2312" w:hAnsi="Times New Roman" w:cs="Times New Roman"/>
          <w:szCs w:val="32"/>
        </w:rPr>
        <w:t>《</w:t>
      </w:r>
      <w:r>
        <w:rPr>
          <w:rFonts w:hint="eastAsia" w:ascii="仿宋_GB2312" w:hAnsi="Times New Roman" w:eastAsia="仿宋_GB2312" w:cs="Times New Roman"/>
          <w:color w:val="000000"/>
          <w:szCs w:val="32"/>
        </w:rPr>
        <w:t>关于于田县困难群众饮用低氟边销茶实施方案的批复</w:t>
      </w:r>
      <w:r>
        <w:rPr>
          <w:rFonts w:hint="eastAsia" w:ascii="仿宋_GB2312" w:hAnsi="Times New Roman" w:cs="Times New Roman"/>
          <w:szCs w:val="32"/>
        </w:rPr>
        <w:t>》</w:t>
      </w:r>
      <w:r>
        <w:rPr>
          <w:rFonts w:hint="eastAsia" w:ascii="仿宋_GB2312" w:hAnsi="Times New Roman" w:eastAsia="仿宋_GB2312" w:cs="Times New Roman"/>
          <w:color w:val="000000"/>
          <w:szCs w:val="32"/>
        </w:rPr>
        <w:t>（于民宗发〔202</w:t>
      </w:r>
      <w:r>
        <w:rPr>
          <w:rFonts w:hint="eastAsia" w:ascii="仿宋_GB2312" w:hAnsi="Times New Roman" w:eastAsia="仿宋_GB2312" w:cs="Times New Roman"/>
          <w:color w:val="000000"/>
          <w:szCs w:val="32"/>
          <w:lang w:val="en-US" w:eastAsia="zh-CN"/>
        </w:rPr>
        <w:t>4</w:t>
      </w:r>
      <w:r>
        <w:rPr>
          <w:rFonts w:hint="eastAsia" w:ascii="仿宋_GB2312" w:hAnsi="Times New Roman" w:eastAsia="仿宋_GB2312" w:cs="Times New Roman"/>
          <w:color w:val="000000"/>
          <w:szCs w:val="32"/>
        </w:rPr>
        <w:t>〕</w:t>
      </w:r>
      <w:r>
        <w:rPr>
          <w:rFonts w:hint="eastAsia" w:ascii="仿宋_GB2312" w:hAnsi="Times New Roman" w:eastAsia="仿宋_GB2312" w:cs="Times New Roman"/>
          <w:color w:val="000000"/>
          <w:szCs w:val="32"/>
          <w:lang w:val="en-US" w:eastAsia="zh-CN"/>
        </w:rPr>
        <w:t>03</w:t>
      </w:r>
      <w:r>
        <w:rPr>
          <w:rFonts w:hint="eastAsia" w:ascii="仿宋_GB2312" w:hAnsi="Times New Roman" w:eastAsia="仿宋_GB2312" w:cs="Times New Roman"/>
          <w:color w:val="000000"/>
          <w:szCs w:val="32"/>
        </w:rPr>
        <w:t>号）。</w:t>
      </w:r>
    </w:p>
    <w:p w14:paraId="50CD1A59">
      <w:pPr>
        <w:keepNext w:val="0"/>
        <w:keepLines w:val="0"/>
        <w:pageBreakBefore w:val="0"/>
        <w:widowControl w:val="0"/>
        <w:tabs>
          <w:tab w:val="center" w:pos="4153"/>
        </w:tabs>
        <w:kinsoku/>
        <w:wordWrap/>
        <w:overflowPunct/>
        <w:topLinePunct w:val="0"/>
        <w:autoSpaceDE/>
        <w:autoSpaceDN/>
        <w:bidi w:val="0"/>
        <w:adjustRightInd/>
        <w:spacing w:line="540" w:lineRule="exact"/>
        <w:ind w:firstLine="560"/>
        <w:textAlignment w:val="auto"/>
        <w:rPr>
          <w:rFonts w:ascii="仿宋_GB2312" w:hAnsi="Times New Roman" w:eastAsia="仿宋_GB2312" w:cs="Times New Roman"/>
          <w:color w:val="000000"/>
          <w:szCs w:val="32"/>
        </w:rPr>
      </w:pPr>
      <w:r>
        <w:rPr>
          <w:rFonts w:hint="eastAsia" w:ascii="仿宋_GB2312" w:hAnsi="Times New Roman" w:eastAsia="仿宋_GB2312" w:cs="Times New Roman"/>
          <w:b/>
          <w:color w:val="000000"/>
          <w:szCs w:val="32"/>
        </w:rPr>
        <w:t>资金状况：</w:t>
      </w:r>
      <w:r>
        <w:rPr>
          <w:rFonts w:hint="eastAsia" w:ascii="仿宋_GB2312" w:hAnsi="Times New Roman" w:eastAsia="仿宋_GB2312" w:cs="Times New Roman"/>
          <w:color w:val="000000"/>
          <w:szCs w:val="32"/>
        </w:rPr>
        <w:t>预算资金来源为乡村振兴衔接资金（少数民族发展资金），文件依据：</w:t>
      </w:r>
      <w:r>
        <w:rPr>
          <w:rFonts w:hint="eastAsia" w:ascii="仿宋_GB2312" w:hAnsi="Times New Roman" w:cs="Times New Roman"/>
          <w:szCs w:val="32"/>
        </w:rPr>
        <w:t>《</w:t>
      </w:r>
      <w:r>
        <w:rPr>
          <w:rFonts w:hint="eastAsia" w:ascii="仿宋_GB2312" w:hAnsi="Times New Roman" w:eastAsia="仿宋_GB2312" w:cs="Times New Roman"/>
          <w:color w:val="000000"/>
          <w:szCs w:val="32"/>
        </w:rPr>
        <w:t>关于于田县困难群众饮用低氟边销茶实施方案的批复</w:t>
      </w:r>
      <w:r>
        <w:rPr>
          <w:rFonts w:hint="eastAsia" w:ascii="仿宋_GB2312" w:hAnsi="Times New Roman" w:cs="Times New Roman"/>
          <w:szCs w:val="32"/>
        </w:rPr>
        <w:t>》</w:t>
      </w:r>
      <w:r>
        <w:rPr>
          <w:rFonts w:hint="eastAsia" w:ascii="仿宋_GB2312" w:hAnsi="Times New Roman" w:eastAsia="仿宋_GB2312" w:cs="Times New Roman"/>
          <w:color w:val="000000"/>
          <w:szCs w:val="32"/>
        </w:rPr>
        <w:t>（于民宗发〔202</w:t>
      </w:r>
      <w:r>
        <w:rPr>
          <w:rFonts w:hint="eastAsia" w:ascii="仿宋_GB2312" w:hAnsi="Times New Roman" w:eastAsia="仿宋_GB2312" w:cs="Times New Roman"/>
          <w:color w:val="000000"/>
          <w:szCs w:val="32"/>
          <w:lang w:val="en-US" w:eastAsia="zh-CN"/>
        </w:rPr>
        <w:t>4</w:t>
      </w:r>
      <w:r>
        <w:rPr>
          <w:rFonts w:hint="eastAsia" w:ascii="仿宋_GB2312" w:hAnsi="Times New Roman" w:eastAsia="仿宋_GB2312" w:cs="Times New Roman"/>
          <w:color w:val="000000"/>
          <w:szCs w:val="32"/>
        </w:rPr>
        <w:t>〕</w:t>
      </w:r>
      <w:r>
        <w:rPr>
          <w:rFonts w:hint="eastAsia" w:ascii="仿宋_GB2312" w:hAnsi="Times New Roman" w:eastAsia="仿宋_GB2312" w:cs="Times New Roman"/>
          <w:color w:val="000000"/>
          <w:szCs w:val="32"/>
          <w:lang w:val="en-US" w:eastAsia="zh-CN"/>
        </w:rPr>
        <w:t>03</w:t>
      </w:r>
      <w:r>
        <w:rPr>
          <w:rFonts w:hint="eastAsia" w:ascii="仿宋_GB2312" w:hAnsi="Times New Roman" w:eastAsia="仿宋_GB2312" w:cs="Times New Roman"/>
          <w:color w:val="000000"/>
          <w:szCs w:val="32"/>
        </w:rPr>
        <w:t>号）</w:t>
      </w:r>
    </w:p>
    <w:p w14:paraId="63769E68">
      <w:pPr>
        <w:keepNext w:val="0"/>
        <w:keepLines w:val="0"/>
        <w:pageBreakBefore w:val="0"/>
        <w:widowControl w:val="0"/>
        <w:tabs>
          <w:tab w:val="center" w:pos="4153"/>
        </w:tabs>
        <w:kinsoku/>
        <w:wordWrap/>
        <w:overflowPunct/>
        <w:topLinePunct w:val="0"/>
        <w:autoSpaceDE/>
        <w:autoSpaceDN/>
        <w:bidi w:val="0"/>
        <w:adjustRightInd/>
        <w:spacing w:line="540" w:lineRule="exact"/>
        <w:ind w:firstLine="560"/>
        <w:textAlignment w:val="auto"/>
        <w:rPr>
          <w:rFonts w:ascii="仿宋_GB2312" w:hAnsi="Times New Roman" w:eastAsia="仿宋_GB2312" w:cs="Times New Roman"/>
          <w:color w:val="000000"/>
          <w:szCs w:val="32"/>
        </w:rPr>
      </w:pPr>
      <w:r>
        <w:rPr>
          <w:rFonts w:hint="eastAsia" w:ascii="仿宋_GB2312" w:eastAsia="仿宋_GB2312" w:cs="Times New Roman"/>
          <w:b/>
          <w:szCs w:val="32"/>
        </w:rPr>
        <w:t>过程状况：</w:t>
      </w:r>
      <w:r>
        <w:rPr>
          <w:rFonts w:hint="eastAsia" w:ascii="仿宋_GB2312" w:hAnsi="Times New Roman" w:eastAsia="仿宋_GB2312" w:cs="Times New Roman"/>
          <w:color w:val="000000"/>
          <w:szCs w:val="32"/>
        </w:rPr>
        <w:t>该项目于202</w:t>
      </w:r>
      <w:r>
        <w:rPr>
          <w:rFonts w:hint="eastAsia" w:ascii="仿宋_GB2312" w:hAnsi="Times New Roman" w:eastAsia="仿宋_GB2312" w:cs="Times New Roman"/>
          <w:color w:val="000000"/>
          <w:szCs w:val="32"/>
          <w:lang w:val="en-US" w:eastAsia="zh-CN"/>
        </w:rPr>
        <w:t>4</w:t>
      </w:r>
      <w:r>
        <w:rPr>
          <w:rFonts w:hint="eastAsia" w:ascii="仿宋_GB2312" w:hAnsi="Times New Roman" w:eastAsia="仿宋_GB2312" w:cs="Times New Roman"/>
          <w:color w:val="000000"/>
          <w:szCs w:val="32"/>
        </w:rPr>
        <w:t>年</w:t>
      </w:r>
      <w:r>
        <w:rPr>
          <w:rFonts w:hint="eastAsia" w:ascii="仿宋_GB2312" w:hAnsi="Times New Roman" w:eastAsia="仿宋_GB2312" w:cs="Times New Roman"/>
          <w:color w:val="000000"/>
          <w:szCs w:val="32"/>
          <w:lang w:val="en-US" w:eastAsia="zh-CN"/>
        </w:rPr>
        <w:t>3</w:t>
      </w:r>
      <w:r>
        <w:rPr>
          <w:rFonts w:hint="eastAsia" w:ascii="仿宋_GB2312" w:hAnsi="Times New Roman" w:eastAsia="仿宋_GB2312" w:cs="Times New Roman"/>
          <w:color w:val="000000"/>
          <w:szCs w:val="32"/>
        </w:rPr>
        <w:t>月制订实施方案并得到批复，202</w:t>
      </w:r>
      <w:r>
        <w:rPr>
          <w:rFonts w:hint="eastAsia" w:ascii="仿宋_GB2312" w:hAnsi="Times New Roman" w:eastAsia="仿宋_GB2312" w:cs="Times New Roman"/>
          <w:color w:val="000000"/>
          <w:szCs w:val="32"/>
          <w:lang w:val="en-US" w:eastAsia="zh-CN"/>
        </w:rPr>
        <w:t>3</w:t>
      </w:r>
      <w:r>
        <w:rPr>
          <w:rFonts w:hint="eastAsia" w:ascii="仿宋_GB2312" w:hAnsi="Times New Roman" w:eastAsia="仿宋_GB2312" w:cs="Times New Roman"/>
          <w:color w:val="000000"/>
          <w:szCs w:val="32"/>
        </w:rPr>
        <w:t>年</w:t>
      </w:r>
      <w:r>
        <w:rPr>
          <w:rFonts w:hint="eastAsia" w:ascii="仿宋_GB2312" w:hAnsi="Times New Roman" w:eastAsia="仿宋_GB2312" w:cs="Times New Roman"/>
          <w:color w:val="000000"/>
          <w:szCs w:val="32"/>
          <w:lang w:val="en-US" w:eastAsia="zh-CN"/>
        </w:rPr>
        <w:t>3</w:t>
      </w:r>
      <w:r>
        <w:rPr>
          <w:rFonts w:hint="eastAsia" w:ascii="仿宋_GB2312" w:hAnsi="Times New Roman" w:eastAsia="仿宋_GB2312" w:cs="Times New Roman"/>
          <w:color w:val="000000"/>
          <w:szCs w:val="32"/>
        </w:rPr>
        <w:t>月</w:t>
      </w:r>
      <w:r>
        <w:rPr>
          <w:rFonts w:hint="eastAsia" w:ascii="仿宋_GB2312" w:hAnsi="Times New Roman" w:eastAsia="仿宋_GB2312" w:cs="Times New Roman"/>
          <w:color w:val="000000"/>
          <w:szCs w:val="32"/>
          <w:lang w:val="en-US" w:eastAsia="zh-CN"/>
        </w:rPr>
        <w:t>21</w:t>
      </w:r>
      <w:r>
        <w:rPr>
          <w:rFonts w:hint="eastAsia" w:ascii="仿宋_GB2312" w:hAnsi="Times New Roman" w:eastAsia="仿宋_GB2312" w:cs="Times New Roman"/>
          <w:color w:val="000000"/>
          <w:szCs w:val="32"/>
        </w:rPr>
        <w:t>日签订合同，通过政采云购买低氟边销茶，茶叶于202</w:t>
      </w:r>
      <w:r>
        <w:rPr>
          <w:rFonts w:hint="eastAsia" w:ascii="仿宋_GB2312" w:hAnsi="Times New Roman" w:eastAsia="仿宋_GB2312" w:cs="Times New Roman"/>
          <w:color w:val="000000"/>
          <w:szCs w:val="32"/>
          <w:lang w:val="en-US" w:eastAsia="zh-CN"/>
        </w:rPr>
        <w:t>4</w:t>
      </w:r>
      <w:r>
        <w:rPr>
          <w:rFonts w:hint="eastAsia" w:ascii="仿宋_GB2312" w:hAnsi="Times New Roman" w:eastAsia="仿宋_GB2312" w:cs="Times New Roman"/>
          <w:color w:val="000000"/>
          <w:szCs w:val="32"/>
        </w:rPr>
        <w:t>年</w:t>
      </w:r>
      <w:r>
        <w:rPr>
          <w:rFonts w:hint="eastAsia" w:ascii="仿宋_GB2312" w:hAnsi="Times New Roman" w:eastAsia="仿宋_GB2312" w:cs="Times New Roman"/>
          <w:color w:val="000000"/>
          <w:szCs w:val="32"/>
          <w:lang w:val="en-US" w:eastAsia="zh-CN"/>
        </w:rPr>
        <w:t>5</w:t>
      </w:r>
      <w:r>
        <w:rPr>
          <w:rFonts w:hint="eastAsia" w:ascii="仿宋_GB2312" w:hAnsi="Times New Roman" w:eastAsia="仿宋_GB2312" w:cs="Times New Roman"/>
          <w:color w:val="000000"/>
          <w:szCs w:val="32"/>
        </w:rPr>
        <w:t>月</w:t>
      </w:r>
      <w:r>
        <w:rPr>
          <w:rFonts w:hint="eastAsia" w:ascii="仿宋_GB2312" w:hAnsi="Times New Roman" w:eastAsia="仿宋_GB2312" w:cs="Times New Roman"/>
          <w:color w:val="000000"/>
          <w:szCs w:val="32"/>
          <w:lang w:val="en-US" w:eastAsia="zh-CN"/>
        </w:rPr>
        <w:t>15</w:t>
      </w:r>
      <w:r>
        <w:rPr>
          <w:rFonts w:hint="eastAsia" w:ascii="仿宋_GB2312" w:hAnsi="Times New Roman" w:eastAsia="仿宋_GB2312" w:cs="Times New Roman"/>
          <w:color w:val="000000"/>
          <w:szCs w:val="32"/>
        </w:rPr>
        <w:t>日之前全部发放完毕，项目在202</w:t>
      </w:r>
      <w:r>
        <w:rPr>
          <w:rFonts w:hint="eastAsia" w:ascii="仿宋_GB2312" w:hAnsi="Times New Roman" w:eastAsia="仿宋_GB2312" w:cs="Times New Roman"/>
          <w:color w:val="000000"/>
          <w:szCs w:val="32"/>
          <w:lang w:val="en-US" w:eastAsia="zh-CN"/>
        </w:rPr>
        <w:t>4</w:t>
      </w:r>
      <w:r>
        <w:rPr>
          <w:rFonts w:hint="eastAsia" w:ascii="仿宋_GB2312" w:hAnsi="Times New Roman" w:eastAsia="仿宋_GB2312" w:cs="Times New Roman"/>
          <w:color w:val="000000"/>
          <w:szCs w:val="32"/>
        </w:rPr>
        <w:t>年</w:t>
      </w:r>
      <w:r>
        <w:rPr>
          <w:rFonts w:hint="eastAsia" w:ascii="仿宋_GB2312" w:hAnsi="Times New Roman" w:eastAsia="仿宋_GB2312" w:cs="Times New Roman"/>
          <w:color w:val="000000"/>
          <w:szCs w:val="32"/>
          <w:lang w:val="en-US" w:eastAsia="zh-CN"/>
        </w:rPr>
        <w:t>5</w:t>
      </w:r>
      <w:r>
        <w:rPr>
          <w:rFonts w:hint="eastAsia" w:ascii="仿宋_GB2312" w:hAnsi="Times New Roman" w:eastAsia="仿宋_GB2312" w:cs="Times New Roman"/>
          <w:color w:val="000000"/>
          <w:szCs w:val="32"/>
        </w:rPr>
        <w:t>月</w:t>
      </w:r>
      <w:r>
        <w:rPr>
          <w:rFonts w:hint="eastAsia" w:ascii="仿宋_GB2312" w:hAnsi="Times New Roman" w:eastAsia="仿宋_GB2312" w:cs="Times New Roman"/>
          <w:color w:val="000000"/>
          <w:szCs w:val="32"/>
          <w:lang w:val="en-US" w:eastAsia="zh-CN"/>
        </w:rPr>
        <w:t>17</w:t>
      </w:r>
      <w:r>
        <w:rPr>
          <w:rFonts w:hint="eastAsia" w:ascii="仿宋_GB2312" w:hAnsi="Times New Roman" w:eastAsia="仿宋_GB2312" w:cs="Times New Roman"/>
          <w:color w:val="000000"/>
          <w:szCs w:val="32"/>
        </w:rPr>
        <w:t>日之前验收完毕。</w:t>
      </w:r>
    </w:p>
    <w:p w14:paraId="641A4C04">
      <w:pPr>
        <w:pStyle w:val="11"/>
        <w:keepNext w:val="0"/>
        <w:keepLines w:val="0"/>
        <w:pageBreakBefore w:val="0"/>
        <w:widowControl w:val="0"/>
        <w:kinsoku/>
        <w:wordWrap/>
        <w:overflowPunct/>
        <w:topLinePunct w:val="0"/>
        <w:autoSpaceDE/>
        <w:autoSpaceDN/>
        <w:bidi w:val="0"/>
        <w:adjustRightInd/>
        <w:spacing w:line="540" w:lineRule="exact"/>
        <w:ind w:left="3" w:right="3" w:firstLine="643"/>
        <w:textAlignment w:val="auto"/>
        <w:rPr>
          <w:rFonts w:ascii="仿宋_GB2312"/>
          <w:sz w:val="32"/>
          <w:szCs w:val="32"/>
          <w:u w:color="000000"/>
        </w:rPr>
      </w:pPr>
      <w:r>
        <w:rPr>
          <w:rFonts w:hint="eastAsia" w:ascii="仿宋_GB2312"/>
          <w:b/>
          <w:sz w:val="32"/>
          <w:szCs w:val="32"/>
        </w:rPr>
        <w:t>结果状况：</w:t>
      </w:r>
      <w:r>
        <w:rPr>
          <w:rFonts w:hint="eastAsia" w:ascii="仿宋_GB2312"/>
          <w:sz w:val="32"/>
          <w:szCs w:val="32"/>
          <w:u w:color="000000"/>
        </w:rPr>
        <w:t>202</w:t>
      </w:r>
      <w:r>
        <w:rPr>
          <w:rFonts w:hint="eastAsia" w:ascii="仿宋_GB2312"/>
          <w:sz w:val="32"/>
          <w:szCs w:val="32"/>
          <w:u w:color="000000"/>
          <w:lang w:val="en-US" w:eastAsia="zh-CN"/>
        </w:rPr>
        <w:t>4</w:t>
      </w:r>
      <w:r>
        <w:rPr>
          <w:rFonts w:hint="eastAsia" w:ascii="仿宋_GB2312"/>
          <w:sz w:val="32"/>
          <w:szCs w:val="32"/>
          <w:u w:color="000000"/>
        </w:rPr>
        <w:t>年</w:t>
      </w:r>
      <w:r>
        <w:rPr>
          <w:rFonts w:hint="eastAsia" w:ascii="仿宋_GB2312"/>
          <w:sz w:val="32"/>
          <w:szCs w:val="32"/>
          <w:u w:color="000000"/>
          <w:lang w:val="en-US" w:eastAsia="zh-CN"/>
        </w:rPr>
        <w:t>5</w:t>
      </w:r>
      <w:r>
        <w:rPr>
          <w:rFonts w:hint="eastAsia" w:ascii="仿宋_GB2312"/>
          <w:sz w:val="32"/>
          <w:szCs w:val="32"/>
          <w:u w:color="000000"/>
        </w:rPr>
        <w:t>月1</w:t>
      </w:r>
      <w:r>
        <w:rPr>
          <w:rFonts w:hint="eastAsia" w:ascii="仿宋_GB2312"/>
          <w:sz w:val="32"/>
          <w:szCs w:val="32"/>
          <w:u w:color="000000"/>
          <w:lang w:val="en-US" w:eastAsia="zh-CN"/>
        </w:rPr>
        <w:t>7</w:t>
      </w:r>
      <w:r>
        <w:rPr>
          <w:rFonts w:hint="eastAsia" w:ascii="仿宋_GB2312"/>
          <w:sz w:val="32"/>
          <w:szCs w:val="32"/>
          <w:u w:color="000000"/>
        </w:rPr>
        <w:t>日于田县民族宗教事务局，于田县乡村振兴局，于田县财政局和于田县市场监督管理局联合竣工验收结果状况：合格。</w:t>
      </w:r>
    </w:p>
    <w:p w14:paraId="59CC847F">
      <w:pPr>
        <w:pStyle w:val="11"/>
        <w:keepNext w:val="0"/>
        <w:keepLines w:val="0"/>
        <w:pageBreakBefore w:val="0"/>
        <w:widowControl w:val="0"/>
        <w:kinsoku/>
        <w:wordWrap/>
        <w:overflowPunct/>
        <w:topLinePunct w:val="0"/>
        <w:autoSpaceDE/>
        <w:autoSpaceDN/>
        <w:bidi w:val="0"/>
        <w:adjustRightInd/>
        <w:spacing w:line="540" w:lineRule="exact"/>
        <w:ind w:left="3" w:right="3" w:firstLine="643"/>
        <w:textAlignment w:val="auto"/>
        <w:rPr>
          <w:rStyle w:val="10"/>
          <w:rFonts w:ascii="楷体_GB2312"/>
          <w:sz w:val="32"/>
          <w:szCs w:val="32"/>
        </w:rPr>
      </w:pPr>
      <w:r>
        <w:rPr>
          <w:rStyle w:val="10"/>
          <w:rFonts w:hint="eastAsia" w:ascii="楷体_GB2312"/>
          <w:sz w:val="32"/>
          <w:szCs w:val="32"/>
        </w:rPr>
        <w:t>（三）主要经验及做法</w:t>
      </w:r>
    </w:p>
    <w:p w14:paraId="51893914">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ascii="仿宋_GB2312" w:hAnsi="Times New Roman" w:eastAsia="仿宋_GB2312" w:cs="Times New Roman"/>
          <w:color w:val="000000"/>
          <w:szCs w:val="32"/>
          <w:u w:color="000000"/>
        </w:rPr>
      </w:pPr>
      <w:r>
        <w:rPr>
          <w:rFonts w:hint="eastAsia" w:ascii="仿宋_GB2312" w:hAnsi="Times New Roman" w:eastAsia="仿宋_GB2312" w:cs="Times New Roman"/>
          <w:color w:val="000000"/>
          <w:szCs w:val="32"/>
          <w:u w:color="000000"/>
          <w:lang w:eastAsia="zh-CN"/>
        </w:rPr>
        <w:t>于田县2024年困难群众饮用低氟边销茶项目</w:t>
      </w:r>
      <w:r>
        <w:rPr>
          <w:rFonts w:hint="eastAsia" w:ascii="仿宋_GB2312" w:hAnsi="Times New Roman" w:eastAsia="仿宋_GB2312" w:cs="Times New Roman"/>
          <w:color w:val="000000"/>
          <w:szCs w:val="32"/>
          <w:u w:color="000000"/>
        </w:rPr>
        <w:t>资金安排、使用过程中严格执行乡村振兴项目资金管理制度，确保乡村振兴项目正常运行为构建长效稳定奠定物质基础。</w:t>
      </w:r>
    </w:p>
    <w:p w14:paraId="51AA7104">
      <w:pPr>
        <w:spacing w:line="560" w:lineRule="exact"/>
        <w:ind w:firstLine="643" w:firstLineChars="200"/>
        <w:rPr>
          <w:rStyle w:val="10"/>
          <w:rFonts w:ascii="楷体_GB2312"/>
          <w:szCs w:val="32"/>
        </w:rPr>
      </w:pPr>
      <w:r>
        <w:rPr>
          <w:rStyle w:val="10"/>
          <w:rFonts w:hint="eastAsia" w:ascii="楷体_GB2312"/>
          <w:szCs w:val="32"/>
        </w:rPr>
        <w:t>（四）存在的问题</w:t>
      </w:r>
    </w:p>
    <w:p w14:paraId="45E0E2A5">
      <w:pPr>
        <w:spacing w:line="560" w:lineRule="exact"/>
        <w:ind w:firstLine="640" w:firstLineChars="200"/>
        <w:rPr>
          <w:rFonts w:ascii="仿宋_GB2312" w:hAnsi="Times New Roman" w:eastAsia="仿宋_GB2312" w:cs="Times New Roman"/>
          <w:color w:val="000000"/>
          <w:szCs w:val="32"/>
        </w:rPr>
      </w:pPr>
      <w:r>
        <w:rPr>
          <w:rFonts w:hint="eastAsia" w:ascii="仿宋_GB2312" w:hAnsi="Times New Roman" w:eastAsia="仿宋_GB2312" w:cs="Times New Roman"/>
          <w:color w:val="000000"/>
          <w:szCs w:val="32"/>
          <w:u w:color="000000"/>
        </w:rPr>
        <w:t>无。</w:t>
      </w:r>
    </w:p>
    <w:p w14:paraId="58D7E3B1">
      <w:pPr>
        <w:spacing w:line="560" w:lineRule="exact"/>
        <w:ind w:firstLine="643" w:firstLineChars="200"/>
        <w:rPr>
          <w:rStyle w:val="10"/>
          <w:rFonts w:ascii="楷体_GB2312"/>
          <w:szCs w:val="32"/>
        </w:rPr>
      </w:pPr>
      <w:r>
        <w:rPr>
          <w:rStyle w:val="10"/>
          <w:rFonts w:hint="eastAsia" w:ascii="楷体_GB2312"/>
          <w:szCs w:val="32"/>
        </w:rPr>
        <w:t>（五）建议</w:t>
      </w:r>
    </w:p>
    <w:p w14:paraId="26A4012D">
      <w:pPr>
        <w:spacing w:line="560" w:lineRule="exact"/>
        <w:ind w:firstLine="640" w:firstLineChars="200"/>
        <w:rPr>
          <w:rFonts w:ascii="仿宋_GB2312" w:hAnsi="Times New Roman" w:eastAsia="仿宋_GB2312" w:cs="Times New Roman"/>
          <w:color w:val="000000"/>
          <w:szCs w:val="32"/>
        </w:rPr>
      </w:pPr>
      <w:r>
        <w:rPr>
          <w:rFonts w:hint="eastAsia" w:ascii="仿宋_GB2312" w:hAnsi="Times New Roman" w:eastAsia="仿宋_GB2312" w:cs="Times New Roman"/>
          <w:color w:val="000000"/>
          <w:szCs w:val="32"/>
        </w:rPr>
        <w:t>一是注重组织保障，保证绩效评价管理的准确性和及时性。坚持开展绩效评价工作“全局一盘棋”，加强内部调配，形成工作合力，认真组织，精心安排，始终将组织保障作为开展好绩效评价工作的重要基础。组织绩效管理工作人员深刻学习政策文件，坚持学深悟透，强化政策理解，对各项绩效评价管理工作涉及的政策做到烂熟于心、自如运用。</w:t>
      </w:r>
    </w:p>
    <w:p w14:paraId="5487A2A0">
      <w:pPr>
        <w:spacing w:line="560" w:lineRule="exact"/>
        <w:ind w:firstLine="640" w:firstLineChars="200"/>
        <w:rPr>
          <w:rFonts w:ascii="仿宋_GB2312" w:hAnsi="Times New Roman" w:eastAsia="仿宋_GB2312" w:cs="Times New Roman"/>
          <w:color w:val="000000"/>
          <w:szCs w:val="32"/>
        </w:rPr>
      </w:pPr>
      <w:r>
        <w:rPr>
          <w:rFonts w:hint="eastAsia" w:ascii="仿宋_GB2312" w:hAnsi="Times New Roman" w:eastAsia="仿宋_GB2312" w:cs="Times New Roman"/>
          <w:color w:val="000000"/>
          <w:szCs w:val="32"/>
        </w:rPr>
        <w:t>二是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2A54588B">
      <w:pPr>
        <w:spacing w:line="560" w:lineRule="exact"/>
        <w:ind w:firstLine="643" w:firstLineChars="200"/>
        <w:rPr>
          <w:rStyle w:val="10"/>
          <w:rFonts w:ascii="楷体_GB2312"/>
          <w:szCs w:val="32"/>
        </w:rPr>
      </w:pPr>
      <w:r>
        <w:rPr>
          <w:rStyle w:val="10"/>
          <w:rFonts w:hint="eastAsia" w:ascii="楷体_GB2312"/>
          <w:szCs w:val="32"/>
        </w:rPr>
        <w:t>（六）项目绩效公告公示情况</w:t>
      </w:r>
    </w:p>
    <w:p w14:paraId="79982438">
      <w:pPr>
        <w:pStyle w:val="11"/>
        <w:spacing w:line="560" w:lineRule="exact"/>
        <w:ind w:left="3" w:right="3" w:firstLine="640"/>
      </w:pPr>
      <w:r>
        <w:rPr>
          <w:rFonts w:hint="eastAsia" w:ascii="仿宋_GB2312"/>
          <w:sz w:val="32"/>
          <w:szCs w:val="3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440" w:right="1800" w:bottom="1440" w:left="1800" w:header="851" w:footer="992" w:gutter="0"/>
      <w:pgNumType w:start="0"/>
      <w:cols w:space="425" w:num="1"/>
      <w:titlePg/>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方正小标宋简体">
    <w:altName w:val="Arial Unicode MS"/>
    <w:panose1 w:val="02000000000000000000"/>
    <w:charset w:val="86"/>
    <w:family w:val="script"/>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7832208"/>
      <w:docPartObj>
        <w:docPartGallery w:val="autotext"/>
      </w:docPartObj>
    </w:sdtPr>
    <w:sdtContent>
      <w:p w14:paraId="5A1ECE8F">
        <w:pPr>
          <w:pStyle w:val="6"/>
          <w:jc w:val="center"/>
        </w:pPr>
        <w:r>
          <w:fldChar w:fldCharType="begin"/>
        </w:r>
        <w:r>
          <w:instrText xml:space="preserve">PAGE   \* MERGEFORMAT</w:instrText>
        </w:r>
        <w:r>
          <w:fldChar w:fldCharType="separate"/>
        </w:r>
        <w:r>
          <w:rPr>
            <w:lang w:val="zh-CN"/>
          </w:rPr>
          <w:t>11</w:t>
        </w:r>
        <w:r>
          <w:fldChar w:fldCharType="end"/>
        </w:r>
      </w:p>
    </w:sdtContent>
  </w:sdt>
  <w:p w14:paraId="0F121229">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D0614">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E6064"/>
    <w:multiLevelType w:val="singleLevel"/>
    <w:tmpl w:val="FF9E6064"/>
    <w:lvl w:ilvl="0" w:tentative="0">
      <w:start w:val="1"/>
      <w:numFmt w:val="decimal"/>
      <w:lvlText w:val="%1."/>
      <w:lvlJc w:val="left"/>
      <w:pPr>
        <w:tabs>
          <w:tab w:val="left" w:pos="312"/>
        </w:tabs>
      </w:pPr>
    </w:lvl>
  </w:abstractNum>
  <w:abstractNum w:abstractNumId="1">
    <w:nsid w:val="74CAEB62"/>
    <w:multiLevelType w:val="singleLevel"/>
    <w:tmpl w:val="74CAEB6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GExMTJjOWFmYjNiZTJjMWUwNDM2NWFmZTM5NmEifQ=="/>
  </w:docVars>
  <w:rsids>
    <w:rsidRoot w:val="15BF2917"/>
    <w:rsid w:val="000A5F77"/>
    <w:rsid w:val="00151357"/>
    <w:rsid w:val="00180CC9"/>
    <w:rsid w:val="001F006B"/>
    <w:rsid w:val="0020403B"/>
    <w:rsid w:val="00270CA0"/>
    <w:rsid w:val="00323139"/>
    <w:rsid w:val="003D48A4"/>
    <w:rsid w:val="00416DB2"/>
    <w:rsid w:val="00482724"/>
    <w:rsid w:val="004A2F40"/>
    <w:rsid w:val="004F2672"/>
    <w:rsid w:val="0055023B"/>
    <w:rsid w:val="00633642"/>
    <w:rsid w:val="00694334"/>
    <w:rsid w:val="00710D78"/>
    <w:rsid w:val="0076144B"/>
    <w:rsid w:val="00807E0E"/>
    <w:rsid w:val="008162FE"/>
    <w:rsid w:val="0083155E"/>
    <w:rsid w:val="0086643D"/>
    <w:rsid w:val="00866A9F"/>
    <w:rsid w:val="00882931"/>
    <w:rsid w:val="008876D8"/>
    <w:rsid w:val="009370E7"/>
    <w:rsid w:val="00970F66"/>
    <w:rsid w:val="009F4411"/>
    <w:rsid w:val="00AA6107"/>
    <w:rsid w:val="00AB39E2"/>
    <w:rsid w:val="00AC7F05"/>
    <w:rsid w:val="00B45DAF"/>
    <w:rsid w:val="00B60A9C"/>
    <w:rsid w:val="00C36BE4"/>
    <w:rsid w:val="00CB1591"/>
    <w:rsid w:val="00D23EB4"/>
    <w:rsid w:val="00DB6B14"/>
    <w:rsid w:val="00DC6C00"/>
    <w:rsid w:val="00DF11C0"/>
    <w:rsid w:val="00E150D7"/>
    <w:rsid w:val="03696190"/>
    <w:rsid w:val="03CF16F7"/>
    <w:rsid w:val="054E29F0"/>
    <w:rsid w:val="08036534"/>
    <w:rsid w:val="081F3B95"/>
    <w:rsid w:val="083C15A3"/>
    <w:rsid w:val="08CB02F1"/>
    <w:rsid w:val="0A6F25ED"/>
    <w:rsid w:val="0B263A1E"/>
    <w:rsid w:val="0B906BA8"/>
    <w:rsid w:val="0C5373CC"/>
    <w:rsid w:val="0D1B0489"/>
    <w:rsid w:val="0E7D7B2D"/>
    <w:rsid w:val="0F147C37"/>
    <w:rsid w:val="0FAF5D8E"/>
    <w:rsid w:val="10226C26"/>
    <w:rsid w:val="138310A8"/>
    <w:rsid w:val="13C321A7"/>
    <w:rsid w:val="13F910D3"/>
    <w:rsid w:val="144E4536"/>
    <w:rsid w:val="1579485C"/>
    <w:rsid w:val="15BF2917"/>
    <w:rsid w:val="164840CB"/>
    <w:rsid w:val="19306740"/>
    <w:rsid w:val="19E33E60"/>
    <w:rsid w:val="1A153EDB"/>
    <w:rsid w:val="1A7431A1"/>
    <w:rsid w:val="1B5B6771"/>
    <w:rsid w:val="1B5E14E1"/>
    <w:rsid w:val="1C1D1A85"/>
    <w:rsid w:val="1C4C6DCC"/>
    <w:rsid w:val="1C901464"/>
    <w:rsid w:val="1CDA197F"/>
    <w:rsid w:val="1CF45DD8"/>
    <w:rsid w:val="1F1533FC"/>
    <w:rsid w:val="206F23DE"/>
    <w:rsid w:val="22331D9D"/>
    <w:rsid w:val="2265640B"/>
    <w:rsid w:val="24081FF2"/>
    <w:rsid w:val="24B970CD"/>
    <w:rsid w:val="25862F9E"/>
    <w:rsid w:val="26A06348"/>
    <w:rsid w:val="2722143D"/>
    <w:rsid w:val="27B74D88"/>
    <w:rsid w:val="288F4113"/>
    <w:rsid w:val="29B76661"/>
    <w:rsid w:val="2C493FB6"/>
    <w:rsid w:val="2D4B451E"/>
    <w:rsid w:val="2D571A83"/>
    <w:rsid w:val="2D8B095D"/>
    <w:rsid w:val="2DA07DEB"/>
    <w:rsid w:val="2F4F4CB9"/>
    <w:rsid w:val="308A5C2E"/>
    <w:rsid w:val="33D11B58"/>
    <w:rsid w:val="33FE365D"/>
    <w:rsid w:val="33FE67B0"/>
    <w:rsid w:val="369E33EA"/>
    <w:rsid w:val="36B747FC"/>
    <w:rsid w:val="375F00CA"/>
    <w:rsid w:val="376F246F"/>
    <w:rsid w:val="3775656B"/>
    <w:rsid w:val="38435D6D"/>
    <w:rsid w:val="38BB1079"/>
    <w:rsid w:val="38C847FF"/>
    <w:rsid w:val="38FF23B3"/>
    <w:rsid w:val="39324987"/>
    <w:rsid w:val="39DA7072"/>
    <w:rsid w:val="3A55604A"/>
    <w:rsid w:val="3C8D1A38"/>
    <w:rsid w:val="3D071EAA"/>
    <w:rsid w:val="3D091FB1"/>
    <w:rsid w:val="3DE23948"/>
    <w:rsid w:val="3F3C6A4D"/>
    <w:rsid w:val="4009291E"/>
    <w:rsid w:val="403C425C"/>
    <w:rsid w:val="4125097B"/>
    <w:rsid w:val="413B3D32"/>
    <w:rsid w:val="42FF2A82"/>
    <w:rsid w:val="43087A08"/>
    <w:rsid w:val="43332088"/>
    <w:rsid w:val="433C4D7B"/>
    <w:rsid w:val="444029A7"/>
    <w:rsid w:val="47CB3FA5"/>
    <w:rsid w:val="48471E82"/>
    <w:rsid w:val="494C2D71"/>
    <w:rsid w:val="49D04EA8"/>
    <w:rsid w:val="4B234855"/>
    <w:rsid w:val="4D012019"/>
    <w:rsid w:val="4D023095"/>
    <w:rsid w:val="4D8A3AF5"/>
    <w:rsid w:val="4F47411F"/>
    <w:rsid w:val="509566A8"/>
    <w:rsid w:val="52FA70C2"/>
    <w:rsid w:val="534553E5"/>
    <w:rsid w:val="553C08FD"/>
    <w:rsid w:val="55C82B7B"/>
    <w:rsid w:val="59161438"/>
    <w:rsid w:val="596C7739"/>
    <w:rsid w:val="5AC85883"/>
    <w:rsid w:val="5CBE34B8"/>
    <w:rsid w:val="5D8B7388"/>
    <w:rsid w:val="5DE460C3"/>
    <w:rsid w:val="600B53F8"/>
    <w:rsid w:val="602812FB"/>
    <w:rsid w:val="61211698"/>
    <w:rsid w:val="6193688F"/>
    <w:rsid w:val="619D6AB6"/>
    <w:rsid w:val="63A06405"/>
    <w:rsid w:val="6401085D"/>
    <w:rsid w:val="64440F69"/>
    <w:rsid w:val="6466249D"/>
    <w:rsid w:val="64BB6192"/>
    <w:rsid w:val="64FA7720"/>
    <w:rsid w:val="660F3DA3"/>
    <w:rsid w:val="662B5916"/>
    <w:rsid w:val="6664107A"/>
    <w:rsid w:val="666E74BC"/>
    <w:rsid w:val="6795125C"/>
    <w:rsid w:val="67CC2710"/>
    <w:rsid w:val="6A7E2300"/>
    <w:rsid w:val="6AC55615"/>
    <w:rsid w:val="6B2B1715"/>
    <w:rsid w:val="6B880C01"/>
    <w:rsid w:val="6BB26BC7"/>
    <w:rsid w:val="6E127F5A"/>
    <w:rsid w:val="6E794BCD"/>
    <w:rsid w:val="6E7B60B7"/>
    <w:rsid w:val="6FA6262F"/>
    <w:rsid w:val="70180DF6"/>
    <w:rsid w:val="70207A16"/>
    <w:rsid w:val="71CA1102"/>
    <w:rsid w:val="730A4819"/>
    <w:rsid w:val="73200960"/>
    <w:rsid w:val="73F95816"/>
    <w:rsid w:val="74025F42"/>
    <w:rsid w:val="74FE6101"/>
    <w:rsid w:val="75CB1FD1"/>
    <w:rsid w:val="7660074F"/>
    <w:rsid w:val="76782388"/>
    <w:rsid w:val="76EE0490"/>
    <w:rsid w:val="774714CD"/>
    <w:rsid w:val="774D2591"/>
    <w:rsid w:val="798F4785"/>
    <w:rsid w:val="7A45020A"/>
    <w:rsid w:val="7A770DD2"/>
    <w:rsid w:val="7AEE5940"/>
    <w:rsid w:val="7B0A0FBC"/>
    <w:rsid w:val="7BC635A1"/>
    <w:rsid w:val="7BC85FA9"/>
    <w:rsid w:val="7FDC30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楷体_GB2312" w:asciiTheme="minorHAnsi" w:hAnsiTheme="minorHAnsi" w:cstheme="minorBidi"/>
      <w:kern w:val="2"/>
      <w:sz w:val="32"/>
      <w:szCs w:val="22"/>
      <w:lang w:val="en-US" w:eastAsia="zh-CN" w:bidi="ar-SA"/>
    </w:rPr>
  </w:style>
  <w:style w:type="paragraph" w:styleId="3">
    <w:name w:val="heading 2"/>
    <w:basedOn w:val="1"/>
    <w:next w:val="1"/>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2">
    <w:name w:val="heading 3"/>
    <w:basedOn w:val="1"/>
    <w:next w:val="1"/>
    <w:qFormat/>
    <w:uiPriority w:val="0"/>
    <w:pPr>
      <w:keepNext/>
      <w:keepLines/>
      <w:spacing w:before="120" w:after="120" w:line="560" w:lineRule="exact"/>
      <w:outlineLvl w:val="2"/>
    </w:pPr>
    <w:rPr>
      <w:rFonts w:ascii="Times New Roman" w:hAnsi="Times New Roman"/>
      <w:b/>
      <w:color w:val="000000"/>
      <w:u w:color="000000"/>
    </w:rPr>
  </w:style>
  <w:style w:type="paragraph" w:styleId="4">
    <w:name w:val="heading 4"/>
    <w:basedOn w:val="1"/>
    <w:next w:val="1"/>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Strong"/>
    <w:basedOn w:val="9"/>
    <w:qFormat/>
    <w:uiPriority w:val="0"/>
    <w:rPr>
      <w:b/>
      <w:bCs/>
    </w:rPr>
  </w:style>
  <w:style w:type="paragraph" w:customStyle="1" w:styleId="11">
    <w:name w:val="FZ正文"/>
    <w:basedOn w:val="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paragraph" w:customStyle="1" w:styleId="12">
    <w:name w:val="FZ标题2"/>
    <w:basedOn w:val="3"/>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paragraph" w:customStyle="1" w:styleId="13">
    <w:name w:val="FZ标题4"/>
    <w:basedOn w:val="4"/>
    <w:qFormat/>
    <w:uiPriority w:val="0"/>
    <w:pPr>
      <w:keepNext w:val="0"/>
      <w:keepLines w:val="0"/>
      <w:snapToGrid w:val="0"/>
      <w:spacing w:before="120" w:beforeLines="50" w:after="0" w:line="560" w:lineRule="exact"/>
      <w:ind w:firstLine="562" w:firstLineChars="200"/>
      <w:jc w:val="left"/>
    </w:pPr>
    <w:rPr>
      <w:rFonts w:ascii="仿宋_GB2312" w:hAnsi="宋体" w:eastAsia="仿宋_GB2312" w:cstheme="minorBidi"/>
      <w:color w:val="000000"/>
      <w:szCs w:val="32"/>
    </w:rPr>
  </w:style>
  <w:style w:type="character" w:customStyle="1" w:styleId="14">
    <w:name w:val="页脚 Char"/>
    <w:basedOn w:val="9"/>
    <w:link w:val="6"/>
    <w:qFormat/>
    <w:uiPriority w:val="99"/>
    <w:rPr>
      <w:rFonts w:eastAsia="楷体_GB2312"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A7C0D-AB0F-4373-8D4F-559B187343DC}">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5858</Words>
  <Characters>6249</Characters>
  <Lines>45</Lines>
  <Paragraphs>12</Paragraphs>
  <TotalTime>14</TotalTime>
  <ScaleCrop>false</ScaleCrop>
  <LinksUpToDate>false</LinksUpToDate>
  <CharactersWithSpaces>6365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2023-01-03T08:52:00Z</dcterms:created>
  <dc:creator>Administrator</dc:creator>
  <cp:lastModifiedBy>七安</cp:lastModifiedBy>
  <dcterms:modified xsi:type="dcterms:W3CDTF">2025-06-03T09:09:59Z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2305A4B8D40546DB953D83EC1E91C2C8_12</vt:lpwstr>
  </property>
  <property fmtid="{D5CDD505-2E9C-101B-9397-08002B2CF9AE}" pid="4" name="KSOTemplateDocerSaveRecord">
    <vt:lpwstr>eyJoZGlkIjoiY2RlOGExMTJjOWFmYjNiZTJjMWUwNDM2NWFmZTM5NmEiLCJ1c2VySWQiOiIxMTAwNDE5NzU4In0=</vt:lpwstr>
  </property>
</Properties>
</file>