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089816">
      <w:pPr>
        <w:spacing w:before="120" w:after="120" w:line="480" w:lineRule="auto"/>
        <w:ind w:firstLine="883" w:firstLineChars="200"/>
        <w:jc w:val="center"/>
        <w:outlineLvl w:val="0"/>
        <w:rPr>
          <w:rFonts w:ascii="仿宋_GB2312" w:hAnsi="Arial"/>
          <w:b/>
          <w:color w:val="auto"/>
          <w:sz w:val="44"/>
          <w:szCs w:val="44"/>
          <w:highlight w:val="none"/>
        </w:rPr>
      </w:pPr>
      <w:bookmarkStart w:id="0" w:name="_GoBack"/>
      <w:bookmarkEnd w:id="0"/>
    </w:p>
    <w:p w14:paraId="005EB6E7">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0347C157">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1BB44E7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3F845A0">
      <w:pPr>
        <w:spacing w:line="540" w:lineRule="exact"/>
        <w:ind w:firstLine="600" w:firstLineChars="200"/>
        <w:jc w:val="center"/>
        <w:rPr>
          <w:rFonts w:hAnsi="宋体" w:cs="宋体"/>
          <w:color w:val="auto"/>
          <w:kern w:val="0"/>
          <w:sz w:val="30"/>
          <w:szCs w:val="30"/>
          <w:highlight w:val="none"/>
        </w:rPr>
      </w:pPr>
    </w:p>
    <w:p w14:paraId="43AB6C3E">
      <w:pPr>
        <w:spacing w:line="540" w:lineRule="exact"/>
        <w:ind w:firstLine="600" w:firstLineChars="200"/>
        <w:jc w:val="center"/>
        <w:rPr>
          <w:rFonts w:hAnsi="宋体" w:cs="宋体"/>
          <w:color w:val="auto"/>
          <w:kern w:val="0"/>
          <w:sz w:val="30"/>
          <w:szCs w:val="30"/>
          <w:highlight w:val="none"/>
        </w:rPr>
      </w:pPr>
    </w:p>
    <w:p w14:paraId="648758FD">
      <w:pPr>
        <w:spacing w:line="540" w:lineRule="exact"/>
        <w:ind w:firstLine="600" w:firstLineChars="200"/>
        <w:jc w:val="center"/>
        <w:rPr>
          <w:rFonts w:hAnsi="宋体" w:cs="宋体"/>
          <w:color w:val="auto"/>
          <w:kern w:val="0"/>
          <w:sz w:val="30"/>
          <w:szCs w:val="30"/>
          <w:highlight w:val="none"/>
        </w:rPr>
      </w:pPr>
    </w:p>
    <w:p w14:paraId="4C8CB1D8">
      <w:pPr>
        <w:spacing w:line="540" w:lineRule="exact"/>
        <w:ind w:firstLine="600" w:firstLineChars="200"/>
        <w:jc w:val="center"/>
        <w:rPr>
          <w:rFonts w:hAnsi="宋体" w:cs="宋体"/>
          <w:color w:val="auto"/>
          <w:kern w:val="0"/>
          <w:sz w:val="30"/>
          <w:szCs w:val="30"/>
          <w:highlight w:val="none"/>
        </w:rPr>
      </w:pPr>
    </w:p>
    <w:p w14:paraId="5FA1AB22">
      <w:pPr>
        <w:spacing w:line="540" w:lineRule="exact"/>
        <w:ind w:firstLine="600" w:firstLineChars="200"/>
        <w:rPr>
          <w:rFonts w:hAnsi="宋体" w:cs="宋体"/>
          <w:color w:val="auto"/>
          <w:kern w:val="0"/>
          <w:sz w:val="30"/>
          <w:szCs w:val="30"/>
          <w:highlight w:val="none"/>
        </w:rPr>
      </w:pPr>
    </w:p>
    <w:p w14:paraId="371F4703">
      <w:pPr>
        <w:spacing w:line="540" w:lineRule="exact"/>
        <w:ind w:firstLine="600" w:firstLineChars="200"/>
        <w:rPr>
          <w:rFonts w:hAnsi="宋体" w:cs="宋体"/>
          <w:color w:val="auto"/>
          <w:kern w:val="0"/>
          <w:sz w:val="30"/>
          <w:szCs w:val="30"/>
          <w:highlight w:val="none"/>
        </w:rPr>
      </w:pPr>
    </w:p>
    <w:p w14:paraId="70B3E31C">
      <w:pPr>
        <w:spacing w:line="360" w:lineRule="auto"/>
        <w:ind w:left="640" w:leftChars="200" w:firstLine="640" w:firstLineChars="200"/>
        <w:rPr>
          <w:rFonts w:ascii="仿宋" w:hAnsi="仿宋" w:eastAsia="仿宋" w:cs="仿宋"/>
          <w:color w:val="auto"/>
          <w:szCs w:val="32"/>
          <w:highlight w:val="none"/>
        </w:rPr>
      </w:pPr>
    </w:p>
    <w:p w14:paraId="7940973E">
      <w:pPr>
        <w:spacing w:line="360" w:lineRule="auto"/>
        <w:ind w:left="640" w:leftChars="200" w:firstLine="640" w:firstLineChars="200"/>
        <w:rPr>
          <w:rFonts w:ascii="仿宋" w:hAnsi="仿宋" w:eastAsia="仿宋" w:cs="仿宋"/>
          <w:color w:val="auto"/>
          <w:szCs w:val="32"/>
          <w:highlight w:val="none"/>
        </w:rPr>
      </w:pPr>
    </w:p>
    <w:p w14:paraId="496626C0">
      <w:pPr>
        <w:spacing w:line="560" w:lineRule="exact"/>
        <w:ind w:left="640" w:leftChars="200" w:firstLine="640" w:firstLineChars="200"/>
        <w:rPr>
          <w:rFonts w:ascii="仿宋" w:hAnsi="仿宋" w:eastAsia="仿宋" w:cs="仿宋"/>
          <w:color w:val="auto"/>
          <w:szCs w:val="32"/>
          <w:highlight w:val="none"/>
        </w:rPr>
      </w:pPr>
    </w:p>
    <w:p w14:paraId="5C745DC5">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项目名称:</w:t>
      </w:r>
      <w:r>
        <w:rPr>
          <w:rFonts w:hint="eastAsia" w:ascii="仿宋" w:hAnsi="仿宋" w:eastAsia="仿宋" w:cs="仿宋"/>
          <w:color w:val="auto"/>
          <w:szCs w:val="32"/>
          <w:highlight w:val="none"/>
          <w:lang w:eastAsia="zh-CN"/>
        </w:rPr>
        <w:t>于田县2024年林果病虫害（预防）防治项目</w:t>
      </w:r>
      <w:r>
        <w:rPr>
          <w:rFonts w:hint="eastAsia" w:ascii="仿宋" w:hAnsi="仿宋" w:eastAsia="仿宋" w:cs="仿宋"/>
          <w:color w:val="auto"/>
          <w:szCs w:val="32"/>
          <w:highlight w:val="none"/>
          <w:lang w:eastAsia="zh-CN"/>
        </w:rPr>
        <w:tab/>
      </w:r>
      <w:r>
        <w:rPr>
          <w:rFonts w:hint="eastAsia" w:ascii="仿宋" w:hAnsi="仿宋" w:eastAsia="仿宋" w:cs="仿宋"/>
          <w:color w:val="auto"/>
          <w:szCs w:val="32"/>
          <w:highlight w:val="none"/>
          <w:lang w:eastAsia="zh-CN"/>
        </w:rPr>
        <w:tab/>
      </w:r>
    </w:p>
    <w:p w14:paraId="6894D10A">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实施单位(公章):于田县林业和草原局</w:t>
      </w:r>
    </w:p>
    <w:p w14:paraId="29016572">
      <w:pPr>
        <w:spacing w:line="560" w:lineRule="exact"/>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主管部门(公章):于田</w:t>
      </w:r>
      <w:r>
        <w:rPr>
          <w:rFonts w:hint="eastAsia" w:ascii="仿宋" w:hAnsi="仿宋" w:eastAsia="仿宋" w:cs="仿宋"/>
          <w:color w:val="auto"/>
          <w:szCs w:val="32"/>
          <w:highlight w:val="none"/>
          <w:lang w:eastAsia="zh-CN"/>
        </w:rPr>
        <w:t>县发展和改革委员会</w:t>
      </w:r>
    </w:p>
    <w:p w14:paraId="655BFB1B">
      <w:pPr>
        <w:spacing w:line="560" w:lineRule="exact"/>
        <w:rPr>
          <w:rFonts w:hint="eastAsia" w:ascii="仿宋" w:hAnsi="仿宋" w:eastAsia="仿宋" w:cs="仿宋"/>
          <w:color w:val="auto"/>
          <w:szCs w:val="32"/>
          <w:highlight w:val="none"/>
        </w:rPr>
      </w:pPr>
      <w:r>
        <w:rPr>
          <w:rFonts w:hint="eastAsia" w:ascii="仿宋" w:hAnsi="仿宋" w:eastAsia="仿宋" w:cs="仿宋"/>
          <w:color w:val="auto"/>
          <w:szCs w:val="32"/>
          <w:highlight w:val="none"/>
        </w:rPr>
        <w:t>项目负责人(签章):阿里木·麦麦提如则</w:t>
      </w:r>
    </w:p>
    <w:p w14:paraId="5B774997">
      <w:pPr>
        <w:spacing w:line="560" w:lineRule="exact"/>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18</w:t>
      </w:r>
      <w:r>
        <w:rPr>
          <w:rFonts w:ascii="仿宋" w:hAnsi="仿宋" w:eastAsia="仿宋" w:cs="仿宋"/>
          <w:color w:val="auto"/>
          <w:szCs w:val="32"/>
          <w:highlight w:val="none"/>
        </w:rPr>
        <w:t>日</w:t>
      </w:r>
    </w:p>
    <w:p w14:paraId="318BA86A">
      <w:pPr>
        <w:spacing w:line="560" w:lineRule="exact"/>
        <w:ind w:firstLine="640" w:firstLineChars="200"/>
        <w:rPr>
          <w:rFonts w:ascii="仿宋_GB2312" w:hAnsi="仿宋_GB2312" w:cs="仿宋_GB2312"/>
          <w:color w:val="auto"/>
          <w:kern w:val="0"/>
          <w:szCs w:val="32"/>
          <w:highlight w:val="none"/>
          <w:lang w:bidi="en-US"/>
        </w:rPr>
      </w:pPr>
    </w:p>
    <w:p w14:paraId="26942528">
      <w:pPr>
        <w:spacing w:line="560" w:lineRule="exact"/>
        <w:ind w:firstLine="640" w:firstLineChars="200"/>
        <w:rPr>
          <w:rFonts w:ascii="仿宋_GB2312" w:hAnsi="仿宋_GB2312" w:cs="仿宋_GB2312"/>
          <w:color w:val="auto"/>
          <w:kern w:val="0"/>
          <w:szCs w:val="32"/>
          <w:highlight w:val="none"/>
          <w:lang w:bidi="en-US"/>
        </w:rPr>
      </w:pPr>
    </w:p>
    <w:p w14:paraId="665934CA">
      <w:pPr>
        <w:spacing w:line="360" w:lineRule="auto"/>
        <w:ind w:firstLine="627" w:firstLineChars="200"/>
        <w:rPr>
          <w:rStyle w:val="21"/>
          <w:rFonts w:ascii="黑体" w:hAnsi="黑体" w:eastAsia="黑体" w:cs="Times New Roman"/>
          <w:color w:val="auto"/>
          <w:spacing w:val="-4"/>
          <w:szCs w:val="32"/>
          <w:highlight w:val="none"/>
        </w:rPr>
      </w:pPr>
    </w:p>
    <w:p w14:paraId="1A4ABADC">
      <w:pPr>
        <w:spacing w:line="360" w:lineRule="auto"/>
        <w:ind w:firstLine="627" w:firstLineChars="200"/>
        <w:rPr>
          <w:rStyle w:val="21"/>
          <w:rFonts w:ascii="黑体" w:hAnsi="黑体" w:eastAsia="黑体" w:cs="Times New Roman"/>
          <w:color w:val="auto"/>
          <w:spacing w:val="-4"/>
          <w:szCs w:val="32"/>
          <w:highlight w:val="none"/>
        </w:rPr>
      </w:pPr>
      <w:r>
        <w:rPr>
          <w:rStyle w:val="21"/>
          <w:rFonts w:hint="eastAsia" w:ascii="黑体" w:hAnsi="黑体" w:eastAsia="黑体" w:cs="Times New Roman"/>
          <w:color w:val="auto"/>
          <w:spacing w:val="-4"/>
          <w:szCs w:val="32"/>
          <w:highlight w:val="none"/>
        </w:rPr>
        <w:t>一、绩效目标分解下达情况</w:t>
      </w:r>
    </w:p>
    <w:p w14:paraId="5EBC198D">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7EA289A5">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08BE113B">
      <w:pPr>
        <w:pStyle w:val="54"/>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color w:val="auto"/>
          <w:szCs w:val="32"/>
          <w:highlight w:val="none"/>
          <w:lang w:eastAsia="zh-CN"/>
        </w:rPr>
        <w:t>于田县2024年林果病虫害（预防）防治项目</w:t>
      </w:r>
      <w:r>
        <w:rPr>
          <w:rFonts w:hint="eastAsia" w:ascii="仿宋_GB2312"/>
          <w:color w:val="auto"/>
          <w:szCs w:val="32"/>
          <w:highlight w:val="none"/>
        </w:rPr>
        <w:t>方案的批复》（于发改项目（202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42</w:t>
      </w:r>
      <w:r>
        <w:rPr>
          <w:rFonts w:hint="eastAsia" w:ascii="仿宋_GB2312"/>
          <w:color w:val="auto"/>
          <w:szCs w:val="32"/>
          <w:highlight w:val="none"/>
        </w:rPr>
        <w:t>号）文批复立项实施，</w:t>
      </w:r>
      <w:r>
        <w:rPr>
          <w:rFonts w:hint="eastAsia" w:ascii="仿宋_GB2312"/>
          <w:color w:val="auto"/>
          <w:szCs w:val="32"/>
          <w:highlight w:val="none"/>
          <w:lang w:eastAsia="zh-CN"/>
        </w:rPr>
        <w:t>于田县2024年林果病虫害（预防）防治项目</w:t>
      </w:r>
      <w:r>
        <w:rPr>
          <w:rFonts w:hint="eastAsia" w:ascii="仿宋_GB2312"/>
          <w:color w:val="auto"/>
          <w:szCs w:val="32"/>
          <w:highlight w:val="none"/>
          <w:lang w:eastAsia="zh-CN"/>
        </w:rPr>
        <w:tab/>
      </w:r>
      <w:r>
        <w:rPr>
          <w:rFonts w:hint="eastAsia" w:ascii="仿宋_GB2312"/>
          <w:color w:val="auto"/>
          <w:szCs w:val="32"/>
          <w:highlight w:val="none"/>
        </w:rPr>
        <w:t>预算安排总额为</w:t>
      </w:r>
      <w:r>
        <w:rPr>
          <w:rFonts w:hint="eastAsia" w:ascii="仿宋_GB2312"/>
          <w:color w:val="auto"/>
          <w:szCs w:val="32"/>
          <w:highlight w:val="none"/>
          <w:lang w:val="en-US" w:eastAsia="zh-CN"/>
        </w:rPr>
        <w:t>205万元</w:t>
      </w:r>
      <w:r>
        <w:rPr>
          <w:rFonts w:hint="eastAsia" w:ascii="仿宋_GB2312"/>
          <w:color w:val="auto"/>
          <w:szCs w:val="32"/>
          <w:highlight w:val="none"/>
        </w:rPr>
        <w:t>，其中：</w:t>
      </w:r>
      <w:r>
        <w:rPr>
          <w:rFonts w:hint="eastAsia" w:ascii="仿宋_GB2312"/>
          <w:color w:val="auto"/>
          <w:szCs w:val="32"/>
          <w:highlight w:val="none"/>
          <w:lang w:val="en-US" w:eastAsia="zh-CN"/>
        </w:rPr>
        <w:t>乡村振兴衔接资金</w:t>
      </w:r>
      <w:r>
        <w:rPr>
          <w:rFonts w:hint="eastAsia" w:ascii="仿宋_GB2312"/>
          <w:color w:val="auto"/>
          <w:szCs w:val="32"/>
          <w:highlight w:val="none"/>
          <w:lang w:eastAsia="zh-CN"/>
        </w:rPr>
        <w:t>资金</w:t>
      </w:r>
      <w:r>
        <w:rPr>
          <w:rFonts w:hint="eastAsia" w:ascii="仿宋_GB2312"/>
          <w:color w:val="auto"/>
          <w:szCs w:val="32"/>
          <w:highlight w:val="none"/>
          <w:lang w:val="en-US" w:eastAsia="zh-CN"/>
        </w:rPr>
        <w:t>205万元</w:t>
      </w:r>
      <w:r>
        <w:rPr>
          <w:rFonts w:hint="eastAsia" w:ascii="仿宋_GB2312"/>
          <w:color w:val="auto"/>
          <w:szCs w:val="32"/>
          <w:highlight w:val="none"/>
        </w:rPr>
        <w:t>。预算资金到位率为100.00%。</w:t>
      </w:r>
    </w:p>
    <w:p w14:paraId="71F2FEC7">
      <w:pPr>
        <w:pStyle w:val="54"/>
        <w:ind w:left="3" w:right="3" w:firstLine="562"/>
        <w:rPr>
          <w:rFonts w:ascii="仿宋_GB2312"/>
          <w:b/>
          <w:color w:val="auto"/>
          <w:szCs w:val="32"/>
          <w:highlight w:val="none"/>
        </w:rPr>
      </w:pPr>
      <w:r>
        <w:rPr>
          <w:rFonts w:hint="eastAsia" w:ascii="仿宋_GB2312"/>
          <w:b/>
          <w:color w:val="auto"/>
          <w:szCs w:val="32"/>
          <w:highlight w:val="none"/>
        </w:rPr>
        <w:t>2.项目实施背景</w:t>
      </w:r>
    </w:p>
    <w:p w14:paraId="6C41172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深入贯彻落实国家、自治区和地委巩固脱贫攻坚成果的决策部署，加快推进乡村振兴战略、增强群众幸福感、获得感的民生和暖心工程；项目实施后，沿线的各个村子的所有村民均可受益，提高经济收入，</w:t>
      </w:r>
    </w:p>
    <w:p w14:paraId="6A298DE8">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val="zh-CN"/>
        </w:rPr>
        <w:t>从而达到推动乡村振兴，巩固脱贫攻坚成果的目的，因此，本项目的实施是必要的。对于田县农民脱贫致富，乃至整个区域经济的发展都是十分重要的。</w:t>
      </w:r>
    </w:p>
    <w:p w14:paraId="22B9FADC">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eastAsia="zh-CN"/>
        </w:rPr>
        <w:t>由</w:t>
      </w:r>
      <w:r>
        <w:rPr>
          <w:rFonts w:hint="eastAsia" w:ascii="仿宋_GB2312" w:hAnsi="Times New Roman" w:eastAsia="仿宋_GB2312" w:cs="Times New Roman"/>
          <w:color w:val="auto"/>
          <w:sz w:val="28"/>
          <w:szCs w:val="32"/>
          <w:highlight w:val="none"/>
          <w:lang w:val="zh-CN" w:eastAsia="zh-CN"/>
        </w:rPr>
        <w:t>于上述原因开展于田县2024年林果病虫害（预防）防治项目，</w:t>
      </w:r>
      <w:r>
        <w:rPr>
          <w:rFonts w:hint="eastAsia" w:ascii="仿宋_GB2312" w:hAnsi="Times New Roman" w:eastAsia="仿宋_GB2312" w:cs="Times New Roman"/>
          <w:color w:val="auto"/>
          <w:sz w:val="28"/>
          <w:szCs w:val="32"/>
          <w:highlight w:val="none"/>
          <w:lang w:val="zh-CN"/>
        </w:rPr>
        <w:t>本项目由</w:t>
      </w:r>
      <w:r>
        <w:rPr>
          <w:rFonts w:hint="eastAsia" w:ascii="仿宋_GB2312" w:hAnsi="Times New Roman" w:eastAsia="仿宋_GB2312" w:cs="Times New Roman"/>
          <w:color w:val="auto"/>
          <w:sz w:val="28"/>
          <w:szCs w:val="32"/>
          <w:highlight w:val="none"/>
          <w:lang w:val="en-US" w:eastAsia="zh-CN"/>
        </w:rPr>
        <w:t>于田县发展和改革委员会</w:t>
      </w:r>
      <w:r>
        <w:rPr>
          <w:rFonts w:hint="eastAsia" w:ascii="仿宋_GB2312" w:hAnsi="Times New Roman" w:eastAsia="仿宋_GB2312" w:cs="Times New Roman"/>
          <w:color w:val="auto"/>
          <w:sz w:val="28"/>
          <w:szCs w:val="32"/>
          <w:highlight w:val="none"/>
          <w:lang w:val="zh-CN"/>
        </w:rPr>
        <w:t>主管，</w:t>
      </w:r>
      <w:r>
        <w:rPr>
          <w:rFonts w:hint="eastAsia" w:ascii="仿宋_GB2312" w:hAnsi="Times New Roman" w:eastAsia="仿宋_GB2312" w:cs="Times New Roman"/>
          <w:color w:val="auto"/>
          <w:sz w:val="28"/>
          <w:szCs w:val="32"/>
          <w:highlight w:val="none"/>
          <w:lang w:val="en-US" w:eastAsia="zh-CN"/>
        </w:rPr>
        <w:t>于田县林业和草原局</w:t>
      </w:r>
      <w:r>
        <w:rPr>
          <w:rFonts w:hint="eastAsia" w:ascii="仿宋_GB2312" w:hAnsi="Times New Roman" w:eastAsia="仿宋_GB2312" w:cs="Times New Roman"/>
          <w:color w:val="auto"/>
          <w:sz w:val="28"/>
          <w:szCs w:val="32"/>
          <w:highlight w:val="none"/>
          <w:lang w:val="zh-CN"/>
        </w:rPr>
        <w:t>负责实施，项目实施年限202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3</w:t>
      </w:r>
      <w:r>
        <w:rPr>
          <w:rFonts w:hint="eastAsia" w:ascii="仿宋_GB2312" w:hAnsi="Times New Roman" w:eastAsia="仿宋_GB2312" w:cs="Times New Roman"/>
          <w:color w:val="auto"/>
          <w:sz w:val="28"/>
          <w:szCs w:val="32"/>
          <w:highlight w:val="none"/>
          <w:lang w:val="zh-CN"/>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年</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月。</w:t>
      </w:r>
    </w:p>
    <w:p w14:paraId="3F0C6E03">
      <w:pPr>
        <w:spacing w:line="560" w:lineRule="exact"/>
        <w:ind w:firstLine="560" w:firstLineChars="200"/>
        <w:rPr>
          <w:rFonts w:hint="eastAsia" w:ascii="仿宋_GB2312" w:hAnsi="Times New Roman" w:eastAsia="仿宋_GB2312" w:cs="Times New Roman"/>
          <w:color w:val="auto"/>
          <w:sz w:val="28"/>
          <w:szCs w:val="32"/>
          <w:highlight w:val="none"/>
          <w:lang w:val="en-US" w:eastAsia="zh-CN"/>
        </w:rPr>
      </w:pPr>
      <w:r>
        <w:rPr>
          <w:rFonts w:hint="eastAsia" w:ascii="仿宋_GB2312" w:hAnsi="Times New Roman" w:eastAsia="仿宋_GB2312" w:cs="Times New Roman"/>
          <w:color w:val="auto"/>
          <w:sz w:val="28"/>
          <w:szCs w:val="32"/>
          <w:highlight w:val="none"/>
          <w:lang w:val="zh-CN" w:eastAsia="zh-CN"/>
        </w:rPr>
        <w:t>工程实施后，预防林果病虫害发生,提高于田县果品品质，可以实现林果产量、质量双增长，促进果农增收致富；二是增加农民收入的有效途径，改善项目区生态环境，从根本上解决群众的脱贫发展问题，促进果农增收致富。</w:t>
      </w:r>
    </w:p>
    <w:p w14:paraId="162B9D39">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3B7E91D5">
      <w:pPr>
        <w:spacing w:line="560" w:lineRule="exact"/>
        <w:ind w:firstLine="560" w:firstLineChars="200"/>
        <w:rPr>
          <w:rStyle w:val="21"/>
          <w:rFonts w:hint="eastAsia" w:ascii="仿宋_GB2312" w:hAnsi="Times New Roman" w:eastAsia="仿宋_GB2312" w:cs="Times New Roman"/>
          <w:b w:val="0"/>
          <w:snapToGrid/>
          <w:color w:val="auto"/>
          <w:spacing w:val="-4"/>
          <w:sz w:val="28"/>
          <w:szCs w:val="32"/>
          <w:highlight w:val="none"/>
          <w:lang w:val="zh-CN" w:eastAsia="zh-CN"/>
        </w:rPr>
      </w:pPr>
      <w:r>
        <w:rPr>
          <w:rFonts w:hint="eastAsia" w:ascii="仿宋_GB2312" w:hAnsi="Times New Roman" w:eastAsia="仿宋_GB2312" w:cs="Times New Roman"/>
          <w:color w:val="auto"/>
          <w:sz w:val="28"/>
          <w:szCs w:val="32"/>
          <w:highlight w:val="none"/>
          <w:lang w:val="zh-CN"/>
        </w:rPr>
        <w:t>于田县2024年林果病虫害（预防）防治项目根据于田县发展和改革委员会下发的《关于对于田县2024年林果病虫害（预防）防治项目实施方案的批复》（于发改项目（202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rPr>
        <w:t>）</w:t>
      </w:r>
      <w:r>
        <w:rPr>
          <w:rFonts w:hint="eastAsia" w:ascii="仿宋_GB2312" w:hAnsi="Times New Roman" w:eastAsia="仿宋_GB2312" w:cs="Times New Roman"/>
          <w:color w:val="auto"/>
          <w:sz w:val="28"/>
          <w:szCs w:val="32"/>
          <w:highlight w:val="none"/>
          <w:lang w:val="en-US" w:eastAsia="zh-CN"/>
        </w:rPr>
        <w:t>42</w:t>
      </w:r>
      <w:r>
        <w:rPr>
          <w:rFonts w:hint="eastAsia" w:ascii="仿宋_GB2312" w:hAnsi="Times New Roman" w:eastAsia="仿宋_GB2312" w:cs="Times New Roman"/>
          <w:color w:val="auto"/>
          <w:sz w:val="28"/>
          <w:szCs w:val="32"/>
          <w:highlight w:val="none"/>
          <w:lang w:val="zh-CN"/>
        </w:rPr>
        <w:t>号）及该项目实施方案实施，建设地点：</w:t>
      </w:r>
      <w:r>
        <w:rPr>
          <w:rFonts w:hint="eastAsia" w:ascii="仿宋_GB2312" w:hAnsi="Times New Roman" w:eastAsia="仿宋_GB2312" w:cs="Times New Roman"/>
          <w:color w:val="auto"/>
          <w:sz w:val="28"/>
          <w:szCs w:val="32"/>
          <w:highlight w:val="none"/>
          <w:lang w:val="en-US" w:eastAsia="zh-CN"/>
        </w:rPr>
        <w:t>英巴格乡，建设内容</w:t>
      </w:r>
      <w:r>
        <w:rPr>
          <w:rFonts w:hint="eastAsia" w:ascii="仿宋_GB2312" w:hAnsi="Times New Roman" w:eastAsia="仿宋_GB2312" w:cs="Times New Roman"/>
          <w:color w:val="auto"/>
          <w:sz w:val="28"/>
          <w:szCs w:val="32"/>
          <w:highlight w:val="none"/>
          <w:lang w:val="zh-CN"/>
        </w:rPr>
        <w:t>：在于田县所属 14 个乡镇开展示范园林果提质增效服务，以购置石硫合剂为主，共计 11 万亩、700 吨。通过项目的实施，预防林果病虫害发生</w:t>
      </w:r>
      <w:r>
        <w:rPr>
          <w:rFonts w:hint="eastAsia" w:ascii="仿宋_GB2312" w:hAnsi="Times New Roman" w:eastAsia="仿宋_GB2312" w:cs="Times New Roman"/>
          <w:color w:val="auto"/>
          <w:sz w:val="28"/>
          <w:szCs w:val="32"/>
          <w:highlight w:val="none"/>
          <w:lang w:val="en-US" w:eastAsia="zh-CN"/>
        </w:rPr>
        <w:t>,</w:t>
      </w:r>
      <w:r>
        <w:rPr>
          <w:rFonts w:hint="eastAsia" w:ascii="仿宋_GB2312" w:hAnsi="Times New Roman" w:eastAsia="仿宋_GB2312" w:cs="Times New Roman"/>
          <w:color w:val="auto"/>
          <w:sz w:val="28"/>
          <w:szCs w:val="32"/>
          <w:highlight w:val="none"/>
          <w:lang w:val="zh-CN"/>
        </w:rPr>
        <w:t>提高于田县果品品质，可以实现林果产量、质量双增长，促进果农增收致富；二是增加农民收入的有效途径，改善项目区生态环境，从根本上解决群众的脱贫发展问题，促进果农增收致富。</w:t>
      </w:r>
    </w:p>
    <w:p w14:paraId="27A72CDD">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32135A0E">
      <w:pPr>
        <w:spacing w:line="560" w:lineRule="exact"/>
        <w:ind w:firstLine="560" w:firstLineChars="200"/>
        <w:rPr>
          <w:rFonts w:hint="eastAsia" w:ascii="仿宋_GB2312" w:hAnsi="Times New Roman" w:eastAsia="仿宋_GB2312" w:cs="Times New Roman"/>
          <w:color w:val="auto"/>
          <w:sz w:val="28"/>
          <w:szCs w:val="32"/>
          <w:highlight w:val="none"/>
          <w:lang w:val="zh-CN" w:eastAsia="zh-CN"/>
        </w:rPr>
      </w:pPr>
      <w:r>
        <w:rPr>
          <w:rFonts w:hint="eastAsia" w:ascii="仿宋_GB2312" w:hAnsi="Times New Roman" w:eastAsia="仿宋_GB2312" w:cs="Times New Roman"/>
          <w:color w:val="auto"/>
          <w:sz w:val="28"/>
          <w:szCs w:val="32"/>
          <w:highlight w:val="none"/>
          <w:lang w:val="zh-CN" w:eastAsia="zh-CN"/>
        </w:rPr>
        <w:t>于田县2024年林果病虫害（预防）防治项目性质为</w:t>
      </w:r>
      <w:r>
        <w:rPr>
          <w:rFonts w:hint="eastAsia" w:ascii="仿宋_GB2312" w:hAnsi="Times New Roman" w:eastAsia="仿宋_GB2312" w:cs="Times New Roman"/>
          <w:color w:val="auto"/>
          <w:sz w:val="28"/>
          <w:szCs w:val="32"/>
          <w:highlight w:val="none"/>
          <w:lang w:val="en-US" w:eastAsia="zh-CN"/>
        </w:rPr>
        <w:t>其他</w:t>
      </w:r>
      <w:r>
        <w:rPr>
          <w:rFonts w:hint="eastAsia" w:ascii="仿宋_GB2312" w:hAnsi="Times New Roman" w:eastAsia="仿宋_GB2312" w:cs="Times New Roman"/>
          <w:color w:val="auto"/>
          <w:sz w:val="28"/>
          <w:szCs w:val="32"/>
          <w:highlight w:val="none"/>
          <w:lang w:val="zh-CN" w:eastAsia="zh-CN"/>
        </w:rPr>
        <w:t>项目，属于乡村振兴衔接资金项。</w:t>
      </w:r>
    </w:p>
    <w:p w14:paraId="70A9DBFD">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（二）财政专项乡村振兴衔接资金项目绩效目标设定情况</w:t>
      </w:r>
    </w:p>
    <w:p w14:paraId="485DBF6A">
      <w:pPr>
        <w:spacing w:line="560" w:lineRule="exact"/>
        <w:ind w:firstLine="562" w:firstLineChars="200"/>
        <w:rPr>
          <w:color w:val="auto"/>
          <w:highlight w:val="none"/>
        </w:rPr>
      </w:pPr>
      <w:r>
        <w:rPr>
          <w:rFonts w:hint="eastAsia" w:ascii="仿宋_GB2312" w:hAnsi="Times New Roman" w:eastAsia="仿宋_GB2312" w:cs="Times New Roman"/>
          <w:b/>
          <w:bCs/>
          <w:color w:val="auto"/>
          <w:sz w:val="28"/>
          <w:szCs w:val="32"/>
          <w:highlight w:val="none"/>
        </w:rPr>
        <w:t>1.项目绩效总体目标</w:t>
      </w:r>
    </w:p>
    <w:p w14:paraId="5B9ED99B">
      <w:pPr>
        <w:spacing w:line="560" w:lineRule="exact"/>
        <w:ind w:firstLine="560" w:firstLineChars="200"/>
        <w:rPr>
          <w:rStyle w:val="21"/>
          <w:rFonts w:hint="eastAsia" w:ascii="仿宋_GB2312" w:hAnsi="Times New Roman" w:eastAsia="仿宋_GB2312" w:cs="Times New Roman"/>
          <w:b w:val="0"/>
          <w:snapToGrid/>
          <w:color w:val="auto"/>
          <w:spacing w:val="-4"/>
          <w:sz w:val="28"/>
          <w:szCs w:val="32"/>
          <w:highlight w:val="none"/>
          <w:lang w:val="zh-CN"/>
        </w:rPr>
      </w:pPr>
      <w:r>
        <w:rPr>
          <w:rFonts w:hint="eastAsia" w:ascii="仿宋_GB2312" w:hAnsi="Times New Roman" w:eastAsia="仿宋_GB2312" w:cs="Times New Roman"/>
          <w:color w:val="auto"/>
          <w:sz w:val="28"/>
          <w:szCs w:val="32"/>
          <w:highlight w:val="none"/>
          <w:lang w:val="zh-CN" w:eastAsia="zh-CN"/>
        </w:rPr>
        <w:t>于田县2024年林果病虫害（预防）防治项目总投资</w:t>
      </w:r>
      <w:r>
        <w:rPr>
          <w:rFonts w:hint="eastAsia" w:ascii="仿宋_GB2312" w:hAnsi="Times New Roman" w:eastAsia="仿宋_GB2312" w:cs="Times New Roman"/>
          <w:color w:val="auto"/>
          <w:sz w:val="28"/>
          <w:szCs w:val="32"/>
          <w:highlight w:val="none"/>
          <w:lang w:val="en-US" w:eastAsia="zh-CN"/>
        </w:rPr>
        <w:t>205万元</w:t>
      </w:r>
      <w:r>
        <w:rPr>
          <w:rFonts w:hint="eastAsia" w:ascii="仿宋_GB2312" w:hAnsi="Times New Roman" w:eastAsia="仿宋_GB2312" w:cs="Times New Roman"/>
          <w:color w:val="auto"/>
          <w:sz w:val="28"/>
          <w:szCs w:val="32"/>
          <w:highlight w:val="none"/>
          <w:lang w:val="zh-CN" w:eastAsia="zh-CN"/>
        </w:rPr>
        <w:t>，资金来源：</w:t>
      </w:r>
      <w:r>
        <w:rPr>
          <w:rFonts w:hint="eastAsia" w:ascii="仿宋_GB2312" w:hAnsi="Times New Roman" w:eastAsia="仿宋_GB2312" w:cs="Times New Roman"/>
          <w:color w:val="auto"/>
          <w:sz w:val="28"/>
          <w:szCs w:val="32"/>
          <w:highlight w:val="none"/>
          <w:lang w:val="en-US" w:eastAsia="zh-CN"/>
        </w:rPr>
        <w:t>乡村振兴衔接资金</w:t>
      </w:r>
      <w:r>
        <w:rPr>
          <w:rFonts w:hint="eastAsia" w:ascii="仿宋_GB2312" w:hAnsi="Times New Roman" w:eastAsia="仿宋_GB2312" w:cs="Times New Roman"/>
          <w:color w:val="auto"/>
          <w:sz w:val="28"/>
          <w:szCs w:val="32"/>
          <w:highlight w:val="none"/>
          <w:lang w:val="zh-CN" w:eastAsia="zh-CN"/>
        </w:rPr>
        <w:t>。</w:t>
      </w:r>
      <w:r>
        <w:rPr>
          <w:rFonts w:hint="eastAsia" w:ascii="仿宋_GB2312" w:hAnsi="Times New Roman" w:eastAsia="仿宋_GB2312" w:cs="Times New Roman"/>
          <w:color w:val="auto"/>
          <w:sz w:val="28"/>
          <w:szCs w:val="32"/>
          <w:highlight w:val="none"/>
          <w:lang w:val="en-US" w:eastAsia="zh-CN"/>
        </w:rPr>
        <w:t>建设内容</w:t>
      </w:r>
      <w:r>
        <w:rPr>
          <w:rFonts w:hint="eastAsia" w:ascii="仿宋_GB2312" w:hAnsi="Times New Roman" w:eastAsia="仿宋_GB2312" w:cs="Times New Roman"/>
          <w:color w:val="auto"/>
          <w:sz w:val="28"/>
          <w:szCs w:val="32"/>
          <w:highlight w:val="none"/>
          <w:lang w:val="zh-CN"/>
        </w:rPr>
        <w:t>：在于田县所属 14 个乡镇开展示范园林果提质增效服务，以购置石硫合剂为主，共计 11 万亩、700 吨。</w:t>
      </w:r>
    </w:p>
    <w:p w14:paraId="116ABEC9">
      <w:pPr>
        <w:pStyle w:val="54"/>
        <w:spacing w:line="560" w:lineRule="exact"/>
        <w:ind w:left="3" w:right="3" w:firstLine="560"/>
        <w:rPr>
          <w:rFonts w:ascii="仿宋_GB2312"/>
          <w:color w:val="auto"/>
          <w:szCs w:val="32"/>
          <w:highlight w:val="none"/>
        </w:rPr>
      </w:pPr>
      <w:r>
        <w:rPr>
          <w:rFonts w:hint="eastAsia" w:ascii="仿宋_GB2312" w:hAnsi="Times New Roman" w:eastAsia="仿宋_GB2312" w:cs="Times New Roman"/>
          <w:color w:val="auto"/>
          <w:sz w:val="28"/>
          <w:szCs w:val="32"/>
          <w:highlight w:val="none"/>
          <w:lang w:val="zh-CN"/>
        </w:rPr>
        <w:t>通过是深入贯彻落实国家、自治区和地委巩固脱贫攻坚成果的决策部署，加快推进乡村振兴战略、增强群众幸福感、获得感的民生和暖心工程；项目实施后，沿线的各个村子的所有村民均可受益，</w:t>
      </w:r>
      <w:r>
        <w:rPr>
          <w:rFonts w:hint="eastAsia" w:ascii="仿宋_GB2312"/>
          <w:szCs w:val="32"/>
        </w:rPr>
        <w:t>对于田县农民致富，乃至整个区域经济的发展都是十分重要的</w:t>
      </w:r>
      <w:r>
        <w:rPr>
          <w:rFonts w:hint="eastAsia" w:ascii="仿宋_GB2312" w:hAnsi="Times New Roman" w:eastAsia="仿宋_GB2312" w:cs="Times New Roman"/>
          <w:color w:val="auto"/>
          <w:sz w:val="28"/>
          <w:szCs w:val="32"/>
          <w:highlight w:val="none"/>
          <w:lang w:val="zh-CN"/>
        </w:rPr>
        <w:t>提高经济收入</w:t>
      </w:r>
      <w:r>
        <w:rPr>
          <w:rFonts w:hint="eastAsia" w:ascii="仿宋_GB2312" w:cs="Times New Roman"/>
          <w:color w:val="auto"/>
          <w:sz w:val="28"/>
          <w:szCs w:val="32"/>
          <w:highlight w:val="none"/>
          <w:lang w:val="en-US" w:eastAsia="zh-CN"/>
        </w:rPr>
        <w:t>,</w:t>
      </w:r>
      <w:r>
        <w:rPr>
          <w:rFonts w:hint="eastAsia" w:ascii="仿宋_GB2312" w:hAnsi="Times New Roman" w:eastAsia="仿宋_GB2312" w:cs="Times New Roman"/>
          <w:color w:val="auto"/>
          <w:sz w:val="28"/>
          <w:szCs w:val="32"/>
          <w:highlight w:val="none"/>
          <w:lang w:val="zh-CN"/>
        </w:rPr>
        <w:t>从而达到推动乡村振兴</w:t>
      </w:r>
      <w:r>
        <w:rPr>
          <w:rFonts w:hint="eastAsia" w:ascii="仿宋_GB2312"/>
          <w:color w:val="auto"/>
          <w:szCs w:val="28"/>
          <w:highlight w:val="none"/>
          <w:lang w:val="zh-CN"/>
        </w:rPr>
        <w:t>。</w:t>
      </w:r>
    </w:p>
    <w:p w14:paraId="207A65BF">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46AA01AA">
      <w:pPr>
        <w:pStyle w:val="54"/>
        <w:spacing w:line="560" w:lineRule="exact"/>
        <w:ind w:left="3" w:right="3" w:firstLine="560"/>
        <w:rPr>
          <w:rFonts w:hint="eastAsia" w:ascii="仿宋_GB2312" w:eastAsia="仿宋_GB2312"/>
          <w:color w:val="auto"/>
          <w:szCs w:val="32"/>
          <w:highlight w:val="none"/>
          <w:lang w:eastAsia="zh-CN"/>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w:t>
      </w:r>
      <w:r>
        <w:rPr>
          <w:rFonts w:hint="eastAsia" w:ascii="仿宋_GB2312"/>
          <w:color w:val="auto"/>
          <w:szCs w:val="32"/>
          <w:highlight w:val="none"/>
          <w:lang w:val="en-US" w:eastAsia="zh-CN"/>
        </w:rPr>
        <w:t>9</w:t>
      </w:r>
      <w:r>
        <w:rPr>
          <w:rFonts w:hint="eastAsia" w:ascii="仿宋_GB2312"/>
          <w:color w:val="auto"/>
          <w:szCs w:val="32"/>
          <w:highlight w:val="none"/>
        </w:rPr>
        <w:t>个，其中已完成三级指</w:t>
      </w:r>
      <w:r>
        <w:rPr>
          <w:rStyle w:val="21"/>
          <w:rFonts w:hint="eastAsia" w:ascii="仿宋_GB2312" w:hAnsi="仿宋"/>
          <w:b w:val="0"/>
          <w:spacing w:val="-4"/>
          <w:szCs w:val="32"/>
        </w:rPr>
        <w:t>标</w:t>
      </w:r>
      <w:r>
        <w:rPr>
          <w:rStyle w:val="21"/>
          <w:rFonts w:hint="eastAsia" w:ascii="仿宋_GB2312" w:hAnsi="仿宋"/>
          <w:b w:val="0"/>
          <w:spacing w:val="-4"/>
          <w:szCs w:val="32"/>
          <w:lang w:val="en-US" w:eastAsia="zh-CN"/>
        </w:rPr>
        <w:t>8</w:t>
      </w:r>
      <w:r>
        <w:rPr>
          <w:rStyle w:val="21"/>
          <w:rFonts w:hint="eastAsia" w:ascii="仿宋_GB2312" w:hAnsi="仿宋"/>
          <w:b w:val="0"/>
          <w:spacing w:val="-4"/>
          <w:szCs w:val="32"/>
        </w:rPr>
        <w:t>个</w:t>
      </w:r>
      <w:r>
        <w:rPr>
          <w:rStyle w:val="21"/>
          <w:rFonts w:hint="eastAsia" w:ascii="仿宋_GB2312" w:hAnsi="仿宋"/>
          <w:b w:val="0"/>
          <w:spacing w:val="-4"/>
          <w:szCs w:val="32"/>
          <w:lang w:eastAsia="zh-CN"/>
        </w:rPr>
        <w:t>。</w:t>
      </w:r>
    </w:p>
    <w:p w14:paraId="64FDD985">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A519674">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（一）绩效自评工作开展范围</w:t>
      </w:r>
    </w:p>
    <w:p w14:paraId="0F75EA2E">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391480DB">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（二）绩效自评工作对象</w:t>
      </w:r>
    </w:p>
    <w:p w14:paraId="1283909A">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于田县2024年林果病虫害（预防）防治项目</w:t>
      </w:r>
      <w:r>
        <w:rPr>
          <w:rFonts w:hint="eastAsia"/>
          <w:color w:val="auto"/>
          <w:highlight w:val="none"/>
          <w:lang w:eastAsia="zh-CN"/>
        </w:rPr>
        <w:tab/>
      </w:r>
      <w:r>
        <w:rPr>
          <w:color w:val="auto"/>
          <w:highlight w:val="none"/>
        </w:rPr>
        <w:t>资金的使用管理、项目产出、综合效益等进行评价。</w:t>
      </w:r>
    </w:p>
    <w:p w14:paraId="484CD6B2">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（三）绩效自评工作方式</w:t>
      </w:r>
    </w:p>
    <w:p w14:paraId="74F61A27">
      <w:pPr>
        <w:pStyle w:val="35"/>
        <w:rPr>
          <w:color w:val="auto"/>
          <w:highlight w:val="none"/>
        </w:rPr>
      </w:pPr>
      <w:r>
        <w:rPr>
          <w:rFonts w:hint="eastAsia"/>
          <w:color w:val="auto"/>
          <w:highlight w:val="none"/>
        </w:rPr>
        <w:t>1.前期准备</w:t>
      </w:r>
    </w:p>
    <w:p w14:paraId="7A39CFA9">
      <w:pPr>
        <w:pStyle w:val="54"/>
        <w:spacing w:line="560" w:lineRule="exact"/>
        <w:ind w:left="3" w:right="0" w:rightChars="0" w:firstLine="560"/>
        <w:rPr>
          <w:color w:val="auto"/>
          <w:highlight w:val="none"/>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，认真学习相关要求与规定，成立绩效自评工作组，作为绩效自评工作具体实施机构。成员构成如下：</w:t>
      </w:r>
    </w:p>
    <w:p w14:paraId="5C78415D">
      <w:pPr>
        <w:pStyle w:val="54"/>
        <w:spacing w:line="560" w:lineRule="exact"/>
        <w:ind w:right="3"/>
        <w:rPr>
          <w:rFonts w:hint="eastAsia"/>
          <w:color w:val="auto"/>
          <w:highlight w:val="none"/>
        </w:rPr>
      </w:pPr>
      <w:r>
        <w:rPr>
          <w:rFonts w:hint="eastAsia"/>
          <w:color w:val="auto"/>
          <w:highlight w:val="none"/>
        </w:rPr>
        <w:t xml:space="preserve">组 </w:t>
      </w:r>
      <w:r>
        <w:rPr>
          <w:rFonts w:hint="eastAsia"/>
          <w:color w:val="auto"/>
          <w:highlight w:val="none"/>
          <w:lang w:val="en-US" w:eastAsia="zh-CN"/>
        </w:rPr>
        <w:t xml:space="preserve">  </w:t>
      </w:r>
      <w:r>
        <w:rPr>
          <w:rFonts w:hint="eastAsia"/>
          <w:color w:val="auto"/>
          <w:highlight w:val="none"/>
        </w:rPr>
        <w:t xml:space="preserve"> 长：</w:t>
      </w:r>
      <w:r>
        <w:rPr>
          <w:rFonts w:hint="eastAsia"/>
          <w:color w:val="auto"/>
          <w:highlight w:val="none"/>
          <w:lang w:val="en-US" w:eastAsia="zh-CN"/>
        </w:rPr>
        <w:t xml:space="preserve">贾存鹏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林业和草原局党委书记、局长</w:t>
      </w:r>
    </w:p>
    <w:p w14:paraId="4A4ACC95">
      <w:pPr>
        <w:pStyle w:val="54"/>
        <w:spacing w:line="560" w:lineRule="exact"/>
        <w:ind w:right="3"/>
        <w:rPr>
          <w:rFonts w:hint="eastAsia"/>
          <w:color w:val="auto"/>
          <w:highlight w:val="none"/>
        </w:rPr>
      </w:pPr>
      <w:r>
        <w:rPr>
          <w:rFonts w:hint="eastAsia"/>
          <w:color w:val="auto"/>
          <w:highlight w:val="none"/>
        </w:rPr>
        <w:t xml:space="preserve">副组长：江东辉                  </w:t>
      </w:r>
      <w:r>
        <w:rPr>
          <w:rFonts w:hint="eastAsia"/>
          <w:color w:val="auto"/>
          <w:highlight w:val="none"/>
          <w:lang w:val="en-US" w:eastAsia="zh-CN"/>
        </w:rPr>
        <w:t xml:space="preserve">                                  </w:t>
      </w:r>
      <w:r>
        <w:rPr>
          <w:rFonts w:hint="eastAsia"/>
          <w:color w:val="auto"/>
          <w:highlight w:val="none"/>
        </w:rPr>
        <w:t>林业和草原局副局长</w:t>
      </w:r>
    </w:p>
    <w:p w14:paraId="43BD18C0">
      <w:pPr>
        <w:pStyle w:val="54"/>
        <w:spacing w:line="560" w:lineRule="exact"/>
        <w:ind w:right="3"/>
        <w:rPr>
          <w:rFonts w:hint="eastAsia"/>
          <w:color w:val="auto"/>
          <w:highlight w:val="none"/>
        </w:rPr>
      </w:pPr>
      <w:r>
        <w:rPr>
          <w:rFonts w:hint="eastAsia"/>
          <w:color w:val="auto"/>
          <w:highlight w:val="none"/>
        </w:rPr>
        <w:t>成</w:t>
      </w:r>
      <w:r>
        <w:rPr>
          <w:rFonts w:hint="eastAsia"/>
          <w:color w:val="auto"/>
          <w:highlight w:val="none"/>
          <w:lang w:val="en-US" w:eastAsia="zh-CN"/>
        </w:rPr>
        <w:t xml:space="preserve">  </w:t>
      </w:r>
      <w:r>
        <w:rPr>
          <w:rFonts w:hint="eastAsia"/>
          <w:color w:val="auto"/>
          <w:highlight w:val="none"/>
        </w:rPr>
        <w:t xml:space="preserve">  员：刘德刚                          </w:t>
      </w:r>
      <w:r>
        <w:rPr>
          <w:rFonts w:hint="eastAsia"/>
          <w:color w:val="auto"/>
          <w:highlight w:val="none"/>
          <w:lang w:val="en-US" w:eastAsia="zh-CN"/>
        </w:rPr>
        <w:t xml:space="preserve">                                         </w:t>
      </w:r>
      <w:r>
        <w:rPr>
          <w:rFonts w:hint="eastAsia"/>
          <w:color w:val="auto"/>
          <w:highlight w:val="none"/>
        </w:rPr>
        <w:t>办公室主任</w:t>
      </w:r>
    </w:p>
    <w:p w14:paraId="52166441">
      <w:pPr>
        <w:pStyle w:val="54"/>
        <w:spacing w:line="560" w:lineRule="exact"/>
        <w:ind w:right="3" w:firstLine="1400" w:firstLineChars="500"/>
        <w:rPr>
          <w:rFonts w:hint="eastAsia"/>
          <w:color w:val="auto"/>
          <w:highlight w:val="none"/>
        </w:rPr>
      </w:pPr>
      <w:r>
        <w:rPr>
          <w:rFonts w:hint="eastAsia"/>
          <w:color w:val="auto"/>
          <w:highlight w:val="none"/>
        </w:rPr>
        <w:t xml:space="preserve">古丽尼亚孜·阿布杜外力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财务室科员</w:t>
      </w:r>
    </w:p>
    <w:p w14:paraId="32DA5CC5">
      <w:pPr>
        <w:pStyle w:val="54"/>
        <w:spacing w:line="560" w:lineRule="exact"/>
        <w:ind w:right="3" w:firstLine="1400" w:firstLineChars="500"/>
        <w:rPr>
          <w:rFonts w:hint="eastAsia"/>
          <w:color w:val="auto"/>
          <w:highlight w:val="none"/>
        </w:rPr>
      </w:pPr>
      <w:r>
        <w:rPr>
          <w:rFonts w:hint="eastAsia"/>
          <w:color w:val="auto"/>
          <w:highlight w:val="none"/>
        </w:rPr>
        <w:t xml:space="preserve">买提库尔班·买吐肉孜   </w:t>
      </w:r>
      <w:r>
        <w:rPr>
          <w:rFonts w:hint="eastAsia"/>
          <w:color w:val="auto"/>
          <w:highlight w:val="none"/>
          <w:lang w:val="en-US" w:eastAsia="zh-CN"/>
        </w:rPr>
        <w:t xml:space="preserve">                        </w:t>
      </w:r>
      <w:r>
        <w:rPr>
          <w:rFonts w:hint="eastAsia"/>
          <w:color w:val="auto"/>
          <w:highlight w:val="none"/>
        </w:rPr>
        <w:t>于田县国有苗圃主任</w:t>
      </w:r>
    </w:p>
    <w:p w14:paraId="58DCE4E1">
      <w:pPr>
        <w:pStyle w:val="54"/>
        <w:spacing w:line="560" w:lineRule="exact"/>
        <w:ind w:left="0" w:leftChars="0" w:right="3" w:firstLine="1400" w:firstLineChars="500"/>
        <w:rPr>
          <w:color w:val="auto"/>
          <w:highlight w:val="none"/>
        </w:rPr>
      </w:pPr>
      <w:r>
        <w:rPr>
          <w:rFonts w:hint="eastAsia"/>
          <w:color w:val="auto"/>
          <w:highlight w:val="none"/>
        </w:rPr>
        <w:t xml:space="preserve">买买江.木沙             </w:t>
      </w:r>
      <w:r>
        <w:rPr>
          <w:rFonts w:hint="eastAsia"/>
          <w:color w:val="auto"/>
          <w:highlight w:val="none"/>
          <w:lang w:val="en-US" w:eastAsia="zh-CN"/>
        </w:rPr>
        <w:t xml:space="preserve">                                     </w:t>
      </w:r>
      <w:r>
        <w:rPr>
          <w:rFonts w:hint="eastAsia"/>
          <w:color w:val="auto"/>
          <w:highlight w:val="none"/>
        </w:rPr>
        <w:t xml:space="preserve"> 森防办公室负责人</w:t>
      </w:r>
    </w:p>
    <w:p w14:paraId="69B6B630">
      <w:pPr>
        <w:pStyle w:val="35"/>
        <w:rPr>
          <w:rFonts w:hint="eastAsia"/>
          <w:color w:val="auto"/>
          <w:highlight w:val="none"/>
        </w:rPr>
      </w:pPr>
      <w:r>
        <w:rPr>
          <w:rFonts w:hint="eastAsia"/>
          <w:color w:val="auto"/>
          <w:highlight w:val="none"/>
        </w:rPr>
        <w:t>领导小组下设办公室，办公室设在</w:t>
      </w:r>
      <w:r>
        <w:rPr>
          <w:rFonts w:hint="eastAsia"/>
          <w:color w:val="auto"/>
          <w:highlight w:val="none"/>
          <w:lang w:val="en-US" w:eastAsia="zh-CN"/>
        </w:rPr>
        <w:t>林草局项目</w:t>
      </w:r>
      <w:r>
        <w:rPr>
          <w:rFonts w:hint="eastAsia"/>
          <w:color w:val="auto"/>
          <w:highlight w:val="none"/>
        </w:rPr>
        <w:t>办公室，办公室主任由刘德刚兼任。办公室负责项目的计划制定、实施，督查、指导相关单位共同做好项目管理工作。</w:t>
      </w:r>
    </w:p>
    <w:p w14:paraId="57B8DD95">
      <w:pPr>
        <w:pStyle w:val="35"/>
        <w:rPr>
          <w:rFonts w:hint="eastAsia"/>
          <w:color w:val="auto"/>
          <w:highlight w:val="none"/>
        </w:rPr>
      </w:pPr>
      <w:r>
        <w:rPr>
          <w:rFonts w:hint="eastAsia"/>
          <w:color w:val="auto"/>
          <w:highlight w:val="none"/>
        </w:rPr>
        <w:t>林业和草原局高度重视该项目建设工作，切实把该项目作为生态健康建设的重要举措来抓，加强领导，明确分工，落实责任，密切配合，形成合力，推动该项目顺利实施。由于田县林</w:t>
      </w:r>
      <w:r>
        <w:rPr>
          <w:rFonts w:hint="eastAsia"/>
          <w:color w:val="auto"/>
          <w:highlight w:val="none"/>
          <w:lang w:val="en-US" w:eastAsia="zh-CN"/>
        </w:rPr>
        <w:t>草</w:t>
      </w:r>
      <w:r>
        <w:rPr>
          <w:rFonts w:hint="eastAsia"/>
          <w:color w:val="auto"/>
          <w:highlight w:val="none"/>
        </w:rPr>
        <w:t>局牵头，负责整个项目的统筹安排和经费使用管理工作，实现分级管理制度：</w:t>
      </w:r>
    </w:p>
    <w:p w14:paraId="45F474B7">
      <w:pPr>
        <w:pStyle w:val="35"/>
        <w:rPr>
          <w:color w:val="auto"/>
          <w:highlight w:val="none"/>
        </w:rPr>
      </w:pPr>
      <w:r>
        <w:rPr>
          <w:rFonts w:hint="eastAsia"/>
          <w:color w:val="auto"/>
          <w:highlight w:val="none"/>
        </w:rPr>
        <w:t>2.组织实施</w:t>
      </w:r>
    </w:p>
    <w:p w14:paraId="687CF2BD">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0219F975">
      <w:pPr>
        <w:pStyle w:val="35"/>
        <w:rPr>
          <w:color w:val="auto"/>
          <w:highlight w:val="none"/>
        </w:rPr>
      </w:pPr>
      <w:r>
        <w:rPr>
          <w:rFonts w:hint="eastAsia"/>
          <w:color w:val="auto"/>
          <w:highlight w:val="none"/>
        </w:rPr>
        <w:t>3.分析评价。</w:t>
      </w:r>
    </w:p>
    <w:p w14:paraId="42CEEB6A">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3035722B">
      <w:pPr>
        <w:pStyle w:val="54"/>
        <w:spacing w:line="560" w:lineRule="exact"/>
        <w:ind w:left="3" w:right="3" w:firstLine="560"/>
        <w:rPr>
          <w:color w:val="auto"/>
          <w:highlight w:val="none"/>
        </w:rPr>
      </w:pPr>
      <w:r>
        <w:rPr>
          <w:color w:val="auto"/>
          <w:highlight w:val="none"/>
        </w:rPr>
        <w:t>（1）绩效自评指标体系</w:t>
      </w:r>
    </w:p>
    <w:p w14:paraId="09941FBC">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14</w:t>
      </w:r>
      <w:r>
        <w:rPr>
          <w:color w:val="auto"/>
          <w:highlight w:val="none"/>
        </w:rPr>
        <w:t>分、质量指标</w:t>
      </w:r>
      <w:r>
        <w:rPr>
          <w:rFonts w:hint="eastAsia"/>
          <w:color w:val="auto"/>
          <w:highlight w:val="none"/>
          <w:lang w:val="en-US" w:eastAsia="zh-CN"/>
        </w:rPr>
        <w:t>14</w:t>
      </w:r>
      <w:r>
        <w:rPr>
          <w:color w:val="auto"/>
          <w:highlight w:val="none"/>
        </w:rPr>
        <w:t>分，时效指标</w:t>
      </w:r>
      <w:r>
        <w:rPr>
          <w:rFonts w:hint="eastAsia"/>
          <w:color w:val="auto"/>
          <w:highlight w:val="none"/>
          <w:lang w:val="en-US" w:eastAsia="zh-CN"/>
        </w:rPr>
        <w:t>14</w:t>
      </w:r>
      <w:r>
        <w:rPr>
          <w:color w:val="auto"/>
          <w:highlight w:val="none"/>
        </w:rPr>
        <w:t>分、成本指标</w:t>
      </w:r>
      <w:r>
        <w:rPr>
          <w:rFonts w:hint="eastAsia"/>
          <w:color w:val="auto"/>
          <w:highlight w:val="none"/>
          <w:lang w:val="en-US" w:eastAsia="zh-CN"/>
        </w:rPr>
        <w:t>8</w:t>
      </w:r>
      <w:r>
        <w:rPr>
          <w:color w:val="auto"/>
          <w:highlight w:val="none"/>
        </w:rPr>
        <w:t>分、社会效益指标</w:t>
      </w:r>
      <w:r>
        <w:rPr>
          <w:rFonts w:hint="eastAsia"/>
          <w:color w:val="auto"/>
          <w:highlight w:val="none"/>
          <w:lang w:val="en-US" w:eastAsia="zh-CN"/>
        </w:rPr>
        <w:t>30</w:t>
      </w:r>
      <w:r>
        <w:rPr>
          <w:color w:val="auto"/>
          <w:highlight w:val="none"/>
        </w:rPr>
        <w:t>分、满意度指标10分、预算资金执行率10分，满分100分。</w:t>
      </w:r>
    </w:p>
    <w:p w14:paraId="1B194F49">
      <w:pPr>
        <w:pStyle w:val="54"/>
        <w:spacing w:line="560" w:lineRule="exact"/>
        <w:ind w:left="3" w:right="3" w:firstLine="560"/>
        <w:rPr>
          <w:color w:val="auto"/>
          <w:highlight w:val="none"/>
        </w:rPr>
      </w:pPr>
      <w:r>
        <w:rPr>
          <w:color w:val="auto"/>
          <w:highlight w:val="none"/>
        </w:rPr>
        <w:t>（2）绩效自评方法</w:t>
      </w:r>
    </w:p>
    <w:p w14:paraId="0B570EA4">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70F35797">
      <w:pPr>
        <w:pStyle w:val="54"/>
        <w:spacing w:line="560" w:lineRule="exact"/>
        <w:ind w:left="3" w:right="3" w:firstLine="560"/>
        <w:rPr>
          <w:color w:val="auto"/>
          <w:highlight w:val="none"/>
        </w:rPr>
      </w:pPr>
      <w:r>
        <w:rPr>
          <w:color w:val="auto"/>
          <w:highlight w:val="none"/>
        </w:rPr>
        <w:t>（3）绩效自评标准</w:t>
      </w:r>
    </w:p>
    <w:p w14:paraId="6D5997CC">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8398EAB">
      <w:pPr>
        <w:pStyle w:val="54"/>
        <w:spacing w:line="560" w:lineRule="exact"/>
        <w:ind w:left="3" w:right="3" w:firstLine="560"/>
        <w:rPr>
          <w:color w:val="auto"/>
          <w:highlight w:val="none"/>
        </w:rPr>
      </w:pPr>
      <w:r>
        <w:rPr>
          <w:color w:val="auto"/>
          <w:highlight w:val="none"/>
        </w:rPr>
        <w:t>（4）绩效自评等级</w:t>
      </w:r>
    </w:p>
    <w:p w14:paraId="4C567CA8">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FE9C72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323604CC">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（一）资金投入情况分析</w:t>
      </w:r>
    </w:p>
    <w:p w14:paraId="0753053A">
      <w:pPr>
        <w:pStyle w:val="35"/>
        <w:rPr>
          <w:color w:val="auto"/>
          <w:highlight w:val="none"/>
        </w:rPr>
      </w:pPr>
      <w:r>
        <w:rPr>
          <w:rFonts w:hint="eastAsia"/>
          <w:color w:val="auto"/>
          <w:highlight w:val="none"/>
        </w:rPr>
        <w:t>1.项目资金到位情况分析</w:t>
      </w:r>
    </w:p>
    <w:p w14:paraId="63477746">
      <w:pPr>
        <w:pStyle w:val="54"/>
        <w:spacing w:line="560" w:lineRule="exact"/>
        <w:ind w:left="0" w:leftChars="0" w:right="3" w:firstLine="560"/>
        <w:rPr>
          <w:color w:val="auto"/>
          <w:highlight w:val="none"/>
        </w:rPr>
      </w:pPr>
      <w:r>
        <w:rPr>
          <w:rFonts w:hint="eastAsia"/>
          <w:color w:val="auto"/>
          <w:highlight w:val="none"/>
          <w:lang w:eastAsia="zh-CN"/>
        </w:rPr>
        <w:t>于田县2024年林果病虫害（预防）防治项目</w:t>
      </w:r>
      <w:r>
        <w:rPr>
          <w:rFonts w:hint="eastAsia"/>
          <w:color w:val="auto"/>
          <w:highlight w:val="none"/>
        </w:rPr>
        <w:t>预算安排总额为</w:t>
      </w:r>
      <w:r>
        <w:rPr>
          <w:rFonts w:hint="eastAsia"/>
          <w:color w:val="auto"/>
          <w:highlight w:val="none"/>
          <w:lang w:val="en-US" w:eastAsia="zh-CN"/>
        </w:rPr>
        <w:t>205万元</w:t>
      </w:r>
      <w:r>
        <w:rPr>
          <w:rFonts w:hint="eastAsia"/>
          <w:color w:val="auto"/>
          <w:highlight w:val="none"/>
        </w:rPr>
        <w:t>，其中：</w:t>
      </w:r>
      <w:r>
        <w:rPr>
          <w:rFonts w:hint="eastAsia"/>
          <w:color w:val="auto"/>
          <w:highlight w:val="none"/>
          <w:lang w:val="en-US" w:eastAsia="zh-CN"/>
        </w:rPr>
        <w:t>乡村振兴衔接资金205万元</w:t>
      </w:r>
      <w:r>
        <w:rPr>
          <w:rFonts w:hint="eastAsia"/>
          <w:color w:val="auto"/>
          <w:highlight w:val="none"/>
        </w:rPr>
        <w:t>。预算资金到位率为100.00%。</w:t>
      </w:r>
    </w:p>
    <w:p w14:paraId="53A8C061">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4FFDC456">
      <w:pPr>
        <w:pStyle w:val="54"/>
        <w:spacing w:line="560" w:lineRule="exact"/>
        <w:ind w:left="0" w:leftChars="0" w:right="3" w:firstLine="560"/>
        <w:rPr>
          <w:color w:val="auto"/>
          <w:highlight w:val="none"/>
        </w:rPr>
      </w:pPr>
      <w:r>
        <w:rPr>
          <w:rFonts w:hint="eastAsia"/>
          <w:color w:val="auto"/>
          <w:highlight w:val="none"/>
          <w:lang w:eastAsia="zh-CN"/>
        </w:rPr>
        <w:t>于田县2024年林果病虫害（预防）防治项目</w:t>
      </w:r>
      <w:r>
        <w:rPr>
          <w:rFonts w:hint="eastAsia"/>
          <w:color w:val="auto"/>
          <w:highlight w:val="none"/>
        </w:rPr>
        <w:t>预算投入资金</w:t>
      </w:r>
      <w:r>
        <w:rPr>
          <w:rFonts w:hint="eastAsia"/>
          <w:color w:val="auto"/>
          <w:highlight w:val="none"/>
          <w:lang w:val="en-US" w:eastAsia="zh-CN"/>
        </w:rPr>
        <w:t>205万元</w:t>
      </w:r>
      <w:r>
        <w:rPr>
          <w:rFonts w:hint="eastAsia"/>
          <w:color w:val="auto"/>
          <w:highlight w:val="none"/>
        </w:rPr>
        <w:t>，经财务决算，项目实际完成投资共</w:t>
      </w:r>
      <w:r>
        <w:rPr>
          <w:rFonts w:hint="eastAsia"/>
          <w:color w:val="auto"/>
          <w:highlight w:val="none"/>
          <w:lang w:val="en-US" w:eastAsia="zh-CN"/>
        </w:rPr>
        <w:t>184.10</w:t>
      </w:r>
      <w:r>
        <w:rPr>
          <w:rFonts w:hint="eastAsia"/>
          <w:color w:val="auto"/>
          <w:highlight w:val="none"/>
        </w:rPr>
        <w:t>万元</w:t>
      </w:r>
      <w:r>
        <w:rPr>
          <w:rFonts w:hint="eastAsia"/>
          <w:color w:val="auto"/>
          <w:highlight w:val="none"/>
          <w:lang w:eastAsia="zh-CN"/>
        </w:rPr>
        <w:t>，</w:t>
      </w:r>
      <w:r>
        <w:rPr>
          <w:rFonts w:hint="eastAsia"/>
          <w:color w:val="auto"/>
          <w:highlight w:val="none"/>
          <w:lang w:val="en-US" w:eastAsia="zh-CN"/>
        </w:rPr>
        <w:t>均为采购成本</w:t>
      </w:r>
      <w:r>
        <w:rPr>
          <w:rFonts w:hint="eastAsia"/>
          <w:color w:val="auto"/>
          <w:highlight w:val="none"/>
        </w:rPr>
        <w:t>，项目实际支出</w:t>
      </w:r>
      <w:r>
        <w:rPr>
          <w:rFonts w:hint="eastAsia"/>
          <w:color w:val="auto"/>
          <w:highlight w:val="none"/>
          <w:lang w:val="en-US" w:eastAsia="zh-CN"/>
        </w:rPr>
        <w:t>184.10</w:t>
      </w:r>
      <w:r>
        <w:rPr>
          <w:rFonts w:hint="eastAsia"/>
          <w:color w:val="auto"/>
          <w:highlight w:val="none"/>
        </w:rPr>
        <w:t>万元，</w:t>
      </w:r>
      <w:r>
        <w:rPr>
          <w:rStyle w:val="21"/>
          <w:rFonts w:hint="eastAsia" w:ascii="仿宋_GB2312" w:hAnsi="仿宋"/>
          <w:b w:val="0"/>
          <w:color w:val="auto"/>
          <w:spacing w:val="-4"/>
          <w:szCs w:val="32"/>
          <w:highlight w:val="none"/>
        </w:rPr>
        <w:t>工程节概资</w:t>
      </w:r>
      <w:r>
        <w:rPr>
          <w:rStyle w:val="21"/>
          <w:rFonts w:hint="eastAsia" w:ascii="仿宋_GB2312" w:hAnsi="仿宋" w:eastAsia="宋体"/>
          <w:b w:val="0"/>
          <w:color w:val="auto"/>
          <w:spacing w:val="-4"/>
          <w:szCs w:val="32"/>
          <w:highlight w:val="none"/>
        </w:rPr>
        <w:t>金</w:t>
      </w:r>
      <w:r>
        <w:rPr>
          <w:rStyle w:val="21"/>
          <w:rFonts w:hint="eastAsia" w:ascii="仿宋_GB2312" w:hAnsi="仿宋" w:eastAsia="宋体"/>
          <w:b w:val="0"/>
          <w:color w:val="auto"/>
          <w:spacing w:val="-4"/>
          <w:szCs w:val="32"/>
          <w:highlight w:val="none"/>
          <w:lang w:val="en-US" w:eastAsia="zh-CN"/>
        </w:rPr>
        <w:t>20.9</w:t>
      </w:r>
      <w:r>
        <w:rPr>
          <w:rStyle w:val="21"/>
          <w:rFonts w:hint="eastAsia" w:ascii="仿宋_GB2312" w:hAnsi="仿宋"/>
          <w:b w:val="0"/>
          <w:color w:val="auto"/>
          <w:spacing w:val="-4"/>
          <w:szCs w:val="32"/>
          <w:highlight w:val="none"/>
        </w:rPr>
        <w:t>万元</w:t>
      </w:r>
      <w:r>
        <w:rPr>
          <w:rStyle w:val="21"/>
          <w:rFonts w:hint="eastAsia" w:ascii="仿宋_GB2312" w:hAnsi="仿宋"/>
          <w:b w:val="0"/>
          <w:color w:val="auto"/>
          <w:spacing w:val="-4"/>
          <w:szCs w:val="32"/>
          <w:highlight w:val="none"/>
          <w:lang w:eastAsia="zh-CN"/>
        </w:rPr>
        <w:t>，</w:t>
      </w:r>
      <w:r>
        <w:rPr>
          <w:rStyle w:val="21"/>
          <w:rFonts w:hint="eastAsia" w:ascii="仿宋_GB2312" w:hAnsi="仿宋"/>
          <w:b w:val="0"/>
          <w:color w:val="auto"/>
          <w:spacing w:val="-4"/>
          <w:szCs w:val="32"/>
          <w:highlight w:val="none"/>
          <w:lang w:val="en-US" w:eastAsia="zh-CN"/>
        </w:rPr>
        <w:t>财政收回</w:t>
      </w:r>
      <w:r>
        <w:rPr>
          <w:rStyle w:val="21"/>
          <w:rFonts w:hint="eastAsia" w:ascii="仿宋_GB2312" w:hAnsi="仿宋"/>
          <w:b w:val="0"/>
          <w:color w:val="auto"/>
          <w:spacing w:val="-4"/>
          <w:szCs w:val="32"/>
          <w:highlight w:val="none"/>
        </w:rPr>
        <w:t>。</w:t>
      </w:r>
      <w:r>
        <w:rPr>
          <w:rFonts w:hint="eastAsia"/>
          <w:color w:val="auto"/>
          <w:highlight w:val="none"/>
        </w:rPr>
        <w:t>预算资金执行率</w:t>
      </w:r>
      <w:r>
        <w:rPr>
          <w:rFonts w:hint="eastAsia"/>
          <w:color w:val="auto"/>
          <w:highlight w:val="none"/>
          <w:lang w:val="en-US" w:eastAsia="zh-CN"/>
        </w:rPr>
        <w:t>89.8</w:t>
      </w:r>
      <w:r>
        <w:rPr>
          <w:rFonts w:hint="eastAsia"/>
          <w:color w:val="auto"/>
          <w:highlight w:val="none"/>
        </w:rPr>
        <w:t>%。</w:t>
      </w:r>
    </w:p>
    <w:p w14:paraId="535A5C70">
      <w:pPr>
        <w:pStyle w:val="54"/>
        <w:spacing w:line="560" w:lineRule="exact"/>
        <w:ind w:right="3"/>
        <w:rPr>
          <w:color w:val="auto"/>
          <w:highlight w:val="none"/>
        </w:rPr>
      </w:pPr>
      <w:r>
        <w:rPr>
          <w:rFonts w:hint="eastAsia"/>
          <w:color w:val="auto"/>
          <w:highlight w:val="none"/>
          <w:lang w:val="en-US" w:eastAsia="zh-CN"/>
        </w:rPr>
        <w:t>3.</w:t>
      </w: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7507186">
      <w:pPr>
        <w:pStyle w:val="54"/>
        <w:spacing w:line="560" w:lineRule="exact"/>
        <w:ind w:leftChars="0" w:right="3" w:firstLine="562"/>
        <w:rPr>
          <w:b/>
          <w:color w:val="auto"/>
          <w:highlight w:val="none"/>
        </w:rPr>
      </w:pPr>
      <w:r>
        <w:rPr>
          <w:rFonts w:hint="eastAsia"/>
          <w:b/>
          <w:color w:val="auto"/>
          <w:highlight w:val="none"/>
        </w:rPr>
        <w:t>4.项目管理情况分析</w:t>
      </w:r>
    </w:p>
    <w:p w14:paraId="03745720">
      <w:pPr>
        <w:pStyle w:val="54"/>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eastAsia="zh-CN"/>
        </w:rPr>
        <w:t>于田县林业和草原局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2BBA33">
      <w:pPr>
        <w:spacing w:line="58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（二）绩效目标完成情况分析</w:t>
      </w:r>
    </w:p>
    <w:p w14:paraId="1AE602C5">
      <w:pPr>
        <w:spacing w:line="560" w:lineRule="exact"/>
        <w:ind w:firstLine="560" w:firstLineChars="200"/>
        <w:rPr>
          <w:rFonts w:hint="eastAsia" w:ascii="仿宋_GB2312" w:hAnsi="Times New Roman" w:eastAsia="仿宋_GB2312" w:cs="Times New Roman"/>
          <w:color w:val="auto"/>
          <w:sz w:val="28"/>
          <w:szCs w:val="32"/>
          <w:highlight w:val="none"/>
          <w:lang w:val="zh-CN"/>
        </w:rPr>
      </w:pPr>
      <w:r>
        <w:rPr>
          <w:rFonts w:hint="eastAsia" w:ascii="仿宋_GB2312" w:hAnsi="Times New Roman" w:eastAsia="仿宋_GB2312" w:cs="Times New Roman"/>
          <w:color w:val="auto"/>
          <w:sz w:val="28"/>
          <w:szCs w:val="32"/>
          <w:highlight w:val="none"/>
          <w:lang w:val="zh-CN"/>
        </w:rPr>
        <w:t>本项目在</w:t>
      </w:r>
      <w:r>
        <w:rPr>
          <w:rFonts w:hint="eastAsia" w:ascii="仿宋_GB2312" w:hAnsi="Times New Roman" w:eastAsia="仿宋_GB2312" w:cs="Times New Roman"/>
          <w:color w:val="auto"/>
          <w:sz w:val="28"/>
          <w:szCs w:val="32"/>
          <w:highlight w:val="none"/>
          <w:lang w:val="zh-CN" w:eastAsia="zh-CN"/>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lang w:val="zh-CN" w:eastAsia="zh-CN"/>
        </w:rPr>
        <w:t>年</w:t>
      </w:r>
      <w:r>
        <w:rPr>
          <w:rFonts w:hint="eastAsia" w:ascii="仿宋_GB2312" w:hAnsi="Times New Roman" w:eastAsia="仿宋_GB2312" w:cs="Times New Roman"/>
          <w:color w:val="auto"/>
          <w:sz w:val="28"/>
          <w:szCs w:val="32"/>
          <w:highlight w:val="none"/>
          <w:lang w:val="zh-CN"/>
        </w:rPr>
        <w:t>截止</w:t>
      </w:r>
      <w:r>
        <w:rPr>
          <w:rFonts w:hint="eastAsia" w:ascii="仿宋_GB2312" w:hAnsi="Times New Roman" w:eastAsia="仿宋_GB2312" w:cs="Times New Roman"/>
          <w:color w:val="auto"/>
          <w:sz w:val="28"/>
          <w:szCs w:val="32"/>
          <w:highlight w:val="none"/>
          <w:lang w:val="en-US" w:eastAsia="zh-CN"/>
        </w:rPr>
        <w:t>12</w:t>
      </w:r>
      <w:r>
        <w:rPr>
          <w:rFonts w:hint="eastAsia" w:ascii="仿宋_GB2312" w:hAnsi="Times New Roman" w:eastAsia="仿宋_GB2312" w:cs="Times New Roman"/>
          <w:color w:val="auto"/>
          <w:sz w:val="28"/>
          <w:szCs w:val="32"/>
          <w:highlight w:val="none"/>
          <w:lang w:val="zh-CN"/>
        </w:rPr>
        <w:t>月底，在于田县所属 14 个乡镇开展示范园林果提质增效服务，以购置石硫合剂为主，共计11万亩、700 吨。该工程已完成竣工验收，</w:t>
      </w:r>
      <w:r>
        <w:rPr>
          <w:rFonts w:hint="eastAsia" w:ascii="仿宋_GB2312" w:hAnsi="Times New Roman" w:eastAsia="仿宋_GB2312" w:cs="Times New Roman"/>
          <w:color w:val="auto"/>
          <w:sz w:val="28"/>
          <w:szCs w:val="32"/>
          <w:highlight w:val="none"/>
          <w:lang w:val="en-US" w:eastAsia="zh-CN"/>
        </w:rPr>
        <w:t>本项目</w:t>
      </w:r>
      <w:r>
        <w:rPr>
          <w:rFonts w:hint="eastAsia" w:ascii="仿宋_GB2312" w:hAnsi="Times New Roman" w:eastAsia="仿宋_GB2312" w:cs="Times New Roman"/>
          <w:color w:val="auto"/>
          <w:sz w:val="28"/>
          <w:szCs w:val="32"/>
          <w:highlight w:val="none"/>
          <w:lang w:val="zh-CN"/>
        </w:rPr>
        <w:t>是以城镇美、家园绿、建设绿色和谐乡</w:t>
      </w:r>
      <w:r>
        <w:rPr>
          <w:rFonts w:hint="eastAsia" w:ascii="仿宋_GB2312" w:hAnsi="Times New Roman" w:eastAsia="仿宋_GB2312" w:cs="Times New Roman"/>
          <w:color w:val="auto"/>
          <w:sz w:val="28"/>
          <w:szCs w:val="32"/>
          <w:highlight w:val="none"/>
          <w:lang w:val="en-US" w:eastAsia="zh-CN"/>
        </w:rPr>
        <w:t>村振兴</w:t>
      </w:r>
      <w:r>
        <w:rPr>
          <w:rFonts w:hint="eastAsia" w:ascii="仿宋_GB2312" w:hAnsi="Times New Roman" w:eastAsia="仿宋_GB2312" w:cs="Times New Roman"/>
          <w:color w:val="auto"/>
          <w:sz w:val="28"/>
          <w:szCs w:val="32"/>
          <w:highlight w:val="none"/>
          <w:lang w:val="zh-CN"/>
        </w:rPr>
        <w:t>为目标，通过项目实施，使周边乃至全县人民受益，促进当地经济可持续发展。</w:t>
      </w:r>
    </w:p>
    <w:p w14:paraId="3EFE597D">
      <w:pPr>
        <w:spacing w:line="560" w:lineRule="exact"/>
        <w:ind w:firstLine="560" w:firstLineChars="200"/>
        <w:rPr>
          <w:rFonts w:hint="eastAsia" w:ascii="仿宋_GB2312" w:hAnsi="Times New Roman" w:eastAsia="仿宋_GB2312" w:cs="Times New Roman"/>
          <w:color w:val="auto"/>
          <w:kern w:val="2"/>
          <w:sz w:val="28"/>
          <w:szCs w:val="32"/>
          <w:highlight w:val="none"/>
          <w:lang w:val="zh-CN" w:eastAsia="zh-CN" w:bidi="ar-SA"/>
        </w:rPr>
      </w:pPr>
      <w:r>
        <w:rPr>
          <w:rFonts w:hint="eastAsia" w:ascii="仿宋_GB2312" w:hAnsi="Times New Roman" w:eastAsia="仿宋_GB2312" w:cs="Times New Roman"/>
          <w:color w:val="auto"/>
          <w:sz w:val="28"/>
          <w:szCs w:val="32"/>
          <w:highlight w:val="none"/>
          <w:lang w:val="zh-CN" w:eastAsia="zh-CN"/>
        </w:rPr>
        <w:t>本项目共设置一级指标3个，二级指标</w:t>
      </w:r>
      <w:r>
        <w:rPr>
          <w:rFonts w:hint="eastAsia" w:ascii="仿宋_GB2312" w:hAnsi="Times New Roman" w:eastAsia="仿宋_GB2312" w:cs="Times New Roman"/>
          <w:color w:val="auto"/>
          <w:sz w:val="28"/>
          <w:szCs w:val="32"/>
          <w:highlight w:val="none"/>
          <w:lang w:val="en-US" w:eastAsia="zh-CN"/>
        </w:rPr>
        <w:t>6</w:t>
      </w:r>
      <w:r>
        <w:rPr>
          <w:rFonts w:hint="eastAsia" w:ascii="仿宋_GB2312" w:hAnsi="Times New Roman" w:eastAsia="仿宋_GB2312" w:cs="Times New Roman"/>
          <w:color w:val="auto"/>
          <w:sz w:val="28"/>
          <w:szCs w:val="32"/>
          <w:highlight w:val="none"/>
          <w:lang w:val="zh-CN" w:eastAsia="zh-CN"/>
        </w:rPr>
        <w:t>个，三级指标</w:t>
      </w:r>
      <w:r>
        <w:rPr>
          <w:rFonts w:hint="eastAsia" w:ascii="仿宋_GB2312" w:hAnsi="Times New Roman" w:eastAsia="仿宋_GB2312" w:cs="Times New Roman"/>
          <w:color w:val="auto"/>
          <w:sz w:val="28"/>
          <w:szCs w:val="32"/>
          <w:highlight w:val="none"/>
          <w:lang w:val="en-US" w:eastAsia="zh-CN"/>
        </w:rPr>
        <w:t>9</w:t>
      </w:r>
      <w:r>
        <w:rPr>
          <w:rFonts w:hint="eastAsia" w:ascii="仿宋_GB2312" w:hAnsi="Times New Roman" w:eastAsia="仿宋_GB2312" w:cs="Times New Roman"/>
          <w:color w:val="auto"/>
          <w:sz w:val="28"/>
          <w:szCs w:val="32"/>
          <w:highlight w:val="none"/>
          <w:lang w:val="zh-CN" w:eastAsia="zh-CN"/>
        </w:rPr>
        <w:t>个，其中已完成三级指标</w:t>
      </w:r>
      <w:r>
        <w:rPr>
          <w:rFonts w:hint="eastAsia" w:ascii="仿宋_GB2312" w:hAnsi="Times New Roman" w:eastAsia="仿宋_GB2312" w:cs="Times New Roman"/>
          <w:color w:val="auto"/>
          <w:sz w:val="28"/>
          <w:szCs w:val="32"/>
          <w:highlight w:val="none"/>
          <w:lang w:val="en-US" w:eastAsia="zh-CN"/>
        </w:rPr>
        <w:t>8</w:t>
      </w:r>
      <w:r>
        <w:rPr>
          <w:rFonts w:hint="eastAsia" w:ascii="仿宋_GB2312" w:hAnsi="Times New Roman" w:eastAsia="仿宋_GB2312" w:cs="Times New Roman"/>
          <w:color w:val="auto"/>
          <w:sz w:val="28"/>
          <w:szCs w:val="32"/>
          <w:highlight w:val="none"/>
          <w:lang w:val="zh-CN" w:eastAsia="zh-CN"/>
        </w:rPr>
        <w:t>个，指标完成率为</w:t>
      </w:r>
      <w:r>
        <w:rPr>
          <w:rFonts w:hint="eastAsia" w:ascii="仿宋_GB2312" w:hAnsi="Times New Roman" w:eastAsia="仿宋_GB2312" w:cs="Times New Roman"/>
          <w:color w:val="auto"/>
          <w:sz w:val="28"/>
          <w:szCs w:val="32"/>
          <w:highlight w:val="none"/>
          <w:lang w:val="en-US" w:eastAsia="zh-CN"/>
        </w:rPr>
        <w:t>88.89</w:t>
      </w:r>
      <w:r>
        <w:rPr>
          <w:rFonts w:hint="eastAsia" w:ascii="仿宋_GB2312" w:hAnsi="Times New Roman" w:eastAsia="仿宋_GB2312" w:cs="Times New Roman"/>
          <w:color w:val="auto"/>
          <w:sz w:val="28"/>
          <w:szCs w:val="32"/>
          <w:highlight w:val="none"/>
          <w:lang w:val="zh-CN" w:eastAsia="zh-CN"/>
        </w:rPr>
        <w:t>%，指标完成情况分析如下：</w:t>
      </w:r>
    </w:p>
    <w:p w14:paraId="0567BB96">
      <w:pPr>
        <w:pStyle w:val="54"/>
        <w:spacing w:line="580" w:lineRule="exact"/>
        <w:ind w:left="0" w:leftChars="0" w:right="0" w:rightChars="0" w:firstLine="562"/>
        <w:rPr>
          <w:rFonts w:hint="default" w:eastAsia="仿宋_GB2312"/>
          <w:b/>
          <w:color w:val="auto"/>
          <w:highlight w:val="none"/>
          <w:lang w:val="en-US" w:eastAsia="zh-CN"/>
        </w:rPr>
      </w:pPr>
      <w:r>
        <w:rPr>
          <w:rFonts w:hint="eastAsia"/>
          <w:b/>
          <w:color w:val="auto"/>
          <w:highlight w:val="none"/>
        </w:rPr>
        <w:t>1.</w:t>
      </w:r>
      <w:r>
        <w:rPr>
          <w:rFonts w:hint="eastAsia"/>
          <w:b/>
          <w:color w:val="auto"/>
          <w:highlight w:val="none"/>
          <w:lang w:val="en-US" w:eastAsia="zh-CN"/>
        </w:rPr>
        <w:t>产出指标完成情况分析</w:t>
      </w:r>
    </w:p>
    <w:p w14:paraId="4FCE40EF">
      <w:pPr>
        <w:pStyle w:val="54"/>
        <w:spacing w:line="580" w:lineRule="exact"/>
        <w:ind w:left="0" w:leftChars="0" w:right="0" w:rightChars="0" w:firstLine="562"/>
        <w:rPr>
          <w:rFonts w:hint="default"/>
          <w:b w:val="0"/>
          <w:bCs/>
          <w:color w:val="auto"/>
          <w:highlight w:val="none"/>
          <w:lang w:val="en-US"/>
        </w:rPr>
      </w:pPr>
      <w:r>
        <w:rPr>
          <w:rFonts w:hint="eastAsia"/>
          <w:b w:val="0"/>
          <w:bCs/>
          <w:color w:val="auto"/>
          <w:highlight w:val="none"/>
          <w:lang w:val="en-US" w:eastAsia="zh-CN"/>
        </w:rPr>
        <w:t>1.1项目完成数量</w:t>
      </w:r>
    </w:p>
    <w:p w14:paraId="56352459">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购置石硫合剂数量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700吨</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700吨</w:t>
      </w:r>
      <w:r>
        <w:rPr>
          <w:rFonts w:hint="eastAsia"/>
          <w:color w:val="auto"/>
          <w:highlight w:val="none"/>
        </w:rPr>
        <w:t>，指标完成率为100.00%;所设分值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425117B4">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实施面积</w:t>
      </w:r>
      <w:r>
        <w:rPr>
          <w:rFonts w:hint="eastAsia"/>
          <w:color w:val="auto"/>
          <w:highlight w:val="none"/>
        </w:rPr>
        <w:t>”指标，预期指标值为</w:t>
      </w:r>
      <w:r>
        <w:rPr>
          <w:rFonts w:hint="eastAsia"/>
          <w:color w:val="auto"/>
          <w:highlight w:val="none"/>
          <w:lang w:val="en-US" w:eastAsia="zh-CN"/>
        </w:rPr>
        <w:t>大于</w:t>
      </w:r>
      <w:r>
        <w:rPr>
          <w:rFonts w:hint="eastAsia"/>
          <w:color w:val="auto"/>
          <w:highlight w:val="none"/>
          <w:lang w:eastAsia="zh-CN"/>
        </w:rPr>
        <w:t>等于</w:t>
      </w:r>
      <w:r>
        <w:rPr>
          <w:rFonts w:hint="eastAsia"/>
          <w:color w:val="auto"/>
          <w:highlight w:val="none"/>
          <w:lang w:val="en-US" w:eastAsia="zh-CN"/>
        </w:rPr>
        <w:t>11万亩</w:t>
      </w:r>
      <w:r>
        <w:rPr>
          <w:rFonts w:hint="eastAsia"/>
          <w:color w:val="auto"/>
          <w:highlight w:val="none"/>
        </w:rPr>
        <w:t>,全年实际值</w:t>
      </w:r>
      <w:r>
        <w:rPr>
          <w:rFonts w:hint="eastAsia"/>
          <w:color w:val="auto"/>
          <w:highlight w:val="none"/>
          <w:lang w:val="en-US" w:eastAsia="zh-CN"/>
        </w:rPr>
        <w:t>为</w:t>
      </w:r>
      <w:r>
        <w:rPr>
          <w:rFonts w:hint="eastAsia"/>
          <w:color w:val="auto"/>
          <w:highlight w:val="none"/>
          <w:lang w:eastAsia="zh-CN"/>
        </w:rPr>
        <w:t>等于</w:t>
      </w:r>
      <w:r>
        <w:rPr>
          <w:rFonts w:hint="eastAsia"/>
          <w:color w:val="auto"/>
          <w:highlight w:val="none"/>
          <w:lang w:val="en-US" w:eastAsia="zh-CN"/>
        </w:rPr>
        <w:t>11万亩</w:t>
      </w:r>
      <w:r>
        <w:rPr>
          <w:rFonts w:hint="eastAsia"/>
          <w:color w:val="auto"/>
          <w:highlight w:val="none"/>
        </w:rPr>
        <w:t>，指标完成率为100.00%;所设分值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4B6379DE">
      <w:pPr>
        <w:pStyle w:val="54"/>
        <w:spacing w:line="580" w:lineRule="exact"/>
        <w:ind w:left="0" w:leftChars="0" w:right="0" w:rightChars="0" w:firstLine="562"/>
        <w:rPr>
          <w:rFonts w:hint="default"/>
          <w:b w:val="0"/>
          <w:bCs/>
          <w:color w:val="auto"/>
          <w:highlight w:val="none"/>
          <w:lang w:val="en-US" w:eastAsia="zh-CN"/>
        </w:rPr>
      </w:pPr>
      <w:r>
        <w:rPr>
          <w:rFonts w:hint="eastAsia"/>
          <w:b w:val="0"/>
          <w:bCs/>
          <w:color w:val="auto"/>
          <w:highlight w:val="none"/>
          <w:lang w:val="en-US" w:eastAsia="zh-CN"/>
        </w:rPr>
        <w:t>1.2项目完成质量</w:t>
      </w:r>
    </w:p>
    <w:p w14:paraId="741A3438">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采购验收合格率</w:t>
      </w:r>
      <w:r>
        <w:rPr>
          <w:rFonts w:hint="eastAsia"/>
          <w:color w:val="auto"/>
          <w:highlight w:val="none"/>
        </w:rPr>
        <w:t>”指标，预期指标值为</w:t>
      </w:r>
      <w:r>
        <w:rPr>
          <w:rFonts w:hint="eastAsia"/>
          <w:color w:val="auto"/>
          <w:highlight w:val="none"/>
          <w:lang w:val="en-US" w:eastAsia="zh-CN"/>
        </w:rPr>
        <w:t>2024年4月，</w:t>
      </w:r>
      <w:r>
        <w:rPr>
          <w:rFonts w:hint="eastAsia"/>
          <w:color w:val="auto"/>
          <w:highlight w:val="none"/>
        </w:rPr>
        <w:t>全年实际值为</w:t>
      </w:r>
      <w:r>
        <w:rPr>
          <w:rFonts w:hint="eastAsia"/>
          <w:color w:val="auto"/>
          <w:highlight w:val="none"/>
          <w:lang w:eastAsia="zh-CN"/>
        </w:rPr>
        <w:t>等于</w:t>
      </w:r>
      <w:r>
        <w:rPr>
          <w:rFonts w:hint="eastAsia"/>
          <w:color w:val="auto"/>
          <w:highlight w:val="none"/>
          <w:lang w:val="en-US" w:eastAsia="zh-CN"/>
        </w:rPr>
        <w:t>2024年4月</w:t>
      </w:r>
      <w:r>
        <w:rPr>
          <w:rFonts w:hint="eastAsia"/>
          <w:color w:val="auto"/>
          <w:highlight w:val="none"/>
        </w:rPr>
        <w:t>，指标完成率为100.00%;所设分值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1F69F01D">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合</w:t>
      </w:r>
      <w:r>
        <w:rPr>
          <w:rFonts w:hint="eastAsia"/>
          <w:color w:val="auto"/>
          <w:highlight w:val="none"/>
          <w:lang w:val="en-US" w:eastAsia="zh-CN"/>
        </w:rPr>
        <w:t>规</w:t>
      </w:r>
      <w:r>
        <w:rPr>
          <w:rFonts w:hint="eastAsia"/>
          <w:color w:val="auto"/>
          <w:highlight w:val="none"/>
        </w:rPr>
        <w:t>率”指标，预期指标值为100.00%,全年实际值为100.00%，指标完成率为100.00%。所设分值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57E2B031">
      <w:pPr>
        <w:pStyle w:val="54"/>
        <w:spacing w:line="580" w:lineRule="exact"/>
        <w:ind w:left="0" w:leftChars="0" w:right="0" w:rightChars="0" w:firstLine="562"/>
        <w:rPr>
          <w:rFonts w:hint="default"/>
          <w:b w:val="0"/>
          <w:bCs/>
          <w:color w:val="auto"/>
          <w:highlight w:val="none"/>
          <w:lang w:val="en-US" w:eastAsia="zh-CN"/>
        </w:rPr>
      </w:pPr>
      <w:r>
        <w:rPr>
          <w:rFonts w:hint="eastAsia"/>
          <w:b w:val="0"/>
          <w:bCs/>
          <w:color w:val="auto"/>
          <w:highlight w:val="none"/>
          <w:lang w:val="en-US" w:eastAsia="zh-CN"/>
        </w:rPr>
        <w:t>1.3项目完成时效</w:t>
      </w:r>
    </w:p>
    <w:p w14:paraId="0F670B1B">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项目完成时间</w:t>
      </w:r>
      <w:r>
        <w:rPr>
          <w:rFonts w:hint="eastAsia"/>
          <w:color w:val="auto"/>
          <w:highlight w:val="none"/>
        </w:rPr>
        <w:t>”指标，预期指标值为202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月，指标完成率为100.00%。所设分值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6850E6C0">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资金支付及时率</w:t>
      </w:r>
      <w:r>
        <w:rPr>
          <w:rFonts w:hint="eastAsia"/>
          <w:color w:val="auto"/>
          <w:highlight w:val="none"/>
        </w:rPr>
        <w:t>”指标，预期指标值为100.00%,全年实际值为100.00%，指标完成率为100.00%。所设分值</w:t>
      </w:r>
      <w:r>
        <w:rPr>
          <w:rFonts w:hint="eastAsia"/>
          <w:color w:val="auto"/>
          <w:highlight w:val="none"/>
          <w:lang w:val="en-US" w:eastAsia="zh-CN"/>
        </w:rPr>
        <w:t>7</w:t>
      </w:r>
      <w:r>
        <w:rPr>
          <w:rFonts w:hint="eastAsia"/>
          <w:color w:val="auto"/>
          <w:highlight w:val="none"/>
        </w:rPr>
        <w:t>分，实际得分</w:t>
      </w:r>
      <w:r>
        <w:rPr>
          <w:rFonts w:hint="eastAsia"/>
          <w:color w:val="auto"/>
          <w:highlight w:val="none"/>
          <w:lang w:val="en-US" w:eastAsia="zh-CN"/>
        </w:rPr>
        <w:t>7</w:t>
      </w:r>
      <w:r>
        <w:rPr>
          <w:rFonts w:hint="eastAsia"/>
          <w:color w:val="auto"/>
          <w:highlight w:val="none"/>
        </w:rPr>
        <w:t>分。</w:t>
      </w:r>
    </w:p>
    <w:p w14:paraId="5A5E58DE">
      <w:pPr>
        <w:pStyle w:val="54"/>
        <w:spacing w:line="580" w:lineRule="exact"/>
        <w:ind w:left="0" w:leftChars="0" w:right="0" w:rightChars="0" w:firstLine="562"/>
        <w:rPr>
          <w:rFonts w:hint="default"/>
          <w:b w:val="0"/>
          <w:bCs/>
          <w:color w:val="auto"/>
          <w:highlight w:val="none"/>
          <w:lang w:val="en-US" w:eastAsia="zh-CN"/>
        </w:rPr>
      </w:pPr>
      <w:r>
        <w:rPr>
          <w:rFonts w:hint="eastAsia"/>
          <w:b w:val="0"/>
          <w:bCs/>
          <w:color w:val="auto"/>
          <w:highlight w:val="none"/>
          <w:lang w:val="en-US" w:eastAsia="zh-CN"/>
        </w:rPr>
        <w:t>1.4项目成本结余情况</w:t>
      </w:r>
    </w:p>
    <w:p w14:paraId="39A2AD8F">
      <w:pPr>
        <w:pStyle w:val="54"/>
        <w:spacing w:line="560" w:lineRule="exact"/>
        <w:ind w:left="0" w:leftChars="0" w:right="0" w:rightChars="0" w:firstLine="560"/>
        <w:rPr>
          <w:rFonts w:hint="eastAsia"/>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22494FC8">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采购成本</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205</w:t>
      </w:r>
      <w:r>
        <w:rPr>
          <w:rFonts w:hint="eastAsia"/>
          <w:color w:val="auto"/>
          <w:highlight w:val="none"/>
        </w:rPr>
        <w:t>万元, 全年实际值为</w:t>
      </w:r>
      <w:r>
        <w:rPr>
          <w:rFonts w:hint="eastAsia"/>
          <w:color w:val="auto"/>
          <w:highlight w:val="none"/>
          <w:lang w:val="en-US" w:eastAsia="zh-CN"/>
        </w:rPr>
        <w:t>184.10</w:t>
      </w:r>
      <w:r>
        <w:rPr>
          <w:rFonts w:hint="eastAsia"/>
          <w:color w:val="auto"/>
          <w:highlight w:val="none"/>
        </w:rPr>
        <w:t>万元，指标完成率为</w:t>
      </w:r>
      <w:r>
        <w:rPr>
          <w:rFonts w:hint="eastAsia"/>
          <w:color w:val="auto"/>
          <w:highlight w:val="none"/>
          <w:lang w:val="en-US" w:eastAsia="zh-CN"/>
        </w:rPr>
        <w:t>89.80%</w:t>
      </w:r>
      <w:r>
        <w:rPr>
          <w:rFonts w:hint="eastAsia"/>
          <w:color w:val="auto"/>
          <w:highlight w:val="none"/>
        </w:rPr>
        <w:t>；所设分值</w:t>
      </w:r>
      <w:r>
        <w:rPr>
          <w:rFonts w:hint="eastAsia"/>
          <w:color w:val="auto"/>
          <w:highlight w:val="none"/>
          <w:lang w:val="en-US" w:eastAsia="zh-CN"/>
        </w:rPr>
        <w:t>8</w:t>
      </w:r>
      <w:r>
        <w:rPr>
          <w:rFonts w:hint="eastAsia"/>
          <w:color w:val="auto"/>
          <w:highlight w:val="none"/>
        </w:rPr>
        <w:t>分，实际得分</w:t>
      </w:r>
      <w:r>
        <w:rPr>
          <w:rFonts w:hint="eastAsia"/>
          <w:color w:val="auto"/>
          <w:highlight w:val="none"/>
          <w:lang w:val="en-US" w:eastAsia="zh-CN"/>
        </w:rPr>
        <w:t>7.18</w:t>
      </w:r>
      <w:r>
        <w:rPr>
          <w:rFonts w:hint="eastAsia"/>
          <w:color w:val="auto"/>
          <w:highlight w:val="none"/>
        </w:rPr>
        <w:t>分。</w:t>
      </w:r>
    </w:p>
    <w:p w14:paraId="684720C9">
      <w:pPr>
        <w:pStyle w:val="54"/>
        <w:spacing w:line="560" w:lineRule="exact"/>
        <w:ind w:left="3" w:right="3" w:firstLine="552"/>
        <w:rPr>
          <w:rFonts w:hint="eastAsia" w:ascii="仿宋_GB2312"/>
          <w:spacing w:val="-4"/>
          <w:szCs w:val="32"/>
        </w:rPr>
      </w:pPr>
      <w:r>
        <w:rPr>
          <w:rFonts w:hint="eastAsia" w:ascii="仿宋_GB2312"/>
          <w:spacing w:val="-4"/>
          <w:szCs w:val="32"/>
        </w:rPr>
        <w:t>偏离原因：项目已按时完工、验收，相关评估决算已完成，采购成本节约资金共20.9万元已申请退回。</w:t>
      </w:r>
    </w:p>
    <w:p w14:paraId="54575634">
      <w:pPr>
        <w:pStyle w:val="54"/>
        <w:spacing w:line="560" w:lineRule="exact"/>
        <w:ind w:left="3" w:right="3" w:firstLine="552"/>
        <w:rPr>
          <w:rFonts w:hint="eastAsia" w:ascii="仿宋_GB2312"/>
          <w:spacing w:val="-4"/>
          <w:szCs w:val="32"/>
        </w:rPr>
      </w:pPr>
      <w:r>
        <w:rPr>
          <w:rFonts w:hint="eastAsia" w:ascii="仿宋_GB2312"/>
          <w:spacing w:val="-4"/>
          <w:szCs w:val="32"/>
        </w:rPr>
        <w:t>改进措施：按照乡村振兴衔接资金项目管理办法，加强对项目进度实时监督。持续发挥资产扶持效益，促进当地经济可持续发展。</w:t>
      </w:r>
    </w:p>
    <w:p w14:paraId="0074FF9D">
      <w:pPr>
        <w:pStyle w:val="35"/>
        <w:rPr>
          <w:b/>
          <w:bCs w:val="0"/>
          <w:color w:val="auto"/>
          <w:highlight w:val="none"/>
        </w:rPr>
      </w:pPr>
      <w:r>
        <w:rPr>
          <w:rFonts w:hint="eastAsia"/>
          <w:b/>
          <w:bCs w:val="0"/>
          <w:color w:val="auto"/>
          <w:highlight w:val="none"/>
        </w:rPr>
        <w:t>2.效益指标完成情况分析</w:t>
      </w:r>
    </w:p>
    <w:p w14:paraId="297B3309">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 xml:space="preserve">2.1 </w:t>
      </w:r>
      <w:r>
        <w:rPr>
          <w:rFonts w:hint="eastAsia"/>
          <w:color w:val="auto"/>
          <w:highlight w:val="none"/>
        </w:rPr>
        <w:t>项目实施的社会效益分析</w:t>
      </w:r>
    </w:p>
    <w:p w14:paraId="17104F9C">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“林果病虫害防治效果”指标，指标预期值为显著，实际完成值为显著，指标完成率为100.00%。所设分值30分，实际得分30分。</w:t>
      </w:r>
    </w:p>
    <w:p w14:paraId="33B2793D">
      <w:pPr>
        <w:pStyle w:val="54"/>
        <w:spacing w:line="560" w:lineRule="exact"/>
        <w:ind w:left="0" w:leftChars="0" w:right="0" w:rightChars="0" w:firstLine="560"/>
        <w:rPr>
          <w:rFonts w:hint="eastAsia"/>
          <w:b/>
          <w:bCs/>
          <w:color w:val="auto"/>
          <w:highlight w:val="none"/>
          <w:lang w:val="en-US" w:eastAsia="zh-CN"/>
        </w:rPr>
      </w:pPr>
      <w:r>
        <w:rPr>
          <w:rFonts w:hint="eastAsia"/>
          <w:b/>
          <w:bCs/>
          <w:color w:val="auto"/>
          <w:highlight w:val="none"/>
          <w:lang w:val="en-US" w:eastAsia="zh-CN"/>
        </w:rPr>
        <w:t>3.满意度指标完成情况分析</w:t>
      </w:r>
    </w:p>
    <w:p w14:paraId="40870213">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“项目区群众满意度”指标，指标预期值为大于等于95%，实际完成值为95%，指标完成率为100.00%。所设分值10分，实际得分10分。</w:t>
      </w:r>
    </w:p>
    <w:p w14:paraId="0C2D4B0F">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项目实施完成后我单位就该项目的满意度采取抽样发放调查问卷的方式开展调查，通过对调查问卷的梳理和统计，项目区群众满意度为95.00%。</w:t>
      </w:r>
    </w:p>
    <w:p w14:paraId="61F3C700">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4EBBF86D">
      <w:pPr>
        <w:pStyle w:val="54"/>
        <w:spacing w:line="560" w:lineRule="exact"/>
        <w:ind w:left="3" w:right="3" w:firstLine="552"/>
        <w:rPr>
          <w:rFonts w:hint="eastAsia" w:ascii="仿宋_GB2312"/>
          <w:spacing w:val="-4"/>
          <w:szCs w:val="32"/>
        </w:rPr>
      </w:pPr>
      <w:r>
        <w:rPr>
          <w:rFonts w:hint="eastAsia" w:ascii="仿宋_GB2312"/>
          <w:spacing w:val="-4"/>
          <w:szCs w:val="32"/>
        </w:rPr>
        <w:t>1.成本指标-</w:t>
      </w:r>
      <w:r>
        <w:rPr>
          <w:rFonts w:hint="eastAsia" w:ascii="仿宋_GB2312"/>
          <w:spacing w:val="-4"/>
          <w:szCs w:val="32"/>
          <w:lang w:val="en-US" w:eastAsia="zh-CN"/>
        </w:rPr>
        <w:t>采购</w:t>
      </w:r>
      <w:r>
        <w:rPr>
          <w:rFonts w:hint="eastAsia" w:ascii="仿宋_GB2312"/>
          <w:spacing w:val="-4"/>
          <w:szCs w:val="32"/>
        </w:rPr>
        <w:t>成本：预期指标值为</w:t>
      </w:r>
      <w:r>
        <w:rPr>
          <w:rFonts w:hint="eastAsia" w:ascii="仿宋_GB2312"/>
          <w:spacing w:val="-4"/>
          <w:szCs w:val="32"/>
          <w:lang w:val="en-US" w:eastAsia="zh-CN"/>
        </w:rPr>
        <w:t>小于等于205</w:t>
      </w:r>
      <w:r>
        <w:rPr>
          <w:rFonts w:hint="eastAsia" w:ascii="仿宋_GB2312"/>
          <w:spacing w:val="-4"/>
          <w:szCs w:val="32"/>
        </w:rPr>
        <w:t>万元，实际完成值为</w:t>
      </w:r>
      <w:r>
        <w:rPr>
          <w:rFonts w:hint="eastAsia" w:ascii="仿宋_GB2312"/>
          <w:spacing w:val="-4"/>
          <w:szCs w:val="32"/>
          <w:lang w:val="en-US" w:eastAsia="zh-CN"/>
        </w:rPr>
        <w:t>184.10</w:t>
      </w:r>
      <w:r>
        <w:rPr>
          <w:rFonts w:hint="eastAsia" w:ascii="仿宋_GB2312"/>
          <w:spacing w:val="-4"/>
          <w:szCs w:val="32"/>
        </w:rPr>
        <w:t>万元。</w:t>
      </w:r>
    </w:p>
    <w:p w14:paraId="57C9E017">
      <w:pPr>
        <w:pStyle w:val="54"/>
        <w:spacing w:line="560" w:lineRule="exact"/>
        <w:ind w:left="3" w:right="3" w:firstLine="552"/>
        <w:rPr>
          <w:rFonts w:hint="eastAsia" w:ascii="仿宋_GB2312"/>
          <w:spacing w:val="-4"/>
          <w:szCs w:val="32"/>
        </w:rPr>
      </w:pPr>
      <w:r>
        <w:rPr>
          <w:rFonts w:hint="eastAsia" w:ascii="仿宋_GB2312"/>
          <w:spacing w:val="-4"/>
          <w:szCs w:val="32"/>
        </w:rPr>
        <w:t>偏离原因：项目已按时完工、验收，相关评估决算已完成，采购成本节约资金共20.9万元已申请退回。</w:t>
      </w:r>
    </w:p>
    <w:p w14:paraId="2E30FFE4">
      <w:pPr>
        <w:pStyle w:val="54"/>
        <w:spacing w:line="560" w:lineRule="exact"/>
        <w:ind w:left="3" w:right="3" w:firstLine="552"/>
        <w:rPr>
          <w:rFonts w:hint="eastAsia" w:ascii="仿宋_GB2312" w:hAnsi="Times New Roman" w:eastAsia="仿宋_GB2312" w:cs="Times New Roman"/>
          <w:color w:val="auto"/>
          <w:spacing w:val="-4"/>
          <w:kern w:val="2"/>
          <w:sz w:val="28"/>
          <w:szCs w:val="32"/>
          <w:highlight w:val="none"/>
          <w:lang w:val="en-US" w:eastAsia="zh-CN" w:bidi="ar-SA"/>
        </w:rPr>
      </w:pPr>
      <w:r>
        <w:rPr>
          <w:rFonts w:hint="eastAsia" w:ascii="仿宋_GB2312"/>
          <w:spacing w:val="-4"/>
          <w:szCs w:val="32"/>
        </w:rPr>
        <w:t>改进措施：按照乡村振兴衔接资金项目管理办法，加强对项目进度实时监督。持续发挥资产扶持效益，促进当地经济可持续发展。</w:t>
      </w:r>
    </w:p>
    <w:p w14:paraId="22ED6BB3">
      <w:pPr>
        <w:pStyle w:val="31"/>
        <w:spacing w:before="120"/>
        <w:ind w:left="0" w:leftChars="0" w:right="3" w:firstLine="562" w:firstLineChars="200"/>
        <w:rPr>
          <w:color w:val="auto"/>
          <w:highlight w:val="none"/>
        </w:rPr>
      </w:pPr>
      <w:r>
        <w:rPr>
          <w:rFonts w:hint="eastAsia"/>
          <w:color w:val="auto"/>
          <w:highlight w:val="none"/>
        </w:rPr>
        <w:t>五、绩效自评结果拟应用和公开情况</w:t>
      </w:r>
    </w:p>
    <w:p w14:paraId="089BFCF9">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项目本次评价通过文件研读、实地调研、数据采集、问卷调查方式下，全面了解</w:t>
      </w:r>
      <w:r>
        <w:rPr>
          <w:rFonts w:hint="eastAsia" w:ascii="仿宋_GB2312"/>
          <w:color w:val="auto"/>
          <w:spacing w:val="-4"/>
          <w:szCs w:val="32"/>
          <w:highlight w:val="none"/>
          <w:lang w:eastAsia="zh-CN"/>
        </w:rPr>
        <w:t>于田县2024年林果病虫害（预防）防治项目</w:t>
      </w:r>
      <w:r>
        <w:rPr>
          <w:rFonts w:hint="eastAsia" w:ascii="仿宋_GB2312"/>
          <w:color w:val="auto"/>
          <w:spacing w:val="-4"/>
          <w:szCs w:val="32"/>
          <w:highlight w:val="none"/>
          <w:lang w:eastAsia="zh-CN"/>
        </w:rPr>
        <w:tab/>
      </w:r>
      <w:r>
        <w:rPr>
          <w:rFonts w:hint="eastAsia" w:ascii="仿宋_GB2312"/>
          <w:color w:val="auto"/>
          <w:spacing w:val="-4"/>
          <w:szCs w:val="32"/>
          <w:highlight w:val="none"/>
        </w:rPr>
        <w:t>资金的使用效率和效果，从而得出以下综合评价结论：在绩效目标方面，本项目共设置一级指标3个，二级指标</w:t>
      </w:r>
      <w:r>
        <w:rPr>
          <w:rFonts w:hint="eastAsia" w:ascii="仿宋_GB2312"/>
          <w:color w:val="auto"/>
          <w:spacing w:val="-4"/>
          <w:szCs w:val="32"/>
          <w:highlight w:val="none"/>
          <w:lang w:val="en-US" w:eastAsia="zh-CN"/>
        </w:rPr>
        <w:t>6</w:t>
      </w:r>
      <w:r>
        <w:rPr>
          <w:rFonts w:hint="eastAsia" w:ascii="仿宋_GB2312"/>
          <w:color w:val="auto"/>
          <w:spacing w:val="-4"/>
          <w:szCs w:val="32"/>
          <w:highlight w:val="none"/>
        </w:rPr>
        <w:t>个，三级指标</w:t>
      </w:r>
      <w:r>
        <w:rPr>
          <w:rFonts w:hint="eastAsia" w:ascii="仿宋_GB2312"/>
          <w:color w:val="auto"/>
          <w:spacing w:val="-4"/>
          <w:szCs w:val="32"/>
          <w:highlight w:val="none"/>
          <w:lang w:val="en-US" w:eastAsia="zh-CN"/>
        </w:rPr>
        <w:t>9</w:t>
      </w:r>
      <w:r>
        <w:rPr>
          <w:rFonts w:hint="eastAsia" w:ascii="仿宋_GB2312"/>
          <w:color w:val="auto"/>
          <w:spacing w:val="-4"/>
          <w:szCs w:val="32"/>
          <w:highlight w:val="none"/>
        </w:rPr>
        <w:t>个，其中已完成三级指标</w:t>
      </w:r>
      <w:r>
        <w:rPr>
          <w:rFonts w:hint="eastAsia" w:ascii="仿宋_GB2312"/>
          <w:color w:val="auto"/>
          <w:spacing w:val="-4"/>
          <w:szCs w:val="32"/>
          <w:highlight w:val="none"/>
          <w:lang w:val="en-US" w:eastAsia="zh-CN"/>
        </w:rPr>
        <w:t>8</w:t>
      </w:r>
      <w:r>
        <w:rPr>
          <w:rFonts w:hint="eastAsia" w:ascii="仿宋_GB2312"/>
          <w:color w:val="auto"/>
          <w:spacing w:val="-4"/>
          <w:szCs w:val="32"/>
          <w:highlight w:val="none"/>
        </w:rPr>
        <w:t>个，指标完成率为</w:t>
      </w:r>
      <w:r>
        <w:rPr>
          <w:rFonts w:hint="eastAsia" w:ascii="仿宋_GB2312"/>
          <w:color w:val="auto"/>
          <w:spacing w:val="-4"/>
          <w:szCs w:val="32"/>
          <w:highlight w:val="none"/>
          <w:lang w:val="en-US" w:eastAsia="zh-CN"/>
        </w:rPr>
        <w:t>88.89</w:t>
      </w:r>
      <w:r>
        <w:rPr>
          <w:rFonts w:hint="eastAsia" w:ascii="仿宋_GB2312"/>
          <w:color w:val="auto"/>
          <w:spacing w:val="-4"/>
          <w:szCs w:val="32"/>
          <w:highlight w:val="none"/>
        </w:rPr>
        <w:t>%；在资金使用方面，严格按照《于田县扶贫资金财务管理制度》、《</w:t>
      </w:r>
      <w:r>
        <w:rPr>
          <w:rFonts w:hint="eastAsia" w:ascii="仿宋_GB2312"/>
          <w:color w:val="auto"/>
          <w:spacing w:val="-4"/>
          <w:szCs w:val="32"/>
          <w:highlight w:val="none"/>
          <w:lang w:eastAsia="zh-CN"/>
        </w:rPr>
        <w:t>于田县林业和草原局</w:t>
      </w:r>
      <w:r>
        <w:rPr>
          <w:rFonts w:hint="eastAsia" w:ascii="仿宋_GB2312"/>
          <w:color w:val="auto"/>
          <w:spacing w:val="-4"/>
          <w:szCs w:val="32"/>
          <w:highlight w:val="none"/>
        </w:rPr>
        <w:t>财务管理制度》执行，保障了资金使用规范、安全，无挪用、截留资金的情况发生。在项目管理方面，制定了《</w:t>
      </w:r>
      <w:r>
        <w:rPr>
          <w:rFonts w:hint="eastAsia" w:ascii="仿宋_GB2312"/>
          <w:color w:val="auto"/>
          <w:spacing w:val="-4"/>
          <w:szCs w:val="32"/>
          <w:highlight w:val="none"/>
          <w:lang w:eastAsia="zh-CN"/>
        </w:rPr>
        <w:t>于田县2024年林果病虫害（预防）防治项目</w:t>
      </w:r>
      <w:r>
        <w:rPr>
          <w:rFonts w:hint="eastAsia" w:ascii="仿宋_GB2312"/>
          <w:color w:val="auto"/>
          <w:spacing w:val="-4"/>
          <w:szCs w:val="32"/>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2DFCBB51">
      <w:pPr>
        <w:pStyle w:val="54"/>
        <w:spacing w:line="560" w:lineRule="exact"/>
        <w:ind w:left="3" w:right="3" w:firstLine="552"/>
        <w:rPr>
          <w:rFonts w:hint="eastAsia" w:ascii="仿宋_GB2312"/>
          <w:color w:val="auto"/>
          <w:spacing w:val="-4"/>
          <w:szCs w:val="32"/>
          <w:highlight w:val="none"/>
        </w:rPr>
      </w:pPr>
      <w:r>
        <w:rPr>
          <w:rFonts w:hint="eastAsia" w:ascii="仿宋_GB2312"/>
          <w:color w:val="auto"/>
          <w:spacing w:val="-4"/>
          <w:szCs w:val="32"/>
          <w:highlight w:val="none"/>
        </w:rPr>
        <w:t>项目最终得分</w:t>
      </w:r>
      <w:r>
        <w:rPr>
          <w:rFonts w:hint="eastAsia" w:ascii="仿宋_GB2312"/>
          <w:color w:val="auto"/>
          <w:spacing w:val="-4"/>
          <w:szCs w:val="32"/>
          <w:highlight w:val="none"/>
          <w:lang w:val="en-US" w:eastAsia="zh-CN"/>
        </w:rPr>
        <w:t>98.16</w:t>
      </w:r>
      <w:r>
        <w:rPr>
          <w:rFonts w:hint="eastAsia" w:ascii="仿宋_GB2312"/>
          <w:color w:val="auto"/>
          <w:spacing w:val="-4"/>
          <w:szCs w:val="32"/>
          <w:highlight w:val="none"/>
        </w:rPr>
        <w:t>分，评价等级为优。</w:t>
      </w:r>
    </w:p>
    <w:p w14:paraId="0DC8CAB8">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245931E0">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44F1FF20">
      <w:pPr>
        <w:spacing w:line="560" w:lineRule="exact"/>
        <w:ind w:firstLine="546" w:firstLineChars="200"/>
        <w:rPr>
          <w:rStyle w:val="21"/>
          <w:rFonts w:ascii="楷体_GB2312" w:hAnsi="楷体" w:cs="Times New Roman"/>
          <w:color w:val="auto"/>
          <w:spacing w:val="-4"/>
          <w:sz w:val="28"/>
          <w:szCs w:val="32"/>
          <w:highlight w:val="none"/>
        </w:rPr>
      </w:pPr>
      <w:r>
        <w:rPr>
          <w:rStyle w:val="21"/>
          <w:rFonts w:hint="eastAsia" w:ascii="楷体_GB2312" w:hAnsi="楷体" w:cs="Times New Roman"/>
          <w:color w:val="auto"/>
          <w:spacing w:val="-4"/>
          <w:sz w:val="28"/>
          <w:szCs w:val="32"/>
          <w:highlight w:val="none"/>
        </w:rPr>
        <w:t>（二）指标佐证材料说明</w:t>
      </w:r>
    </w:p>
    <w:p w14:paraId="39BAEE47">
      <w:pPr>
        <w:pStyle w:val="54"/>
        <w:spacing w:line="560" w:lineRule="exact"/>
        <w:ind w:left="3" w:right="3" w:firstLine="560"/>
        <w:rPr>
          <w:rFonts w:ascii="仿宋_GB2312"/>
          <w:color w:val="auto"/>
          <w:highlight w:val="none"/>
        </w:rPr>
      </w:pPr>
      <w:r>
        <w:rPr>
          <w:rFonts w:hint="eastAsia" w:ascii="仿宋_GB2312"/>
          <w:color w:val="auto"/>
          <w:highlight w:val="none"/>
        </w:rPr>
        <w:t>项目状况：该项目不存在立项，由</w:t>
      </w:r>
      <w:r>
        <w:rPr>
          <w:rFonts w:hint="eastAsia" w:ascii="仿宋_GB2312"/>
          <w:color w:val="auto"/>
          <w:highlight w:val="none"/>
          <w:lang w:val="en-US" w:eastAsia="zh-CN"/>
        </w:rPr>
        <w:t>林草局</w:t>
      </w:r>
      <w:r>
        <w:rPr>
          <w:rFonts w:hint="eastAsia" w:ascii="仿宋_GB2312"/>
          <w:color w:val="auto"/>
          <w:highlight w:val="none"/>
        </w:rPr>
        <w:t>负责项目的实施方案，并由</w:t>
      </w:r>
      <w:r>
        <w:rPr>
          <w:rFonts w:hint="eastAsia" w:ascii="仿宋_GB2312"/>
          <w:color w:val="auto"/>
          <w:highlight w:val="none"/>
          <w:lang w:val="en-US" w:eastAsia="zh-CN"/>
        </w:rPr>
        <w:t>于田县发展和改革委员会</w:t>
      </w:r>
      <w:r>
        <w:rPr>
          <w:rFonts w:hint="eastAsia" w:ascii="仿宋_GB2312"/>
          <w:color w:val="auto"/>
          <w:highlight w:val="none"/>
        </w:rPr>
        <w:t>，下发了《关于对</w:t>
      </w:r>
      <w:r>
        <w:rPr>
          <w:rFonts w:hint="eastAsia" w:ascii="仿宋_GB2312"/>
          <w:color w:val="auto"/>
          <w:highlight w:val="none"/>
          <w:lang w:eastAsia="zh-CN"/>
        </w:rPr>
        <w:t>于田县2024年林果病虫害（预防）防治</w:t>
      </w:r>
      <w:r>
        <w:rPr>
          <w:rFonts w:hint="eastAsia" w:ascii="仿宋_GB2312"/>
          <w:color w:val="auto"/>
          <w:highlight w:val="none"/>
          <w:lang w:val="en-US" w:eastAsia="zh-CN"/>
        </w:rPr>
        <w:t>项目实施</w:t>
      </w:r>
      <w:r>
        <w:rPr>
          <w:rFonts w:hint="eastAsia" w:ascii="仿宋_GB2312"/>
          <w:color w:val="auto"/>
          <w:highlight w:val="none"/>
        </w:rPr>
        <w:t>方案的批复》（于发改项目（202</w:t>
      </w:r>
      <w:r>
        <w:rPr>
          <w:rFonts w:hint="eastAsia" w:ascii="仿宋_GB2312"/>
          <w:color w:val="auto"/>
          <w:highlight w:val="none"/>
          <w:lang w:val="en-US" w:eastAsia="zh-CN"/>
        </w:rPr>
        <w:t>4</w:t>
      </w:r>
      <w:r>
        <w:rPr>
          <w:rFonts w:hint="eastAsia" w:ascii="仿宋_GB2312"/>
          <w:color w:val="auto"/>
          <w:highlight w:val="none"/>
        </w:rPr>
        <w:t>）</w:t>
      </w:r>
      <w:r>
        <w:rPr>
          <w:rFonts w:hint="eastAsia" w:ascii="仿宋_GB2312"/>
          <w:color w:val="auto"/>
          <w:highlight w:val="none"/>
          <w:lang w:val="en-US" w:eastAsia="zh-CN"/>
        </w:rPr>
        <w:t>42</w:t>
      </w:r>
      <w:r>
        <w:rPr>
          <w:rFonts w:hint="eastAsia" w:ascii="仿宋_GB2312"/>
          <w:color w:val="auto"/>
          <w:highlight w:val="none"/>
        </w:rPr>
        <w:t>号）。</w:t>
      </w:r>
    </w:p>
    <w:p w14:paraId="46E5C53B">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乡村振兴衔接资金</w:t>
      </w:r>
      <w:r>
        <w:rPr>
          <w:rFonts w:hint="eastAsia" w:ascii="仿宋_GB2312"/>
          <w:color w:val="auto"/>
          <w:highlight w:val="none"/>
        </w:rPr>
        <w:t>，文件依据：</w:t>
      </w:r>
      <w:r>
        <w:rPr>
          <w:rFonts w:hint="eastAsia" w:ascii="仿宋_GB2312"/>
          <w:color w:val="auto"/>
          <w:highlight w:val="none"/>
          <w:lang w:eastAsia="zh-CN"/>
        </w:rPr>
        <w:t>农村工作领导小组乡村振兴领导小组会议纪要</w:t>
      </w:r>
      <w:r>
        <w:rPr>
          <w:rFonts w:hint="eastAsia" w:ascii="仿宋_GB2312"/>
          <w:color w:val="auto"/>
          <w:highlight w:val="none"/>
        </w:rPr>
        <w:t>（第一期2024年2月28日）。</w:t>
      </w:r>
    </w:p>
    <w:p w14:paraId="451F5A4D">
      <w:pPr>
        <w:pStyle w:val="54"/>
        <w:spacing w:line="560" w:lineRule="exact"/>
        <w:ind w:left="3" w:right="3" w:firstLine="560"/>
        <w:rPr>
          <w:rFonts w:hint="eastAsia" w:ascii="仿宋_GB2312"/>
          <w:color w:val="auto"/>
          <w:highlight w:val="none"/>
          <w:lang w:val="en-US" w:eastAsia="zh-CN"/>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ab/>
      </w:r>
      <w:r>
        <w:rPr>
          <w:rFonts w:hint="eastAsia" w:ascii="仿宋_GB2312"/>
          <w:color w:val="auto"/>
          <w:highlight w:val="none"/>
        </w:rPr>
        <w:t>年</w:t>
      </w:r>
      <w:r>
        <w:rPr>
          <w:rFonts w:hint="eastAsia" w:ascii="仿宋_GB2312"/>
          <w:color w:val="auto"/>
          <w:highlight w:val="none"/>
          <w:lang w:val="en-US" w:eastAsia="zh-CN"/>
        </w:rPr>
        <w:t>2</w:t>
      </w:r>
      <w:r>
        <w:rPr>
          <w:rFonts w:hint="eastAsia" w:ascii="仿宋_GB2312"/>
          <w:color w:val="auto"/>
          <w:highlight w:val="none"/>
        </w:rPr>
        <w:t>月</w:t>
      </w:r>
      <w:r>
        <w:rPr>
          <w:rFonts w:hint="eastAsia" w:ascii="仿宋_GB2312"/>
          <w:color w:val="auto"/>
          <w:highlight w:val="none"/>
          <w:lang w:val="en-US" w:eastAsia="zh-CN"/>
        </w:rPr>
        <w:t>1日</w:t>
      </w:r>
      <w:r>
        <w:rPr>
          <w:rFonts w:hint="eastAsia" w:ascii="仿宋_GB2312"/>
          <w:color w:val="auto"/>
          <w:highlight w:val="none"/>
        </w:rPr>
        <w:t>制订实施方案并得到批复，</w:t>
      </w:r>
      <w:r>
        <w:rPr>
          <w:rFonts w:hint="eastAsia" w:ascii="仿宋_GB2312"/>
          <w:color w:val="auto"/>
          <w:highlight w:val="none"/>
          <w:lang w:val="en-US" w:eastAsia="zh-CN"/>
        </w:rPr>
        <w:t>2024年4月18日进行开标，2024年4月20日确定采购单位签订采购合同，2024年4月开始拨付采购款，2024年4月完成验收。</w:t>
      </w:r>
    </w:p>
    <w:p w14:paraId="7B1582B1">
      <w:pPr>
        <w:pStyle w:val="54"/>
        <w:spacing w:line="560" w:lineRule="exact"/>
        <w:ind w:left="3" w:right="3" w:firstLine="560"/>
        <w:rPr>
          <w:rFonts w:hint="eastAsia"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2024年5月10</w:t>
      </w:r>
      <w:r>
        <w:rPr>
          <w:rFonts w:hint="eastAsia" w:ascii="仿宋_GB2312"/>
          <w:color w:val="auto"/>
          <w:highlight w:val="none"/>
        </w:rPr>
        <w:t>日于田县</w:t>
      </w:r>
      <w:r>
        <w:rPr>
          <w:rFonts w:hint="eastAsia" w:ascii="仿宋_GB2312"/>
          <w:color w:val="auto"/>
          <w:highlight w:val="none"/>
          <w:lang w:val="en-US" w:eastAsia="zh-CN"/>
        </w:rPr>
        <w:t>林草局组织</w:t>
      </w:r>
      <w:r>
        <w:rPr>
          <w:rFonts w:hint="eastAsia" w:ascii="仿宋_GB2312"/>
          <w:color w:val="auto"/>
          <w:highlight w:val="none"/>
        </w:rPr>
        <w:t>竣工验收结果状况：合格。</w:t>
      </w:r>
    </w:p>
    <w:p w14:paraId="6DC476CA">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3A707DF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于田县2024年林果病虫害（预防）防治项目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DC00AA6">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（四）存在的问题</w:t>
      </w:r>
    </w:p>
    <w:p w14:paraId="0864DA5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于田县2024年林果病虫害（预防）防治项目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77F1AB88">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（五）建议</w:t>
      </w:r>
    </w:p>
    <w:p w14:paraId="2520475B">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2E5FE8EF">
      <w:pPr>
        <w:spacing w:line="560" w:lineRule="exact"/>
        <w:ind w:firstLine="562" w:firstLineChars="200"/>
        <w:rPr>
          <w:rStyle w:val="21"/>
          <w:rFonts w:ascii="楷体_GB2312"/>
          <w:color w:val="auto"/>
          <w:sz w:val="28"/>
          <w:highlight w:val="none"/>
        </w:rPr>
      </w:pPr>
      <w:r>
        <w:rPr>
          <w:rStyle w:val="21"/>
          <w:rFonts w:hint="eastAsia" w:ascii="楷体_GB2312"/>
          <w:color w:val="auto"/>
          <w:sz w:val="28"/>
          <w:highlight w:val="none"/>
        </w:rPr>
        <w:t>（六）项目绩效公告公示情况</w:t>
      </w:r>
    </w:p>
    <w:p w14:paraId="40C27F45">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HYb2gj">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41B514C5">
        <w:pPr>
          <w:pStyle w:val="15"/>
          <w:jc w:val="center"/>
        </w:pPr>
        <w:r>
          <w:fldChar w:fldCharType="begin"/>
        </w:r>
        <w:r>
          <w:instrText xml:space="preserve">PAGE   \* MERGEFORMAT</w:instrText>
        </w:r>
        <w:r>
          <w:fldChar w:fldCharType="separate"/>
        </w:r>
        <w:r>
          <w:rPr>
            <w:lang w:val="zh-CN"/>
          </w:rPr>
          <w:t>1</w:t>
        </w:r>
        <w:r>
          <w:fldChar w:fldCharType="end"/>
        </w:r>
      </w:p>
    </w:sdtContent>
  </w:sdt>
  <w:p w14:paraId="634B5A98">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25055">
    <w:pPr>
      <w:pStyle w:val="1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A7BE9"/>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C764169"/>
    <w:rsid w:val="0F4F54D8"/>
    <w:rsid w:val="17225EED"/>
    <w:rsid w:val="1C3F5CD8"/>
    <w:rsid w:val="1C5F74F5"/>
    <w:rsid w:val="20885954"/>
    <w:rsid w:val="2C196BDB"/>
    <w:rsid w:val="31523460"/>
    <w:rsid w:val="34EF419F"/>
    <w:rsid w:val="36657C06"/>
    <w:rsid w:val="39A41431"/>
    <w:rsid w:val="3A8546BB"/>
    <w:rsid w:val="3E982E81"/>
    <w:rsid w:val="4037219F"/>
    <w:rsid w:val="40AA57C4"/>
    <w:rsid w:val="464056D8"/>
    <w:rsid w:val="485A725E"/>
    <w:rsid w:val="4A056BEE"/>
    <w:rsid w:val="4B110D0E"/>
    <w:rsid w:val="4EF3230B"/>
    <w:rsid w:val="55CE7228"/>
    <w:rsid w:val="55FA274D"/>
    <w:rsid w:val="56A43B97"/>
    <w:rsid w:val="61CE5EB8"/>
    <w:rsid w:val="62923AAE"/>
    <w:rsid w:val="62C0120F"/>
    <w:rsid w:val="78E626D3"/>
    <w:rsid w:val="7BAB7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4">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5">
    <w:name w:val="heading 3"/>
    <w:basedOn w:val="1"/>
    <w:next w:val="1"/>
    <w:link w:val="25"/>
    <w:qFormat/>
    <w:uiPriority w:val="9"/>
    <w:pPr>
      <w:keepNext/>
      <w:keepLines/>
      <w:spacing w:before="260" w:after="260" w:line="415" w:lineRule="auto"/>
      <w:outlineLvl w:val="2"/>
    </w:pPr>
    <w:rPr>
      <w:rFonts w:cs="宋体"/>
      <w:b/>
      <w:bCs/>
      <w:szCs w:val="32"/>
    </w:rPr>
  </w:style>
  <w:style w:type="paragraph" w:styleId="6">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7">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8">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64"/>
    <w:qFormat/>
    <w:uiPriority w:val="9"/>
    <w:pPr>
      <w:keepNext/>
      <w:keepLines/>
      <w:spacing w:before="240" w:after="64" w:line="320" w:lineRule="auto"/>
      <w:outlineLvl w:val="6"/>
    </w:pPr>
    <w:rPr>
      <w:b/>
      <w:bCs/>
      <w:sz w:val="24"/>
      <w:szCs w:val="24"/>
    </w:rPr>
  </w:style>
  <w:style w:type="paragraph" w:styleId="10">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styleId="12">
    <w:name w:val="annotation text"/>
    <w:basedOn w:val="1"/>
    <w:link w:val="69"/>
    <w:semiHidden/>
    <w:unhideWhenUsed/>
    <w:qFormat/>
    <w:uiPriority w:val="99"/>
    <w:pPr>
      <w:jc w:val="left"/>
    </w:pPr>
  </w:style>
  <w:style w:type="paragraph" w:styleId="13">
    <w:name w:val="Body Text"/>
    <w:basedOn w:val="1"/>
    <w:qFormat/>
    <w:uiPriority w:val="0"/>
    <w:pPr>
      <w:spacing w:after="120"/>
    </w:pPr>
    <w:rPr>
      <w:rFonts w:ascii="宋体"/>
      <w:snapToGrid w:val="0"/>
      <w:sz w:val="28"/>
      <w:szCs w:val="20"/>
    </w:r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2"/>
    <w:next w:val="12"/>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Char"/>
    <w:basedOn w:val="20"/>
    <w:link w:val="3"/>
    <w:qFormat/>
    <w:locked/>
    <w:uiPriority w:val="9"/>
    <w:rPr>
      <w:b/>
      <w:bCs/>
      <w:kern w:val="44"/>
      <w:sz w:val="44"/>
      <w:szCs w:val="44"/>
    </w:rPr>
  </w:style>
  <w:style w:type="character" w:customStyle="1" w:styleId="24">
    <w:name w:val="标题 2 Char"/>
    <w:basedOn w:val="20"/>
    <w:link w:val="4"/>
    <w:semiHidden/>
    <w:qFormat/>
    <w:locked/>
    <w:uiPriority w:val="9"/>
    <w:rPr>
      <w:rFonts w:hint="eastAsia" w:asciiTheme="majorHAnsi" w:hAnsiTheme="majorHAnsi" w:eastAsiaTheme="majorEastAsia" w:cstheme="majorBidi"/>
      <w:b/>
      <w:bCs/>
      <w:sz w:val="32"/>
      <w:szCs w:val="32"/>
    </w:rPr>
  </w:style>
  <w:style w:type="character" w:customStyle="1" w:styleId="25">
    <w:name w:val="标题 3 Char"/>
    <w:basedOn w:val="20"/>
    <w:link w:val="5"/>
    <w:semiHidden/>
    <w:qFormat/>
    <w:locked/>
    <w:uiPriority w:val="9"/>
    <w:rPr>
      <w:b/>
      <w:bCs/>
      <w:sz w:val="32"/>
      <w:szCs w:val="32"/>
    </w:rPr>
  </w:style>
  <w:style w:type="character" w:customStyle="1" w:styleId="26">
    <w:name w:val="标题 4 Char"/>
    <w:basedOn w:val="20"/>
    <w:link w:val="6"/>
    <w:semiHidden/>
    <w:qFormat/>
    <w:locked/>
    <w:uiPriority w:val="9"/>
    <w:rPr>
      <w:rFonts w:hint="eastAsia" w:asciiTheme="majorHAnsi" w:hAnsiTheme="majorHAnsi" w:eastAsiaTheme="majorEastAsia" w:cstheme="majorBidi"/>
      <w:b/>
      <w:bCs/>
      <w:sz w:val="28"/>
      <w:szCs w:val="28"/>
    </w:rPr>
  </w:style>
  <w:style w:type="character" w:customStyle="1" w:styleId="27">
    <w:name w:val="标题 5 Char"/>
    <w:basedOn w:val="20"/>
    <w:link w:val="7"/>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3"/>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4"/>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5"/>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6"/>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7"/>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Char"/>
    <w:basedOn w:val="20"/>
    <w:link w:val="8"/>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8"/>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Char"/>
    <w:basedOn w:val="20"/>
    <w:link w:val="9"/>
    <w:semiHidden/>
    <w:qFormat/>
    <w:uiPriority w:val="9"/>
    <w:rPr>
      <w:rFonts w:asciiTheme="minorHAnsi" w:hAnsiTheme="minorHAnsi" w:eastAsiaTheme="minorEastAsia"/>
      <w:b/>
      <w:bCs/>
      <w:kern w:val="2"/>
      <w:sz w:val="24"/>
      <w:szCs w:val="24"/>
    </w:rPr>
  </w:style>
  <w:style w:type="character" w:customStyle="1" w:styleId="65">
    <w:name w:val="标题 8 Char"/>
    <w:basedOn w:val="20"/>
    <w:link w:val="10"/>
    <w:semiHidden/>
    <w:qFormat/>
    <w:uiPriority w:val="9"/>
    <w:rPr>
      <w:rFonts w:asciiTheme="majorHAnsi" w:hAnsiTheme="majorHAnsi" w:eastAsiaTheme="majorEastAsia" w:cstheme="majorBidi"/>
      <w:kern w:val="2"/>
      <w:sz w:val="24"/>
      <w:szCs w:val="24"/>
    </w:rPr>
  </w:style>
  <w:style w:type="character" w:customStyle="1" w:styleId="66">
    <w:name w:val="标题 9 Char"/>
    <w:basedOn w:val="20"/>
    <w:link w:val="11"/>
    <w:semiHidden/>
    <w:qFormat/>
    <w:uiPriority w:val="9"/>
    <w:rPr>
      <w:rFonts w:asciiTheme="majorHAnsi" w:hAnsiTheme="majorHAnsi" w:eastAsiaTheme="majorEastAsia" w:cstheme="majorBidi"/>
      <w:kern w:val="2"/>
      <w:sz w:val="21"/>
      <w:szCs w:val="21"/>
    </w:rPr>
  </w:style>
  <w:style w:type="character" w:customStyle="1" w:styleId="67">
    <w:name w:val="页眉 Char"/>
    <w:basedOn w:val="20"/>
    <w:link w:val="16"/>
    <w:qFormat/>
    <w:uiPriority w:val="99"/>
    <w:rPr>
      <w:rFonts w:asciiTheme="minorHAnsi" w:hAnsiTheme="minorHAnsi" w:eastAsiaTheme="minorEastAsia"/>
      <w:kern w:val="2"/>
      <w:sz w:val="18"/>
      <w:szCs w:val="18"/>
    </w:rPr>
  </w:style>
  <w:style w:type="character" w:customStyle="1" w:styleId="68">
    <w:name w:val="页脚 Char"/>
    <w:basedOn w:val="20"/>
    <w:link w:val="15"/>
    <w:qFormat/>
    <w:uiPriority w:val="99"/>
    <w:rPr>
      <w:rFonts w:asciiTheme="minorHAnsi" w:hAnsiTheme="minorHAnsi" w:eastAsiaTheme="minorEastAsia"/>
      <w:kern w:val="2"/>
      <w:sz w:val="18"/>
      <w:szCs w:val="18"/>
    </w:rPr>
  </w:style>
  <w:style w:type="character" w:customStyle="1" w:styleId="69">
    <w:name w:val="批注文字 Char"/>
    <w:basedOn w:val="20"/>
    <w:link w:val="12"/>
    <w:semiHidden/>
    <w:qFormat/>
    <w:uiPriority w:val="99"/>
    <w:rPr>
      <w:rFonts w:asciiTheme="minorHAnsi" w:hAnsiTheme="minorHAnsi" w:eastAsiaTheme="minorEastAsia"/>
      <w:kern w:val="2"/>
      <w:sz w:val="21"/>
      <w:szCs w:val="22"/>
    </w:rPr>
  </w:style>
  <w:style w:type="character" w:customStyle="1" w:styleId="70">
    <w:name w:val="批注主题 Char"/>
    <w:basedOn w:val="69"/>
    <w:link w:val="18"/>
    <w:semiHidden/>
    <w:qFormat/>
    <w:uiPriority w:val="99"/>
    <w:rPr>
      <w:rFonts w:asciiTheme="minorHAnsi" w:hAnsiTheme="minorHAnsi" w:eastAsiaTheme="minorEastAsia"/>
      <w:b/>
      <w:bCs/>
      <w:kern w:val="2"/>
      <w:sz w:val="21"/>
      <w:szCs w:val="22"/>
    </w:rPr>
  </w:style>
  <w:style w:type="character" w:customStyle="1" w:styleId="71">
    <w:name w:val="批注框文本 Char"/>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5173</Words>
  <Characters>5567</Characters>
  <Lines>9</Lines>
  <Paragraphs>15</Paragraphs>
  <TotalTime>9</TotalTime>
  <ScaleCrop>false</ScaleCrop>
  <LinksUpToDate>false</LinksUpToDate>
  <CharactersWithSpaces>5875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2025-12-15T09:29:18Z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