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3089816">
      <w:pPr>
        <w:spacing w:before="120" w:after="120" w:line="480" w:lineRule="auto"/>
        <w:ind w:firstLine="883" w:firstLineChars="200"/>
        <w:jc w:val="center"/>
        <w:outlineLvl w:val="0"/>
        <w:rPr>
          <w:rFonts w:ascii="仿宋_GB2312" w:hAnsi="Arial"/>
          <w:b/>
          <w:color w:val="auto"/>
          <w:sz w:val="44"/>
          <w:szCs w:val="44"/>
          <w:highlight w:val="none"/>
        </w:rPr>
      </w:pPr>
      <w:bookmarkStart w:id="0" w:name="_GoBack"/>
      <w:bookmarkEnd w:id="0"/>
    </w:p>
    <w:p w14:paraId="005EB6E7">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0347C157">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1BB44E7E">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03F845A0">
      <w:pPr>
        <w:spacing w:line="540" w:lineRule="exact"/>
        <w:ind w:firstLine="600" w:firstLineChars="200"/>
        <w:jc w:val="center"/>
        <w:rPr>
          <w:rFonts w:hAnsi="宋体" w:cs="宋体"/>
          <w:color w:val="auto"/>
          <w:kern w:val="0"/>
          <w:sz w:val="30"/>
          <w:szCs w:val="30"/>
          <w:highlight w:val="none"/>
        </w:rPr>
      </w:pPr>
    </w:p>
    <w:p w14:paraId="43AB6C3E">
      <w:pPr>
        <w:spacing w:line="540" w:lineRule="exact"/>
        <w:ind w:firstLine="600" w:firstLineChars="200"/>
        <w:jc w:val="center"/>
        <w:rPr>
          <w:rFonts w:hAnsi="宋体" w:cs="宋体"/>
          <w:color w:val="auto"/>
          <w:kern w:val="0"/>
          <w:sz w:val="30"/>
          <w:szCs w:val="30"/>
          <w:highlight w:val="none"/>
        </w:rPr>
      </w:pPr>
    </w:p>
    <w:p w14:paraId="648758FD">
      <w:pPr>
        <w:spacing w:line="540" w:lineRule="exact"/>
        <w:ind w:firstLine="600" w:firstLineChars="200"/>
        <w:jc w:val="center"/>
        <w:rPr>
          <w:rFonts w:hAnsi="宋体" w:cs="宋体"/>
          <w:color w:val="auto"/>
          <w:kern w:val="0"/>
          <w:sz w:val="30"/>
          <w:szCs w:val="30"/>
          <w:highlight w:val="none"/>
        </w:rPr>
      </w:pPr>
    </w:p>
    <w:p w14:paraId="4C8CB1D8">
      <w:pPr>
        <w:spacing w:line="540" w:lineRule="exact"/>
        <w:ind w:firstLine="600" w:firstLineChars="200"/>
        <w:jc w:val="center"/>
        <w:rPr>
          <w:rFonts w:hAnsi="宋体" w:cs="宋体"/>
          <w:color w:val="auto"/>
          <w:kern w:val="0"/>
          <w:sz w:val="30"/>
          <w:szCs w:val="30"/>
          <w:highlight w:val="none"/>
        </w:rPr>
      </w:pPr>
    </w:p>
    <w:p w14:paraId="5FA1AB22">
      <w:pPr>
        <w:spacing w:line="540" w:lineRule="exact"/>
        <w:ind w:firstLine="600" w:firstLineChars="200"/>
        <w:rPr>
          <w:rFonts w:hAnsi="宋体" w:cs="宋体"/>
          <w:color w:val="auto"/>
          <w:kern w:val="0"/>
          <w:sz w:val="30"/>
          <w:szCs w:val="30"/>
          <w:highlight w:val="none"/>
        </w:rPr>
      </w:pPr>
    </w:p>
    <w:p w14:paraId="371F4703">
      <w:pPr>
        <w:spacing w:line="540" w:lineRule="exact"/>
        <w:ind w:firstLine="600" w:firstLineChars="200"/>
        <w:rPr>
          <w:rFonts w:hAnsi="宋体" w:cs="宋体"/>
          <w:color w:val="auto"/>
          <w:kern w:val="0"/>
          <w:sz w:val="30"/>
          <w:szCs w:val="30"/>
          <w:highlight w:val="none"/>
        </w:rPr>
      </w:pPr>
    </w:p>
    <w:p w14:paraId="70B3E31C">
      <w:pPr>
        <w:spacing w:line="360" w:lineRule="auto"/>
        <w:ind w:left="640" w:leftChars="200" w:firstLine="640" w:firstLineChars="200"/>
        <w:rPr>
          <w:rFonts w:ascii="仿宋" w:hAnsi="仿宋" w:eastAsia="仿宋" w:cs="仿宋"/>
          <w:color w:val="auto"/>
          <w:szCs w:val="32"/>
          <w:highlight w:val="none"/>
        </w:rPr>
      </w:pPr>
    </w:p>
    <w:p w14:paraId="7940973E">
      <w:pPr>
        <w:spacing w:line="360" w:lineRule="auto"/>
        <w:ind w:left="640" w:leftChars="200" w:firstLine="640" w:firstLineChars="200"/>
        <w:rPr>
          <w:rFonts w:ascii="仿宋" w:hAnsi="仿宋" w:eastAsia="仿宋" w:cs="仿宋"/>
          <w:color w:val="auto"/>
          <w:szCs w:val="32"/>
          <w:highlight w:val="none"/>
        </w:rPr>
      </w:pPr>
    </w:p>
    <w:p w14:paraId="496626C0">
      <w:pPr>
        <w:spacing w:line="560" w:lineRule="exact"/>
        <w:ind w:left="640" w:leftChars="200" w:firstLine="640" w:firstLineChars="200"/>
        <w:rPr>
          <w:rFonts w:ascii="仿宋" w:hAnsi="仿宋" w:eastAsia="仿宋" w:cs="仿宋"/>
          <w:color w:val="auto"/>
          <w:szCs w:val="32"/>
          <w:highlight w:val="none"/>
        </w:rPr>
      </w:pPr>
    </w:p>
    <w:p w14:paraId="1C096A67">
      <w:pPr>
        <w:spacing w:line="560" w:lineRule="exact"/>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项目名称:</w:t>
      </w:r>
      <w:r>
        <w:rPr>
          <w:rFonts w:hint="eastAsia" w:ascii="仿宋" w:hAnsi="仿宋" w:eastAsia="仿宋" w:cs="仿宋"/>
          <w:color w:val="auto"/>
          <w:szCs w:val="32"/>
          <w:highlight w:val="none"/>
          <w:lang w:eastAsia="zh-CN"/>
        </w:rPr>
        <w:t>于田县英巴格乡红柳大芸提质增效项目</w:t>
      </w:r>
    </w:p>
    <w:p w14:paraId="6894D10A">
      <w:pPr>
        <w:spacing w:line="560" w:lineRule="exact"/>
        <w:rPr>
          <w:rFonts w:hint="eastAsia" w:ascii="仿宋" w:hAnsi="仿宋" w:eastAsia="仿宋" w:cs="仿宋"/>
          <w:color w:val="auto"/>
          <w:szCs w:val="32"/>
          <w:highlight w:val="none"/>
        </w:rPr>
      </w:pPr>
      <w:r>
        <w:rPr>
          <w:rFonts w:hint="eastAsia" w:ascii="仿宋" w:hAnsi="仿宋" w:eastAsia="仿宋" w:cs="仿宋"/>
          <w:color w:val="auto"/>
          <w:szCs w:val="32"/>
          <w:highlight w:val="none"/>
        </w:rPr>
        <w:t>实施单位(公章):于田县林业和草原局</w:t>
      </w:r>
    </w:p>
    <w:p w14:paraId="29016572">
      <w:pPr>
        <w:spacing w:line="560" w:lineRule="exact"/>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主管部门(公章):于田</w:t>
      </w:r>
      <w:r>
        <w:rPr>
          <w:rFonts w:hint="eastAsia" w:ascii="仿宋" w:hAnsi="仿宋" w:eastAsia="仿宋" w:cs="仿宋"/>
          <w:color w:val="auto"/>
          <w:szCs w:val="32"/>
          <w:highlight w:val="none"/>
          <w:lang w:eastAsia="zh-CN"/>
        </w:rPr>
        <w:t>县发展和改革委员会</w:t>
      </w:r>
    </w:p>
    <w:p w14:paraId="655BFB1B">
      <w:pPr>
        <w:spacing w:line="560" w:lineRule="exact"/>
        <w:rPr>
          <w:rFonts w:hint="eastAsia" w:ascii="仿宋" w:hAnsi="仿宋" w:eastAsia="仿宋" w:cs="仿宋"/>
          <w:color w:val="auto"/>
          <w:szCs w:val="32"/>
          <w:highlight w:val="none"/>
        </w:rPr>
      </w:pPr>
      <w:r>
        <w:rPr>
          <w:rFonts w:hint="eastAsia" w:ascii="仿宋" w:hAnsi="仿宋" w:eastAsia="仿宋" w:cs="仿宋"/>
          <w:color w:val="auto"/>
          <w:szCs w:val="32"/>
          <w:highlight w:val="none"/>
        </w:rPr>
        <w:t>项目负责人(签章):阿里木·麦麦提如则</w:t>
      </w:r>
    </w:p>
    <w:p w14:paraId="5B774997">
      <w:pPr>
        <w:spacing w:line="560" w:lineRule="exact"/>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5</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3</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18</w:t>
      </w:r>
      <w:r>
        <w:rPr>
          <w:rFonts w:ascii="仿宋" w:hAnsi="仿宋" w:eastAsia="仿宋" w:cs="仿宋"/>
          <w:color w:val="auto"/>
          <w:szCs w:val="32"/>
          <w:highlight w:val="none"/>
        </w:rPr>
        <w:t>日</w:t>
      </w:r>
    </w:p>
    <w:p w14:paraId="318BA86A">
      <w:pPr>
        <w:spacing w:line="560" w:lineRule="exact"/>
        <w:ind w:firstLine="640" w:firstLineChars="200"/>
        <w:rPr>
          <w:rFonts w:ascii="仿宋_GB2312" w:hAnsi="仿宋_GB2312" w:cs="仿宋_GB2312"/>
          <w:color w:val="auto"/>
          <w:kern w:val="0"/>
          <w:szCs w:val="32"/>
          <w:highlight w:val="none"/>
          <w:lang w:bidi="en-US"/>
        </w:rPr>
      </w:pPr>
    </w:p>
    <w:p w14:paraId="26942528">
      <w:pPr>
        <w:spacing w:line="560" w:lineRule="exact"/>
        <w:ind w:firstLine="640" w:firstLineChars="200"/>
        <w:rPr>
          <w:rFonts w:ascii="仿宋_GB2312" w:hAnsi="仿宋_GB2312" w:cs="仿宋_GB2312"/>
          <w:color w:val="auto"/>
          <w:kern w:val="0"/>
          <w:szCs w:val="32"/>
          <w:highlight w:val="none"/>
          <w:lang w:bidi="en-US"/>
        </w:rPr>
      </w:pPr>
    </w:p>
    <w:p w14:paraId="665934CA">
      <w:pPr>
        <w:spacing w:line="360" w:lineRule="auto"/>
        <w:ind w:firstLine="627" w:firstLineChars="200"/>
        <w:rPr>
          <w:rStyle w:val="21"/>
          <w:rFonts w:ascii="黑体" w:hAnsi="黑体" w:eastAsia="黑体" w:cs="Times New Roman"/>
          <w:color w:val="auto"/>
          <w:spacing w:val="-4"/>
          <w:szCs w:val="32"/>
          <w:highlight w:val="none"/>
        </w:rPr>
      </w:pPr>
    </w:p>
    <w:p w14:paraId="1A4ABADC">
      <w:pPr>
        <w:spacing w:line="360" w:lineRule="auto"/>
        <w:ind w:firstLine="627" w:firstLineChars="200"/>
        <w:rPr>
          <w:rStyle w:val="21"/>
          <w:rFonts w:ascii="黑体" w:hAnsi="黑体" w:eastAsia="黑体" w:cs="Times New Roman"/>
          <w:color w:val="auto"/>
          <w:spacing w:val="-4"/>
          <w:szCs w:val="32"/>
          <w:highlight w:val="none"/>
        </w:rPr>
      </w:pPr>
      <w:r>
        <w:rPr>
          <w:rStyle w:val="21"/>
          <w:rFonts w:hint="eastAsia" w:ascii="黑体" w:hAnsi="黑体" w:eastAsia="黑体" w:cs="Times New Roman"/>
          <w:color w:val="auto"/>
          <w:spacing w:val="-4"/>
          <w:szCs w:val="32"/>
          <w:highlight w:val="none"/>
        </w:rPr>
        <w:t>一、绩效目标分解下达情况</w:t>
      </w:r>
    </w:p>
    <w:p w14:paraId="5EBC198D">
      <w:pPr>
        <w:spacing w:line="360" w:lineRule="auto"/>
        <w:ind w:firstLine="546" w:firstLineChars="200"/>
        <w:rPr>
          <w:color w:val="auto"/>
          <w:highlight w:val="none"/>
        </w:rPr>
      </w:pPr>
      <w:r>
        <w:rPr>
          <w:rFonts w:hint="eastAsia" w:ascii="楷体_GB2312" w:hAnsi="楷体" w:cs="Times New Roman"/>
          <w:b/>
          <w:color w:val="auto"/>
          <w:spacing w:val="-4"/>
          <w:sz w:val="28"/>
          <w:szCs w:val="32"/>
          <w:highlight w:val="none"/>
        </w:rPr>
        <w:t>（一）财政专项乡村振兴衔接资金下达预算及项目情况</w:t>
      </w:r>
    </w:p>
    <w:p w14:paraId="7EA289A5">
      <w:pPr>
        <w:pStyle w:val="54"/>
        <w:ind w:left="3" w:right="3" w:firstLine="562"/>
        <w:rPr>
          <w:rFonts w:ascii="仿宋_GB2312"/>
          <w:b/>
          <w:color w:val="auto"/>
          <w:szCs w:val="32"/>
          <w:highlight w:val="none"/>
        </w:rPr>
      </w:pPr>
      <w:r>
        <w:rPr>
          <w:rFonts w:hint="eastAsia" w:ascii="仿宋_GB2312"/>
          <w:b/>
          <w:color w:val="auto"/>
          <w:szCs w:val="32"/>
          <w:highlight w:val="none"/>
        </w:rPr>
        <w:t>1.下达预算情况</w:t>
      </w:r>
    </w:p>
    <w:p w14:paraId="08BE113B">
      <w:pPr>
        <w:pStyle w:val="54"/>
        <w:ind w:left="3" w:right="3" w:firstLine="560"/>
        <w:rPr>
          <w:rFonts w:ascii="仿宋_GB2312"/>
          <w:color w:val="auto"/>
          <w:szCs w:val="32"/>
          <w:highlight w:val="none"/>
        </w:rPr>
      </w:pPr>
      <w:r>
        <w:rPr>
          <w:rFonts w:hint="eastAsia" w:ascii="仿宋_GB2312"/>
          <w:color w:val="auto"/>
          <w:szCs w:val="32"/>
          <w:highlight w:val="none"/>
        </w:rPr>
        <w:t>本项目根据于田县发展和改革委员会下发的《关于对</w:t>
      </w:r>
      <w:r>
        <w:rPr>
          <w:rFonts w:hint="eastAsia" w:ascii="仿宋_GB2312"/>
          <w:color w:val="auto"/>
          <w:szCs w:val="32"/>
          <w:highlight w:val="none"/>
          <w:lang w:eastAsia="zh-CN"/>
        </w:rPr>
        <w:t>于田县英巴格乡红柳大芸提质增效项目</w:t>
      </w:r>
      <w:r>
        <w:rPr>
          <w:rFonts w:hint="eastAsia" w:ascii="仿宋_GB2312"/>
          <w:color w:val="auto"/>
          <w:szCs w:val="32"/>
          <w:highlight w:val="none"/>
        </w:rPr>
        <w:t>方案的批复》（于发改项目（202</w:t>
      </w:r>
      <w:r>
        <w:rPr>
          <w:rFonts w:hint="eastAsia" w:ascii="仿宋_GB2312"/>
          <w:color w:val="auto"/>
          <w:szCs w:val="32"/>
          <w:highlight w:val="none"/>
          <w:lang w:val="en-US" w:eastAsia="zh-CN"/>
        </w:rPr>
        <w:t>4</w:t>
      </w:r>
      <w:r>
        <w:rPr>
          <w:rFonts w:hint="eastAsia" w:ascii="仿宋_GB2312"/>
          <w:color w:val="auto"/>
          <w:szCs w:val="32"/>
          <w:highlight w:val="none"/>
        </w:rPr>
        <w:t>）</w:t>
      </w:r>
      <w:r>
        <w:rPr>
          <w:rFonts w:hint="eastAsia" w:ascii="仿宋_GB2312"/>
          <w:color w:val="auto"/>
          <w:szCs w:val="32"/>
          <w:highlight w:val="none"/>
          <w:lang w:val="en-US" w:eastAsia="zh-CN"/>
        </w:rPr>
        <w:t>59</w:t>
      </w:r>
      <w:r>
        <w:rPr>
          <w:rFonts w:hint="eastAsia" w:ascii="仿宋_GB2312"/>
          <w:color w:val="auto"/>
          <w:szCs w:val="32"/>
          <w:highlight w:val="none"/>
        </w:rPr>
        <w:t>号）文立项实施，</w:t>
      </w:r>
      <w:r>
        <w:rPr>
          <w:rFonts w:hint="eastAsia" w:ascii="仿宋_GB2312"/>
          <w:color w:val="auto"/>
          <w:szCs w:val="32"/>
          <w:highlight w:val="none"/>
          <w:lang w:eastAsia="zh-CN"/>
        </w:rPr>
        <w:t>于田县英巴格乡红柳大芸提质增效项目</w:t>
      </w:r>
      <w:r>
        <w:rPr>
          <w:rFonts w:hint="eastAsia" w:ascii="仿宋_GB2312"/>
          <w:color w:val="auto"/>
          <w:szCs w:val="32"/>
          <w:highlight w:val="none"/>
        </w:rPr>
        <w:t>预算安排总额为</w:t>
      </w:r>
      <w:r>
        <w:rPr>
          <w:rFonts w:hint="eastAsia" w:ascii="仿宋_GB2312"/>
          <w:color w:val="auto"/>
          <w:szCs w:val="32"/>
          <w:highlight w:val="none"/>
          <w:lang w:val="en-US" w:eastAsia="zh-CN"/>
        </w:rPr>
        <w:t>595万元</w:t>
      </w:r>
      <w:r>
        <w:rPr>
          <w:rFonts w:hint="eastAsia" w:ascii="仿宋_GB2312"/>
          <w:color w:val="auto"/>
          <w:szCs w:val="32"/>
          <w:highlight w:val="none"/>
        </w:rPr>
        <w:t>，其中：</w:t>
      </w:r>
      <w:r>
        <w:rPr>
          <w:rFonts w:hint="eastAsia" w:ascii="仿宋_GB2312"/>
          <w:color w:val="auto"/>
          <w:szCs w:val="32"/>
          <w:highlight w:val="none"/>
          <w:lang w:val="en-US" w:eastAsia="zh-CN"/>
        </w:rPr>
        <w:t>乡村振兴衔接</w:t>
      </w:r>
      <w:r>
        <w:rPr>
          <w:rFonts w:hint="eastAsia" w:ascii="仿宋_GB2312"/>
          <w:color w:val="auto"/>
          <w:szCs w:val="32"/>
          <w:highlight w:val="none"/>
          <w:lang w:eastAsia="zh-CN"/>
        </w:rPr>
        <w:t>资金</w:t>
      </w:r>
      <w:r>
        <w:rPr>
          <w:rFonts w:hint="eastAsia" w:ascii="仿宋_GB2312"/>
          <w:color w:val="auto"/>
          <w:szCs w:val="32"/>
          <w:highlight w:val="none"/>
          <w:lang w:val="en-US" w:eastAsia="zh-CN"/>
        </w:rPr>
        <w:t>595万元</w:t>
      </w:r>
      <w:r>
        <w:rPr>
          <w:rFonts w:hint="eastAsia" w:ascii="仿宋_GB2312"/>
          <w:color w:val="auto"/>
          <w:szCs w:val="32"/>
          <w:highlight w:val="none"/>
        </w:rPr>
        <w:t>。预算资金到位率为100.00%。</w:t>
      </w:r>
    </w:p>
    <w:p w14:paraId="71F2FEC7">
      <w:pPr>
        <w:pStyle w:val="54"/>
        <w:ind w:left="3" w:right="3" w:firstLine="562"/>
        <w:rPr>
          <w:rFonts w:ascii="仿宋_GB2312"/>
          <w:b/>
          <w:color w:val="auto"/>
          <w:szCs w:val="32"/>
          <w:highlight w:val="none"/>
        </w:rPr>
      </w:pPr>
      <w:r>
        <w:rPr>
          <w:rFonts w:hint="eastAsia" w:ascii="仿宋_GB2312"/>
          <w:b/>
          <w:color w:val="auto"/>
          <w:szCs w:val="32"/>
          <w:highlight w:val="none"/>
        </w:rPr>
        <w:t>2.项目实施背景</w:t>
      </w:r>
    </w:p>
    <w:p w14:paraId="50C10B69">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(1)项目区目前为荒地，渠道多为土渠，灌区作物灌溉不能得到保障，由于资金条件限制，普遍标准低，依靠人工在进行分水，影响灌溉周期，导致灌溉效益差。</w:t>
      </w:r>
    </w:p>
    <w:p w14:paraId="136B76EF">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(2)渠道多为土渠，不能使农作物更好的生长。为满足灌区灌溉需求，加快整村推进建设步伐，因此急需进行灌溉改造。</w:t>
      </w:r>
    </w:p>
    <w:p w14:paraId="6A298DE8">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val="zh-CN"/>
        </w:rPr>
        <w:t>(3)由于项目区普遍存在灌溉用水浪费现象。很难做到科学、统一地进行输、配水管理，给水行政管理部门科学管理水资源带来困难，无序用水、水资源浪费现象严重。</w:t>
      </w:r>
    </w:p>
    <w:p w14:paraId="40EE10C5">
      <w:pPr>
        <w:spacing w:line="560" w:lineRule="exact"/>
        <w:ind w:firstLine="560" w:firstLineChars="200"/>
        <w:rPr>
          <w:rFonts w:hint="eastAsia" w:ascii="仿宋_GB2312" w:hAnsi="Times New Roman" w:eastAsia="仿宋_GB2312" w:cs="Times New Roman"/>
          <w:color w:val="auto"/>
          <w:sz w:val="28"/>
          <w:szCs w:val="32"/>
          <w:highlight w:val="none"/>
          <w:lang w:eastAsia="zh-CN"/>
        </w:rPr>
      </w:pPr>
      <w:r>
        <w:rPr>
          <w:rFonts w:hint="eastAsia" w:ascii="仿宋_GB2312" w:hAnsi="Times New Roman" w:eastAsia="仿宋_GB2312" w:cs="Times New Roman"/>
          <w:color w:val="auto"/>
          <w:sz w:val="28"/>
          <w:szCs w:val="32"/>
          <w:highlight w:val="none"/>
          <w:lang w:eastAsia="zh-CN"/>
        </w:rPr>
        <w:t>由于上述原因开展于田县英巴格乡红柳大芸提质增效项目，本项目由于田县发展和改革委员会主管，于田县林业和草原局负责实施，项目施工期为202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eastAsia="zh-CN"/>
        </w:rPr>
        <w:t>年</w:t>
      </w:r>
      <w:r>
        <w:rPr>
          <w:rFonts w:hint="eastAsia" w:ascii="仿宋_GB2312" w:hAnsi="Times New Roman" w:eastAsia="仿宋_GB2312" w:cs="Times New Roman"/>
          <w:color w:val="auto"/>
          <w:sz w:val="28"/>
          <w:szCs w:val="32"/>
          <w:highlight w:val="none"/>
          <w:lang w:val="en-US" w:eastAsia="zh-CN"/>
        </w:rPr>
        <w:t>3</w:t>
      </w:r>
      <w:r>
        <w:rPr>
          <w:rFonts w:hint="eastAsia" w:ascii="仿宋_GB2312" w:hAnsi="Times New Roman" w:eastAsia="仿宋_GB2312" w:cs="Times New Roman"/>
          <w:color w:val="auto"/>
          <w:sz w:val="28"/>
          <w:szCs w:val="32"/>
          <w:highlight w:val="none"/>
          <w:lang w:eastAsia="zh-CN"/>
        </w:rPr>
        <w:t>月-202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eastAsia="zh-CN"/>
        </w:rPr>
        <w:t>年</w:t>
      </w:r>
      <w:r>
        <w:rPr>
          <w:rFonts w:hint="eastAsia" w:ascii="仿宋_GB2312" w:hAnsi="Times New Roman" w:eastAsia="仿宋_GB2312" w:cs="Times New Roman"/>
          <w:color w:val="auto"/>
          <w:sz w:val="28"/>
          <w:szCs w:val="32"/>
          <w:highlight w:val="none"/>
          <w:lang w:val="en-US" w:eastAsia="zh-CN"/>
        </w:rPr>
        <w:t>5</w:t>
      </w:r>
      <w:r>
        <w:rPr>
          <w:rFonts w:hint="eastAsia" w:ascii="仿宋_GB2312" w:hAnsi="Times New Roman" w:eastAsia="仿宋_GB2312" w:cs="Times New Roman"/>
          <w:color w:val="auto"/>
          <w:sz w:val="28"/>
          <w:szCs w:val="32"/>
          <w:highlight w:val="none"/>
          <w:lang w:eastAsia="zh-CN"/>
        </w:rPr>
        <w:t>月。</w:t>
      </w:r>
    </w:p>
    <w:p w14:paraId="22B9FADC">
      <w:pPr>
        <w:spacing w:line="560" w:lineRule="exact"/>
        <w:ind w:firstLine="560" w:firstLineChars="200"/>
        <w:rPr>
          <w:rFonts w:hint="eastAsia" w:ascii="仿宋_GB2312" w:hAnsi="Times New Roman" w:eastAsia="仿宋_GB2312" w:cs="Times New Roman"/>
          <w:color w:val="auto"/>
          <w:sz w:val="28"/>
          <w:szCs w:val="32"/>
          <w:highlight w:val="none"/>
          <w:lang w:val="en-US" w:eastAsia="zh-CN"/>
        </w:rPr>
      </w:pPr>
      <w:r>
        <w:rPr>
          <w:rFonts w:hint="eastAsia" w:ascii="仿宋_GB2312" w:hAnsi="Times New Roman" w:eastAsia="仿宋_GB2312" w:cs="Times New Roman"/>
          <w:color w:val="auto"/>
          <w:sz w:val="28"/>
          <w:szCs w:val="32"/>
          <w:highlight w:val="none"/>
          <w:lang w:eastAsia="zh-CN"/>
        </w:rPr>
        <w:t>工程实施后，促进于田县英巴格乡红柳大芸提质增效，改善环境，增加经济发展后劲</w:t>
      </w:r>
      <w:r>
        <w:rPr>
          <w:rFonts w:hint="eastAsia" w:ascii="仿宋_GB2312" w:hAnsi="Times New Roman" w:eastAsia="仿宋_GB2312" w:cs="Times New Roman"/>
          <w:color w:val="auto"/>
          <w:sz w:val="28"/>
          <w:szCs w:val="32"/>
          <w:highlight w:val="none"/>
          <w:lang w:val="zh-CN"/>
        </w:rPr>
        <w:t>。</w:t>
      </w:r>
    </w:p>
    <w:p w14:paraId="162B9D39">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3</w:t>
      </w:r>
      <w:r>
        <w:rPr>
          <w:rFonts w:hint="eastAsia" w:ascii="仿宋_GB2312" w:hAnsi="Times New Roman" w:eastAsia="仿宋_GB2312" w:cs="Times New Roman"/>
          <w:b/>
          <w:bCs/>
          <w:color w:val="auto"/>
          <w:sz w:val="28"/>
          <w:szCs w:val="32"/>
          <w:highlight w:val="none"/>
        </w:rPr>
        <w:t>、项目实施依据及范围</w:t>
      </w:r>
    </w:p>
    <w:p w14:paraId="26355149">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于田县英巴格乡红柳大芸提质增效项目根据于田县发展和改革委员会下发的《关于对于田县英巴格乡红柳大芸提质增效项目实施方案的批复》（于发改项目（202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w:t>
      </w:r>
      <w:r>
        <w:rPr>
          <w:rFonts w:hint="eastAsia" w:ascii="仿宋_GB2312" w:hAnsi="Times New Roman" w:eastAsia="仿宋_GB2312" w:cs="Times New Roman"/>
          <w:color w:val="auto"/>
          <w:sz w:val="28"/>
          <w:szCs w:val="32"/>
          <w:highlight w:val="none"/>
          <w:lang w:val="en-US" w:eastAsia="zh-CN"/>
        </w:rPr>
        <w:t>59</w:t>
      </w:r>
      <w:r>
        <w:rPr>
          <w:rFonts w:hint="eastAsia" w:ascii="仿宋_GB2312" w:hAnsi="Times New Roman" w:eastAsia="仿宋_GB2312" w:cs="Times New Roman"/>
          <w:color w:val="auto"/>
          <w:sz w:val="28"/>
          <w:szCs w:val="32"/>
          <w:highlight w:val="none"/>
          <w:lang w:val="zh-CN"/>
        </w:rPr>
        <w:t>号）及该项目实施方案实施，建设地点：</w:t>
      </w:r>
      <w:r>
        <w:rPr>
          <w:rFonts w:hint="eastAsia" w:ascii="仿宋_GB2312" w:hAnsi="Times New Roman" w:eastAsia="仿宋_GB2312" w:cs="Times New Roman"/>
          <w:color w:val="auto"/>
          <w:sz w:val="28"/>
          <w:szCs w:val="32"/>
          <w:highlight w:val="none"/>
          <w:lang w:val="en-US" w:eastAsia="zh-CN"/>
        </w:rPr>
        <w:t>英巴格乡，建设内容</w:t>
      </w:r>
      <w:r>
        <w:rPr>
          <w:rFonts w:hint="eastAsia" w:ascii="仿宋_GB2312" w:hAnsi="Times New Roman" w:eastAsia="仿宋_GB2312" w:cs="Times New Roman"/>
          <w:color w:val="auto"/>
          <w:sz w:val="28"/>
          <w:szCs w:val="32"/>
          <w:highlight w:val="none"/>
          <w:lang w:val="zh-CN"/>
        </w:rPr>
        <w:t>：建设10kV单回架空线路21.33千米，新建专变200kVA柱上变26台,含计量</w:t>
      </w:r>
      <w:r>
        <w:rPr>
          <w:rFonts w:hint="eastAsia" w:ascii="仿宋_GB2312" w:hAnsi="Times New Roman" w:eastAsia="仿宋_GB2312" w:cs="Times New Roman"/>
          <w:color w:val="auto"/>
          <w:sz w:val="28"/>
          <w:szCs w:val="32"/>
          <w:highlight w:val="none"/>
          <w:lang w:val="en-US" w:eastAsia="zh-CN"/>
        </w:rPr>
        <w:t>26套</w:t>
      </w:r>
      <w:r>
        <w:rPr>
          <w:rFonts w:hint="eastAsia" w:ascii="仿宋_GB2312" w:hAnsi="Times New Roman" w:eastAsia="仿宋_GB2312" w:cs="Times New Roman"/>
          <w:color w:val="auto"/>
          <w:sz w:val="28"/>
          <w:szCs w:val="32"/>
          <w:highlight w:val="none"/>
          <w:lang w:val="zh-CN"/>
        </w:rPr>
        <w:t>和综合配电箱26套。新建分段断路器3台。</w:t>
      </w:r>
    </w:p>
    <w:p w14:paraId="3B7E91D5">
      <w:pPr>
        <w:spacing w:line="560" w:lineRule="exact"/>
        <w:ind w:firstLine="560" w:firstLineChars="200"/>
        <w:rPr>
          <w:rStyle w:val="21"/>
          <w:rFonts w:hint="eastAsia" w:ascii="仿宋_GB2312" w:hAnsi="楷体"/>
          <w:b w:val="0"/>
          <w:snapToGrid/>
          <w:spacing w:val="-4"/>
          <w:sz w:val="32"/>
          <w:szCs w:val="32"/>
          <w:lang w:val="zh-CN"/>
        </w:rPr>
      </w:pPr>
      <w:r>
        <w:rPr>
          <w:rFonts w:hint="eastAsia" w:ascii="仿宋_GB2312" w:hAnsi="Times New Roman" w:eastAsia="仿宋_GB2312" w:cs="Times New Roman"/>
          <w:color w:val="auto"/>
          <w:sz w:val="28"/>
          <w:szCs w:val="32"/>
          <w:highlight w:val="none"/>
          <w:lang w:val="zh-CN"/>
        </w:rPr>
        <w:t>通过项目的实施，优化土地利用结构、促进耕地保护、提高节约集约用地水平，有效改善项目区灌溉条件，有效的改善了项目区生态环境,是从根本上解决搬迁群众的脱贫发展问题。</w:t>
      </w:r>
      <w:r>
        <w:rPr>
          <w:rFonts w:hint="eastAsia" w:ascii="仿宋_GB2312" w:hAnsi="Times New Roman" w:eastAsia="仿宋_GB2312" w:cs="Times New Roman"/>
          <w:color w:val="auto"/>
          <w:sz w:val="28"/>
          <w:szCs w:val="32"/>
          <w:highlight w:val="none"/>
          <w:lang w:val="zh-CN"/>
        </w:rPr>
        <w:tab/>
      </w:r>
    </w:p>
    <w:p w14:paraId="27A72CDD">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4</w:t>
      </w:r>
      <w:r>
        <w:rPr>
          <w:rFonts w:hint="eastAsia" w:ascii="仿宋_GB2312" w:hAnsi="Times New Roman" w:eastAsia="仿宋_GB2312" w:cs="Times New Roman"/>
          <w:b/>
          <w:bCs/>
          <w:color w:val="auto"/>
          <w:sz w:val="28"/>
          <w:szCs w:val="32"/>
          <w:highlight w:val="none"/>
        </w:rPr>
        <w:t>、项目基本性质及类别</w:t>
      </w:r>
    </w:p>
    <w:p w14:paraId="32135A0E">
      <w:pPr>
        <w:spacing w:line="560" w:lineRule="exact"/>
        <w:ind w:firstLine="560" w:firstLineChars="200"/>
        <w:rPr>
          <w:rFonts w:hint="eastAsia" w:ascii="仿宋_GB2312" w:hAnsi="Times New Roman" w:eastAsia="仿宋_GB2312" w:cs="Times New Roman"/>
          <w:color w:val="auto"/>
          <w:sz w:val="28"/>
          <w:szCs w:val="32"/>
          <w:highlight w:val="none"/>
          <w:lang w:val="zh-CN" w:eastAsia="zh-CN"/>
        </w:rPr>
      </w:pPr>
      <w:r>
        <w:rPr>
          <w:rFonts w:hint="eastAsia" w:ascii="仿宋_GB2312" w:hAnsi="Times New Roman" w:eastAsia="仿宋_GB2312" w:cs="Times New Roman"/>
          <w:color w:val="auto"/>
          <w:sz w:val="28"/>
          <w:szCs w:val="32"/>
          <w:highlight w:val="none"/>
          <w:lang w:val="zh-CN" w:eastAsia="zh-CN"/>
        </w:rPr>
        <w:t>于田县英巴格乡红柳大芸提质增效项目性质为</w:t>
      </w:r>
      <w:r>
        <w:rPr>
          <w:rFonts w:hint="eastAsia" w:ascii="仿宋_GB2312" w:hAnsi="Times New Roman" w:eastAsia="仿宋_GB2312" w:cs="Times New Roman"/>
          <w:color w:val="auto"/>
          <w:sz w:val="28"/>
          <w:szCs w:val="32"/>
          <w:highlight w:val="none"/>
          <w:lang w:val="en-US" w:eastAsia="zh-CN"/>
        </w:rPr>
        <w:t>其他</w:t>
      </w:r>
      <w:r>
        <w:rPr>
          <w:rFonts w:hint="eastAsia" w:ascii="仿宋_GB2312" w:hAnsi="Times New Roman" w:eastAsia="仿宋_GB2312" w:cs="Times New Roman"/>
          <w:color w:val="auto"/>
          <w:sz w:val="28"/>
          <w:szCs w:val="32"/>
          <w:highlight w:val="none"/>
          <w:lang w:val="zh-CN" w:eastAsia="zh-CN"/>
        </w:rPr>
        <w:t>项目，属于乡村振兴衔接资金项目。</w:t>
      </w:r>
    </w:p>
    <w:p w14:paraId="70A9DBFD">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（二）财政专项乡村振兴衔接资金项目绩效目标设定情况</w:t>
      </w:r>
    </w:p>
    <w:p w14:paraId="485DBF6A">
      <w:pPr>
        <w:spacing w:line="560" w:lineRule="exact"/>
        <w:ind w:firstLine="562" w:firstLineChars="200"/>
        <w:rPr>
          <w:color w:val="auto"/>
          <w:highlight w:val="none"/>
        </w:rPr>
      </w:pPr>
      <w:r>
        <w:rPr>
          <w:rFonts w:hint="eastAsia" w:ascii="仿宋_GB2312" w:hAnsi="Times New Roman" w:eastAsia="仿宋_GB2312" w:cs="Times New Roman"/>
          <w:b/>
          <w:bCs/>
          <w:color w:val="auto"/>
          <w:sz w:val="28"/>
          <w:szCs w:val="32"/>
          <w:highlight w:val="none"/>
        </w:rPr>
        <w:t>1.项目绩效总体目标</w:t>
      </w:r>
    </w:p>
    <w:p w14:paraId="5B9ED99B">
      <w:pPr>
        <w:spacing w:line="560" w:lineRule="exact"/>
        <w:ind w:firstLine="560" w:firstLineChars="200"/>
        <w:rPr>
          <w:rStyle w:val="21"/>
          <w:rFonts w:hint="eastAsia" w:ascii="仿宋_GB2312" w:hAnsi="Times New Roman" w:eastAsia="仿宋_GB2312" w:cs="Times New Roman"/>
          <w:b w:val="0"/>
          <w:snapToGrid/>
          <w:color w:val="auto"/>
          <w:spacing w:val="-4"/>
          <w:sz w:val="28"/>
          <w:szCs w:val="32"/>
          <w:highlight w:val="none"/>
          <w:lang w:val="zh-CN"/>
        </w:rPr>
      </w:pPr>
      <w:r>
        <w:rPr>
          <w:rFonts w:hint="eastAsia" w:ascii="仿宋_GB2312" w:hAnsi="Times New Roman" w:eastAsia="仿宋_GB2312" w:cs="Times New Roman"/>
          <w:color w:val="auto"/>
          <w:sz w:val="28"/>
          <w:szCs w:val="32"/>
          <w:highlight w:val="none"/>
          <w:lang w:val="zh-CN" w:eastAsia="zh-CN"/>
        </w:rPr>
        <w:t>于田县英巴格乡红柳大芸提质增效项目总投资</w:t>
      </w:r>
      <w:r>
        <w:rPr>
          <w:rFonts w:hint="eastAsia" w:ascii="仿宋_GB2312" w:hAnsi="Times New Roman" w:eastAsia="仿宋_GB2312" w:cs="Times New Roman"/>
          <w:color w:val="auto"/>
          <w:sz w:val="28"/>
          <w:szCs w:val="32"/>
          <w:highlight w:val="none"/>
          <w:lang w:val="en-US" w:eastAsia="zh-CN"/>
        </w:rPr>
        <w:t>595万元</w:t>
      </w:r>
      <w:r>
        <w:rPr>
          <w:rFonts w:hint="eastAsia" w:ascii="仿宋_GB2312" w:hAnsi="Times New Roman" w:eastAsia="仿宋_GB2312" w:cs="Times New Roman"/>
          <w:color w:val="auto"/>
          <w:sz w:val="28"/>
          <w:szCs w:val="32"/>
          <w:highlight w:val="none"/>
          <w:lang w:val="zh-CN" w:eastAsia="zh-CN"/>
        </w:rPr>
        <w:t>，资金来源：</w:t>
      </w:r>
      <w:r>
        <w:rPr>
          <w:rFonts w:hint="eastAsia" w:ascii="仿宋_GB2312" w:hAnsi="Times New Roman" w:eastAsia="仿宋_GB2312" w:cs="Times New Roman"/>
          <w:color w:val="auto"/>
          <w:sz w:val="28"/>
          <w:szCs w:val="32"/>
          <w:highlight w:val="none"/>
          <w:lang w:val="en-US" w:eastAsia="zh-CN"/>
        </w:rPr>
        <w:t>乡村振兴衔接资金</w:t>
      </w:r>
      <w:r>
        <w:rPr>
          <w:rFonts w:hint="eastAsia" w:ascii="仿宋_GB2312" w:hAnsi="Times New Roman" w:eastAsia="仿宋_GB2312" w:cs="Times New Roman"/>
          <w:color w:val="auto"/>
          <w:sz w:val="28"/>
          <w:szCs w:val="32"/>
          <w:highlight w:val="none"/>
          <w:lang w:val="zh-CN" w:eastAsia="zh-CN"/>
        </w:rPr>
        <w:t>。</w:t>
      </w:r>
      <w:r>
        <w:rPr>
          <w:rFonts w:hint="eastAsia" w:ascii="仿宋_GB2312" w:hAnsi="Times New Roman" w:eastAsia="仿宋_GB2312" w:cs="Times New Roman"/>
          <w:color w:val="auto"/>
          <w:sz w:val="28"/>
          <w:szCs w:val="32"/>
          <w:highlight w:val="none"/>
          <w:lang w:val="en-US" w:eastAsia="zh-CN"/>
        </w:rPr>
        <w:t>建设内容</w:t>
      </w:r>
      <w:r>
        <w:rPr>
          <w:rFonts w:hint="eastAsia" w:ascii="仿宋_GB2312" w:hAnsi="Times New Roman" w:eastAsia="仿宋_GB2312" w:cs="Times New Roman"/>
          <w:color w:val="auto"/>
          <w:sz w:val="28"/>
          <w:szCs w:val="32"/>
          <w:highlight w:val="none"/>
          <w:lang w:val="zh-CN"/>
        </w:rPr>
        <w:t>：建设10kV单回架空线路21.33千米，新建专变200kVA柱上变26台,含计量26套和综合配电箱26套。新建分段断路器3台。</w:t>
      </w:r>
    </w:p>
    <w:p w14:paraId="116ABEC9">
      <w:pPr>
        <w:pStyle w:val="54"/>
        <w:spacing w:line="560" w:lineRule="exact"/>
        <w:ind w:left="3" w:right="3" w:firstLine="560"/>
        <w:rPr>
          <w:rFonts w:ascii="仿宋_GB2312"/>
          <w:color w:val="auto"/>
          <w:szCs w:val="32"/>
          <w:highlight w:val="none"/>
        </w:rPr>
      </w:pPr>
      <w:r>
        <w:rPr>
          <w:rFonts w:hint="eastAsia" w:ascii="仿宋_GB2312" w:hAnsi="Times New Roman" w:eastAsia="仿宋_GB2312" w:cs="Times New Roman"/>
          <w:color w:val="auto"/>
          <w:sz w:val="28"/>
          <w:szCs w:val="32"/>
          <w:highlight w:val="none"/>
          <w:lang w:val="zh-CN"/>
        </w:rPr>
        <w:t>通过是深入贯彻落实国家、自治区和地委巩固脱贫攻坚成果的决策部署，加快推进乡村振兴战略、增强群众幸福感、获得感的民生和暖心工程；项目实施后，沿线的各个村子的所有村民均可受益，</w:t>
      </w:r>
      <w:r>
        <w:rPr>
          <w:rFonts w:hint="eastAsia" w:ascii="仿宋_GB2312"/>
          <w:szCs w:val="32"/>
        </w:rPr>
        <w:t>对于田县农民致富，乃至整个区域经济的发展都是十分重要的</w:t>
      </w:r>
      <w:r>
        <w:rPr>
          <w:rFonts w:hint="eastAsia" w:ascii="仿宋_GB2312" w:hAnsi="Times New Roman" w:eastAsia="仿宋_GB2312" w:cs="Times New Roman"/>
          <w:color w:val="auto"/>
          <w:sz w:val="28"/>
          <w:szCs w:val="32"/>
          <w:highlight w:val="none"/>
          <w:lang w:val="zh-CN"/>
        </w:rPr>
        <w:t>提高经济收入</w:t>
      </w:r>
      <w:r>
        <w:rPr>
          <w:rFonts w:hint="eastAsia" w:ascii="仿宋_GB2312" w:cs="Times New Roman"/>
          <w:color w:val="auto"/>
          <w:sz w:val="28"/>
          <w:szCs w:val="32"/>
          <w:highlight w:val="none"/>
          <w:lang w:val="en-US" w:eastAsia="zh-CN"/>
        </w:rPr>
        <w:t>,</w:t>
      </w:r>
      <w:r>
        <w:rPr>
          <w:rFonts w:hint="eastAsia" w:ascii="仿宋_GB2312" w:hAnsi="Times New Roman" w:eastAsia="仿宋_GB2312" w:cs="Times New Roman"/>
          <w:color w:val="auto"/>
          <w:sz w:val="28"/>
          <w:szCs w:val="32"/>
          <w:highlight w:val="none"/>
          <w:lang w:val="zh-CN"/>
        </w:rPr>
        <w:t>从而达到推动乡村振兴</w:t>
      </w:r>
      <w:r>
        <w:rPr>
          <w:rFonts w:hint="eastAsia" w:ascii="仿宋_GB2312"/>
          <w:color w:val="auto"/>
          <w:szCs w:val="28"/>
          <w:highlight w:val="none"/>
          <w:lang w:val="zh-CN"/>
        </w:rPr>
        <w:t>。</w:t>
      </w:r>
    </w:p>
    <w:p w14:paraId="207A65BF">
      <w:pPr>
        <w:pStyle w:val="54"/>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14:paraId="46AA01AA">
      <w:pPr>
        <w:pStyle w:val="54"/>
        <w:spacing w:line="560" w:lineRule="exact"/>
        <w:ind w:left="3" w:right="3" w:firstLine="560"/>
        <w:rPr>
          <w:rFonts w:hint="eastAsia" w:ascii="仿宋_GB2312" w:eastAsia="仿宋_GB2312"/>
          <w:color w:val="auto"/>
          <w:szCs w:val="32"/>
          <w:highlight w:val="none"/>
          <w:lang w:eastAsia="zh-CN"/>
        </w:rPr>
      </w:pPr>
      <w:r>
        <w:rPr>
          <w:rFonts w:ascii="仿宋_GB2312"/>
          <w:color w:val="auto"/>
          <w:szCs w:val="32"/>
          <w:highlight w:val="none"/>
        </w:rPr>
        <w:t>根据《自治区财政专项扶贫资金绩效管理操作指南》（新财预〔2019〕170号）的规定，结合项目具体情况，</w:t>
      </w:r>
      <w:r>
        <w:rPr>
          <w:rStyle w:val="21"/>
          <w:rFonts w:hint="eastAsia" w:ascii="仿宋_GB2312" w:hAnsi="仿宋"/>
          <w:b w:val="0"/>
          <w:spacing w:val="-4"/>
          <w:szCs w:val="32"/>
        </w:rPr>
        <w:t>共设置一级指标3个，二级指标</w:t>
      </w:r>
      <w:r>
        <w:rPr>
          <w:rStyle w:val="21"/>
          <w:rFonts w:hint="eastAsia" w:ascii="仿宋_GB2312" w:hAnsi="仿宋"/>
          <w:b w:val="0"/>
          <w:spacing w:val="-4"/>
          <w:szCs w:val="32"/>
          <w:lang w:val="en-US" w:eastAsia="zh-CN"/>
        </w:rPr>
        <w:t>7</w:t>
      </w:r>
      <w:r>
        <w:rPr>
          <w:rStyle w:val="21"/>
          <w:rFonts w:hint="eastAsia" w:ascii="仿宋_GB2312" w:hAnsi="仿宋"/>
          <w:b w:val="0"/>
          <w:spacing w:val="-4"/>
          <w:szCs w:val="32"/>
        </w:rPr>
        <w:t>个，三级指标</w:t>
      </w:r>
      <w:r>
        <w:rPr>
          <w:rStyle w:val="21"/>
          <w:rFonts w:hint="eastAsia" w:ascii="仿宋_GB2312" w:hAnsi="仿宋"/>
          <w:b w:val="0"/>
          <w:spacing w:val="-4"/>
          <w:szCs w:val="32"/>
          <w:lang w:val="en-US" w:eastAsia="zh-CN"/>
        </w:rPr>
        <w:t>12</w:t>
      </w:r>
      <w:r>
        <w:rPr>
          <w:rStyle w:val="21"/>
          <w:rFonts w:hint="eastAsia" w:ascii="仿宋_GB2312" w:hAnsi="仿宋"/>
          <w:b w:val="0"/>
          <w:spacing w:val="-4"/>
          <w:szCs w:val="32"/>
        </w:rPr>
        <w:t>个，其中已完成三级指标</w:t>
      </w:r>
      <w:r>
        <w:rPr>
          <w:rStyle w:val="21"/>
          <w:rFonts w:hint="eastAsia" w:ascii="仿宋_GB2312" w:hAnsi="仿宋"/>
          <w:b w:val="0"/>
          <w:spacing w:val="-4"/>
          <w:szCs w:val="32"/>
          <w:lang w:val="en-US" w:eastAsia="zh-CN"/>
        </w:rPr>
        <w:t>12</w:t>
      </w:r>
      <w:r>
        <w:rPr>
          <w:rStyle w:val="21"/>
          <w:rFonts w:hint="eastAsia" w:ascii="仿宋_GB2312" w:hAnsi="仿宋"/>
          <w:b w:val="0"/>
          <w:spacing w:val="-4"/>
          <w:szCs w:val="32"/>
        </w:rPr>
        <w:t>个</w:t>
      </w:r>
      <w:r>
        <w:rPr>
          <w:rStyle w:val="21"/>
          <w:rFonts w:hint="eastAsia" w:ascii="仿宋_GB2312" w:hAnsi="仿宋"/>
          <w:b w:val="0"/>
          <w:spacing w:val="-4"/>
          <w:szCs w:val="32"/>
          <w:lang w:eastAsia="zh-CN"/>
        </w:rPr>
        <w:t>。</w:t>
      </w:r>
    </w:p>
    <w:p w14:paraId="64FDD985">
      <w:pPr>
        <w:pStyle w:val="31"/>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2A519674">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（一）绩效自评工作开展范围</w:t>
      </w:r>
    </w:p>
    <w:p w14:paraId="0F75EA2E">
      <w:pPr>
        <w:pStyle w:val="54"/>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14:paraId="391480DB">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（二）绩效自评工作对象</w:t>
      </w:r>
    </w:p>
    <w:p w14:paraId="1283909A">
      <w:pPr>
        <w:pStyle w:val="54"/>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color w:val="auto"/>
          <w:highlight w:val="none"/>
          <w:lang w:eastAsia="zh-CN"/>
        </w:rPr>
        <w:t>于田县英巴格乡红柳大芸提质增效项目</w:t>
      </w:r>
      <w:r>
        <w:rPr>
          <w:color w:val="auto"/>
          <w:highlight w:val="none"/>
        </w:rPr>
        <w:t>资金的使用管理、项目产出、综合效益等进行评价。</w:t>
      </w:r>
    </w:p>
    <w:p w14:paraId="484CD6B2">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（三）绩效自评工作方式</w:t>
      </w:r>
    </w:p>
    <w:p w14:paraId="74F61A27">
      <w:pPr>
        <w:pStyle w:val="35"/>
        <w:rPr>
          <w:color w:val="auto"/>
          <w:highlight w:val="none"/>
        </w:rPr>
      </w:pPr>
      <w:r>
        <w:rPr>
          <w:rFonts w:hint="eastAsia"/>
          <w:color w:val="auto"/>
          <w:highlight w:val="none"/>
        </w:rPr>
        <w:t>1.前期准备</w:t>
      </w:r>
    </w:p>
    <w:p w14:paraId="7A39CFA9">
      <w:pPr>
        <w:pStyle w:val="54"/>
        <w:spacing w:line="560" w:lineRule="exact"/>
        <w:ind w:left="3" w:right="0" w:rightChars="0" w:firstLine="560"/>
        <w:rPr>
          <w:color w:val="auto"/>
          <w:highlight w:val="none"/>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color w:val="auto"/>
          <w:highlight w:val="none"/>
        </w:rPr>
        <w:t>，认真学习相关要求与规定，成立绩效自评工作组，作为绩效自评工作具体实施机构。成员构成如下：</w:t>
      </w:r>
    </w:p>
    <w:p w14:paraId="5C78415D">
      <w:pPr>
        <w:pStyle w:val="54"/>
        <w:spacing w:line="560" w:lineRule="exact"/>
        <w:ind w:right="3"/>
        <w:rPr>
          <w:rFonts w:hint="eastAsia"/>
          <w:color w:val="auto"/>
          <w:highlight w:val="none"/>
        </w:rPr>
      </w:pPr>
      <w:r>
        <w:rPr>
          <w:rFonts w:hint="eastAsia"/>
          <w:color w:val="auto"/>
          <w:highlight w:val="none"/>
        </w:rPr>
        <w:t xml:space="preserve">组 </w:t>
      </w:r>
      <w:r>
        <w:rPr>
          <w:rFonts w:hint="eastAsia"/>
          <w:color w:val="auto"/>
          <w:highlight w:val="none"/>
          <w:lang w:val="en-US" w:eastAsia="zh-CN"/>
        </w:rPr>
        <w:t xml:space="preserve">  </w:t>
      </w:r>
      <w:r>
        <w:rPr>
          <w:rFonts w:hint="eastAsia"/>
          <w:color w:val="auto"/>
          <w:highlight w:val="none"/>
        </w:rPr>
        <w:t xml:space="preserve"> 长：</w:t>
      </w:r>
      <w:r>
        <w:rPr>
          <w:rFonts w:hint="eastAsia"/>
          <w:color w:val="auto"/>
          <w:highlight w:val="none"/>
          <w:lang w:val="en-US" w:eastAsia="zh-CN"/>
        </w:rPr>
        <w:t xml:space="preserve">贾存鹏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林业和草原局</w:t>
      </w:r>
      <w:r>
        <w:rPr>
          <w:rFonts w:hint="eastAsia"/>
          <w:color w:val="auto"/>
          <w:highlight w:val="none"/>
          <w:lang w:eastAsia="zh-CN"/>
        </w:rPr>
        <w:t>党组</w:t>
      </w:r>
      <w:r>
        <w:rPr>
          <w:rFonts w:hint="eastAsia"/>
          <w:color w:val="auto"/>
          <w:highlight w:val="none"/>
        </w:rPr>
        <w:t>书记、局长</w:t>
      </w:r>
    </w:p>
    <w:p w14:paraId="4A4ACC95">
      <w:pPr>
        <w:pStyle w:val="54"/>
        <w:spacing w:line="560" w:lineRule="exact"/>
        <w:ind w:right="3"/>
        <w:rPr>
          <w:rFonts w:hint="eastAsia"/>
          <w:color w:val="auto"/>
          <w:highlight w:val="none"/>
        </w:rPr>
      </w:pPr>
      <w:r>
        <w:rPr>
          <w:rFonts w:hint="eastAsia"/>
          <w:color w:val="auto"/>
          <w:highlight w:val="none"/>
        </w:rPr>
        <w:t xml:space="preserve">副组长：江东辉                  </w:t>
      </w:r>
      <w:r>
        <w:rPr>
          <w:rFonts w:hint="eastAsia"/>
          <w:color w:val="auto"/>
          <w:highlight w:val="none"/>
          <w:lang w:val="en-US" w:eastAsia="zh-CN"/>
        </w:rPr>
        <w:t xml:space="preserve">                                  </w:t>
      </w:r>
      <w:r>
        <w:rPr>
          <w:rFonts w:hint="eastAsia"/>
          <w:color w:val="auto"/>
          <w:highlight w:val="none"/>
        </w:rPr>
        <w:t>林业和草原局副局长</w:t>
      </w:r>
    </w:p>
    <w:p w14:paraId="43BD18C0">
      <w:pPr>
        <w:pStyle w:val="54"/>
        <w:spacing w:line="560" w:lineRule="exact"/>
        <w:ind w:right="3"/>
        <w:rPr>
          <w:rFonts w:hint="eastAsia"/>
          <w:color w:val="auto"/>
          <w:highlight w:val="none"/>
        </w:rPr>
      </w:pPr>
      <w:r>
        <w:rPr>
          <w:rFonts w:hint="eastAsia"/>
          <w:color w:val="auto"/>
          <w:highlight w:val="none"/>
        </w:rPr>
        <w:t>成</w:t>
      </w:r>
      <w:r>
        <w:rPr>
          <w:rFonts w:hint="eastAsia"/>
          <w:color w:val="auto"/>
          <w:highlight w:val="none"/>
          <w:lang w:val="en-US" w:eastAsia="zh-CN"/>
        </w:rPr>
        <w:t xml:space="preserve">  </w:t>
      </w:r>
      <w:r>
        <w:rPr>
          <w:rFonts w:hint="eastAsia"/>
          <w:color w:val="auto"/>
          <w:highlight w:val="none"/>
        </w:rPr>
        <w:t xml:space="preserve">  员：刘德刚                          </w:t>
      </w:r>
      <w:r>
        <w:rPr>
          <w:rFonts w:hint="eastAsia"/>
          <w:color w:val="auto"/>
          <w:highlight w:val="none"/>
          <w:lang w:val="en-US" w:eastAsia="zh-CN"/>
        </w:rPr>
        <w:t xml:space="preserve">                                         </w:t>
      </w:r>
      <w:r>
        <w:rPr>
          <w:rFonts w:hint="eastAsia"/>
          <w:color w:val="auto"/>
          <w:highlight w:val="none"/>
        </w:rPr>
        <w:t>办公室主任</w:t>
      </w:r>
    </w:p>
    <w:p w14:paraId="52166441">
      <w:pPr>
        <w:pStyle w:val="54"/>
        <w:spacing w:line="560" w:lineRule="exact"/>
        <w:ind w:right="3" w:firstLine="1400" w:firstLineChars="500"/>
        <w:rPr>
          <w:rFonts w:hint="eastAsia"/>
          <w:color w:val="auto"/>
          <w:highlight w:val="none"/>
        </w:rPr>
      </w:pPr>
      <w:r>
        <w:rPr>
          <w:rFonts w:hint="eastAsia"/>
          <w:color w:val="auto"/>
          <w:highlight w:val="none"/>
        </w:rPr>
        <w:t xml:space="preserve">古丽尼亚孜·阿布杜外力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财务室科员</w:t>
      </w:r>
    </w:p>
    <w:p w14:paraId="32DA5CC5">
      <w:pPr>
        <w:pStyle w:val="54"/>
        <w:spacing w:line="560" w:lineRule="exact"/>
        <w:ind w:right="3" w:firstLine="1400" w:firstLineChars="500"/>
        <w:rPr>
          <w:rFonts w:hint="eastAsia"/>
          <w:color w:val="auto"/>
          <w:highlight w:val="none"/>
        </w:rPr>
      </w:pPr>
      <w:r>
        <w:rPr>
          <w:rFonts w:hint="eastAsia"/>
          <w:color w:val="auto"/>
          <w:highlight w:val="none"/>
        </w:rPr>
        <w:t xml:space="preserve">买提库尔班·买吐肉孜   </w:t>
      </w:r>
      <w:r>
        <w:rPr>
          <w:rFonts w:hint="eastAsia"/>
          <w:color w:val="auto"/>
          <w:highlight w:val="none"/>
          <w:lang w:val="en-US" w:eastAsia="zh-CN"/>
        </w:rPr>
        <w:t xml:space="preserve">                        </w:t>
      </w:r>
      <w:r>
        <w:rPr>
          <w:rFonts w:hint="eastAsia"/>
          <w:color w:val="auto"/>
          <w:highlight w:val="none"/>
        </w:rPr>
        <w:t>于田县国有苗圃主任</w:t>
      </w:r>
    </w:p>
    <w:p w14:paraId="58DCE4E1">
      <w:pPr>
        <w:pStyle w:val="54"/>
        <w:spacing w:line="560" w:lineRule="exact"/>
        <w:ind w:left="0" w:leftChars="0" w:right="3" w:firstLine="1400" w:firstLineChars="500"/>
        <w:rPr>
          <w:color w:val="auto"/>
          <w:highlight w:val="none"/>
        </w:rPr>
      </w:pPr>
      <w:r>
        <w:rPr>
          <w:rFonts w:hint="eastAsia"/>
          <w:color w:val="auto"/>
          <w:highlight w:val="none"/>
        </w:rPr>
        <w:t xml:space="preserve">买买江.木沙             </w:t>
      </w:r>
      <w:r>
        <w:rPr>
          <w:rFonts w:hint="eastAsia"/>
          <w:color w:val="auto"/>
          <w:highlight w:val="none"/>
          <w:lang w:val="en-US" w:eastAsia="zh-CN"/>
        </w:rPr>
        <w:t xml:space="preserve">                                     </w:t>
      </w:r>
      <w:r>
        <w:rPr>
          <w:rFonts w:hint="eastAsia"/>
          <w:color w:val="auto"/>
          <w:highlight w:val="none"/>
        </w:rPr>
        <w:t xml:space="preserve"> 森防办公室负责人</w:t>
      </w:r>
    </w:p>
    <w:p w14:paraId="69B6B630">
      <w:pPr>
        <w:pStyle w:val="35"/>
        <w:rPr>
          <w:rFonts w:hint="eastAsia"/>
          <w:color w:val="auto"/>
          <w:highlight w:val="none"/>
        </w:rPr>
      </w:pPr>
      <w:r>
        <w:rPr>
          <w:rFonts w:hint="eastAsia"/>
          <w:color w:val="auto"/>
          <w:highlight w:val="none"/>
        </w:rPr>
        <w:t>领导小组下设办公室，办公室设在</w:t>
      </w:r>
      <w:r>
        <w:rPr>
          <w:rFonts w:hint="eastAsia"/>
          <w:color w:val="auto"/>
          <w:highlight w:val="none"/>
          <w:lang w:val="en-US" w:eastAsia="zh-CN"/>
        </w:rPr>
        <w:t>林草局项目</w:t>
      </w:r>
      <w:r>
        <w:rPr>
          <w:rFonts w:hint="eastAsia"/>
          <w:color w:val="auto"/>
          <w:highlight w:val="none"/>
        </w:rPr>
        <w:t>办公室，办公室主任由刘德刚兼任。办公室负责项目的计划制定、实施，督查、指导相关单位共同做好项目管理工作。</w:t>
      </w:r>
    </w:p>
    <w:p w14:paraId="57B8DD95">
      <w:pPr>
        <w:pStyle w:val="35"/>
        <w:rPr>
          <w:rFonts w:hint="eastAsia"/>
          <w:color w:val="auto"/>
          <w:highlight w:val="none"/>
        </w:rPr>
      </w:pPr>
      <w:r>
        <w:rPr>
          <w:rFonts w:hint="eastAsia"/>
          <w:color w:val="auto"/>
          <w:highlight w:val="none"/>
        </w:rPr>
        <w:t>林业和草原局高度重视该项目建设工作，切实把该项目作为生态健康建设的重要举措来抓，加强领导，明确分工，落实责任，密切配合，形成合力，推动该项目顺利实施。由于田县林</w:t>
      </w:r>
      <w:r>
        <w:rPr>
          <w:rFonts w:hint="eastAsia"/>
          <w:color w:val="auto"/>
          <w:highlight w:val="none"/>
          <w:lang w:val="en-US" w:eastAsia="zh-CN"/>
        </w:rPr>
        <w:t>草</w:t>
      </w:r>
      <w:r>
        <w:rPr>
          <w:rFonts w:hint="eastAsia"/>
          <w:color w:val="auto"/>
          <w:highlight w:val="none"/>
        </w:rPr>
        <w:t>局牵头，负责整个项目的统筹安排和经费使用管理工作，实现分级管理制度：</w:t>
      </w:r>
    </w:p>
    <w:p w14:paraId="45F474B7">
      <w:pPr>
        <w:pStyle w:val="35"/>
        <w:rPr>
          <w:color w:val="auto"/>
          <w:highlight w:val="none"/>
        </w:rPr>
      </w:pPr>
      <w:r>
        <w:rPr>
          <w:rFonts w:hint="eastAsia"/>
          <w:color w:val="auto"/>
          <w:highlight w:val="none"/>
        </w:rPr>
        <w:t>2.组织实施</w:t>
      </w:r>
    </w:p>
    <w:p w14:paraId="687CF2BD">
      <w:pPr>
        <w:pStyle w:val="54"/>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14:paraId="0219F975">
      <w:pPr>
        <w:pStyle w:val="35"/>
        <w:rPr>
          <w:color w:val="auto"/>
          <w:highlight w:val="none"/>
        </w:rPr>
      </w:pPr>
      <w:r>
        <w:rPr>
          <w:rFonts w:hint="eastAsia"/>
          <w:color w:val="auto"/>
          <w:highlight w:val="none"/>
        </w:rPr>
        <w:t>3.分析评价。</w:t>
      </w:r>
    </w:p>
    <w:p w14:paraId="42CEEB6A">
      <w:pPr>
        <w:pStyle w:val="54"/>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3035722B">
      <w:pPr>
        <w:pStyle w:val="54"/>
        <w:spacing w:line="560" w:lineRule="exact"/>
        <w:ind w:left="3" w:right="3" w:firstLine="560"/>
        <w:rPr>
          <w:color w:val="auto"/>
          <w:highlight w:val="none"/>
        </w:rPr>
      </w:pPr>
      <w:r>
        <w:rPr>
          <w:color w:val="auto"/>
          <w:highlight w:val="none"/>
        </w:rPr>
        <w:t>（1）绩效自评指标体系</w:t>
      </w:r>
    </w:p>
    <w:p w14:paraId="09941FBC">
      <w:pPr>
        <w:pStyle w:val="54"/>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18</w:t>
      </w:r>
      <w:r>
        <w:rPr>
          <w:color w:val="auto"/>
          <w:highlight w:val="none"/>
        </w:rPr>
        <w:t>分、质量指标</w:t>
      </w:r>
      <w:r>
        <w:rPr>
          <w:rFonts w:hint="eastAsia"/>
          <w:color w:val="auto"/>
          <w:highlight w:val="none"/>
          <w:lang w:val="en-US" w:eastAsia="zh-CN"/>
        </w:rPr>
        <w:t>5</w:t>
      </w:r>
      <w:r>
        <w:rPr>
          <w:color w:val="auto"/>
          <w:highlight w:val="none"/>
        </w:rPr>
        <w:t>分，时效指标</w:t>
      </w:r>
      <w:r>
        <w:rPr>
          <w:rFonts w:hint="eastAsia"/>
          <w:color w:val="auto"/>
          <w:highlight w:val="none"/>
          <w:lang w:val="en-US" w:eastAsia="zh-CN"/>
        </w:rPr>
        <w:t>15</w:t>
      </w:r>
      <w:r>
        <w:rPr>
          <w:color w:val="auto"/>
          <w:highlight w:val="none"/>
        </w:rPr>
        <w:t>分、成本指标</w:t>
      </w:r>
      <w:r>
        <w:rPr>
          <w:rFonts w:hint="eastAsia"/>
          <w:color w:val="auto"/>
          <w:highlight w:val="none"/>
          <w:lang w:val="en-US" w:eastAsia="zh-CN"/>
        </w:rPr>
        <w:t>12</w:t>
      </w:r>
      <w:r>
        <w:rPr>
          <w:color w:val="auto"/>
          <w:highlight w:val="none"/>
        </w:rPr>
        <w:t>分、社会效益指标</w:t>
      </w:r>
      <w:r>
        <w:rPr>
          <w:rFonts w:hint="eastAsia"/>
          <w:color w:val="auto"/>
          <w:highlight w:val="none"/>
          <w:lang w:val="en-US" w:eastAsia="zh-CN"/>
        </w:rPr>
        <w:t>15</w:t>
      </w:r>
      <w:r>
        <w:rPr>
          <w:color w:val="auto"/>
          <w:highlight w:val="none"/>
        </w:rPr>
        <w:t>分、可持续影响指标</w:t>
      </w:r>
      <w:r>
        <w:rPr>
          <w:rFonts w:hint="eastAsia"/>
          <w:color w:val="auto"/>
          <w:highlight w:val="none"/>
          <w:lang w:val="en-US" w:eastAsia="zh-CN"/>
        </w:rPr>
        <w:t>15</w:t>
      </w:r>
      <w:r>
        <w:rPr>
          <w:color w:val="auto"/>
          <w:highlight w:val="none"/>
        </w:rPr>
        <w:t>分、满意度指标10分、预算资金执行率10分，满分100分。</w:t>
      </w:r>
    </w:p>
    <w:p w14:paraId="1B194F49">
      <w:pPr>
        <w:pStyle w:val="54"/>
        <w:spacing w:line="560" w:lineRule="exact"/>
        <w:ind w:left="3" w:right="3" w:firstLine="560"/>
        <w:rPr>
          <w:color w:val="auto"/>
          <w:highlight w:val="none"/>
        </w:rPr>
      </w:pPr>
      <w:r>
        <w:rPr>
          <w:color w:val="auto"/>
          <w:highlight w:val="none"/>
        </w:rPr>
        <w:t>（2）绩效自评方法</w:t>
      </w:r>
    </w:p>
    <w:p w14:paraId="0B570EA4">
      <w:pPr>
        <w:pStyle w:val="54"/>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14:paraId="70F35797">
      <w:pPr>
        <w:pStyle w:val="54"/>
        <w:spacing w:line="560" w:lineRule="exact"/>
        <w:ind w:left="3" w:right="3" w:firstLine="560"/>
        <w:rPr>
          <w:color w:val="auto"/>
          <w:highlight w:val="none"/>
        </w:rPr>
      </w:pPr>
      <w:r>
        <w:rPr>
          <w:color w:val="auto"/>
          <w:highlight w:val="none"/>
        </w:rPr>
        <w:t>（3）绩效自评标准</w:t>
      </w:r>
    </w:p>
    <w:p w14:paraId="6D5997CC">
      <w:pPr>
        <w:pStyle w:val="54"/>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48398EAB">
      <w:pPr>
        <w:pStyle w:val="54"/>
        <w:spacing w:line="560" w:lineRule="exact"/>
        <w:ind w:left="3" w:right="3" w:firstLine="560"/>
        <w:rPr>
          <w:color w:val="auto"/>
          <w:highlight w:val="none"/>
        </w:rPr>
      </w:pPr>
      <w:r>
        <w:rPr>
          <w:color w:val="auto"/>
          <w:highlight w:val="none"/>
        </w:rPr>
        <w:t>（4）绩效自评等级</w:t>
      </w:r>
    </w:p>
    <w:p w14:paraId="4C567CA8">
      <w:pPr>
        <w:pStyle w:val="54"/>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14:paraId="3FE9C72F">
      <w:pPr>
        <w:pStyle w:val="31"/>
        <w:spacing w:before="120"/>
        <w:ind w:leftChars="0" w:right="3" w:firstLine="562" w:firstLineChars="200"/>
        <w:rPr>
          <w:color w:val="auto"/>
          <w:highlight w:val="none"/>
        </w:rPr>
      </w:pPr>
      <w:r>
        <w:rPr>
          <w:rFonts w:hint="eastAsia"/>
          <w:color w:val="auto"/>
          <w:highlight w:val="none"/>
        </w:rPr>
        <w:t>三、绩效目标自评完成情况分析</w:t>
      </w:r>
    </w:p>
    <w:p w14:paraId="323604CC">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（一）资金投入情况分析</w:t>
      </w:r>
    </w:p>
    <w:p w14:paraId="0753053A">
      <w:pPr>
        <w:pStyle w:val="35"/>
        <w:rPr>
          <w:color w:val="auto"/>
          <w:highlight w:val="none"/>
        </w:rPr>
      </w:pPr>
      <w:r>
        <w:rPr>
          <w:rFonts w:hint="eastAsia"/>
          <w:color w:val="auto"/>
          <w:highlight w:val="none"/>
        </w:rPr>
        <w:t>1.项目资金到位情况分析</w:t>
      </w:r>
    </w:p>
    <w:p w14:paraId="63477746">
      <w:pPr>
        <w:pStyle w:val="54"/>
        <w:spacing w:line="560" w:lineRule="exact"/>
        <w:ind w:left="0" w:leftChars="0" w:right="3" w:firstLine="560"/>
        <w:rPr>
          <w:color w:val="auto"/>
          <w:highlight w:val="none"/>
        </w:rPr>
      </w:pPr>
      <w:r>
        <w:rPr>
          <w:rFonts w:hint="eastAsia"/>
          <w:color w:val="auto"/>
          <w:highlight w:val="none"/>
          <w:lang w:eastAsia="zh-CN"/>
        </w:rPr>
        <w:t>于田县英巴格乡红柳大芸提质增效项目</w:t>
      </w:r>
      <w:r>
        <w:rPr>
          <w:rFonts w:hint="eastAsia"/>
          <w:color w:val="auto"/>
          <w:highlight w:val="none"/>
        </w:rPr>
        <w:t>预算安排总额为</w:t>
      </w:r>
      <w:r>
        <w:rPr>
          <w:rFonts w:hint="eastAsia"/>
          <w:color w:val="auto"/>
          <w:highlight w:val="none"/>
          <w:lang w:val="en-US" w:eastAsia="zh-CN"/>
        </w:rPr>
        <w:t>595万元</w:t>
      </w:r>
      <w:r>
        <w:rPr>
          <w:rFonts w:hint="eastAsia"/>
          <w:color w:val="auto"/>
          <w:highlight w:val="none"/>
        </w:rPr>
        <w:t>，其中：</w:t>
      </w:r>
      <w:r>
        <w:rPr>
          <w:rFonts w:hint="eastAsia"/>
          <w:color w:val="auto"/>
          <w:highlight w:val="none"/>
          <w:lang w:val="en-US" w:eastAsia="zh-CN"/>
        </w:rPr>
        <w:t>乡村振兴衔接资金595万元</w:t>
      </w:r>
      <w:r>
        <w:rPr>
          <w:rFonts w:hint="eastAsia"/>
          <w:color w:val="auto"/>
          <w:highlight w:val="none"/>
        </w:rPr>
        <w:t>。预算资金到位率为100.00%。</w:t>
      </w:r>
    </w:p>
    <w:p w14:paraId="53A8C061">
      <w:pPr>
        <w:pStyle w:val="54"/>
        <w:spacing w:line="560" w:lineRule="exact"/>
        <w:ind w:left="0" w:leftChars="0" w:right="3" w:firstLine="562"/>
        <w:rPr>
          <w:b/>
          <w:color w:val="auto"/>
          <w:highlight w:val="none"/>
        </w:rPr>
      </w:pPr>
      <w:r>
        <w:rPr>
          <w:rFonts w:hint="eastAsia"/>
          <w:b/>
          <w:color w:val="auto"/>
          <w:highlight w:val="none"/>
        </w:rPr>
        <w:t>2.项目资金执行情况分析</w:t>
      </w:r>
    </w:p>
    <w:p w14:paraId="4FFDC456">
      <w:pPr>
        <w:pStyle w:val="54"/>
        <w:spacing w:line="560" w:lineRule="exact"/>
        <w:ind w:left="0" w:leftChars="0" w:right="3" w:firstLine="560"/>
        <w:rPr>
          <w:rFonts w:hint="eastAsia"/>
          <w:color w:val="auto"/>
          <w:highlight w:val="none"/>
        </w:rPr>
      </w:pPr>
      <w:r>
        <w:rPr>
          <w:rFonts w:hint="eastAsia"/>
          <w:color w:val="auto"/>
          <w:highlight w:val="none"/>
          <w:lang w:eastAsia="zh-CN"/>
        </w:rPr>
        <w:t>于田县英巴格乡红柳大芸提质增效项目</w:t>
      </w:r>
      <w:r>
        <w:rPr>
          <w:rFonts w:hint="eastAsia"/>
          <w:color w:val="auto"/>
          <w:highlight w:val="none"/>
        </w:rPr>
        <w:t>预算投入资金</w:t>
      </w:r>
      <w:r>
        <w:rPr>
          <w:rFonts w:hint="eastAsia"/>
          <w:color w:val="auto"/>
          <w:highlight w:val="none"/>
          <w:lang w:val="en-US" w:eastAsia="zh-CN"/>
        </w:rPr>
        <w:t>595万元</w:t>
      </w:r>
      <w:r>
        <w:rPr>
          <w:rFonts w:hint="eastAsia"/>
          <w:color w:val="auto"/>
          <w:highlight w:val="none"/>
        </w:rPr>
        <w:t>，经财务决算，项目实际完成投资共</w:t>
      </w:r>
      <w:r>
        <w:rPr>
          <w:rFonts w:hint="eastAsia"/>
          <w:color w:val="auto"/>
          <w:highlight w:val="none"/>
          <w:lang w:val="en-US" w:eastAsia="zh-CN"/>
        </w:rPr>
        <w:t>570.50</w:t>
      </w:r>
      <w:r>
        <w:rPr>
          <w:rFonts w:hint="eastAsia"/>
          <w:color w:val="auto"/>
          <w:highlight w:val="none"/>
        </w:rPr>
        <w:t>万元，其中：建筑安装工程投资</w:t>
      </w:r>
      <w:r>
        <w:rPr>
          <w:rFonts w:hint="eastAsia"/>
          <w:color w:val="auto"/>
          <w:highlight w:val="none"/>
          <w:lang w:val="en-US" w:eastAsia="zh-CN"/>
        </w:rPr>
        <w:t>537.04</w:t>
      </w:r>
      <w:r>
        <w:rPr>
          <w:rFonts w:hint="eastAsia"/>
          <w:color w:val="auto"/>
          <w:highlight w:val="none"/>
        </w:rPr>
        <w:t>万元，</w:t>
      </w:r>
      <w:r>
        <w:rPr>
          <w:rFonts w:hint="eastAsia"/>
          <w:color w:val="auto"/>
          <w:highlight w:val="none"/>
          <w:lang w:val="en-US" w:eastAsia="zh-CN"/>
        </w:rPr>
        <w:t>建筑安装537.04</w:t>
      </w:r>
      <w:r>
        <w:rPr>
          <w:rFonts w:hint="eastAsia"/>
          <w:color w:val="auto"/>
          <w:highlight w:val="none"/>
        </w:rPr>
        <w:t>万元，待摊投资</w:t>
      </w:r>
      <w:r>
        <w:rPr>
          <w:rFonts w:hint="eastAsia"/>
          <w:color w:val="auto"/>
          <w:highlight w:val="none"/>
          <w:lang w:val="en-US" w:eastAsia="zh-CN"/>
        </w:rPr>
        <w:t>33.46</w:t>
      </w:r>
      <w:r>
        <w:rPr>
          <w:rFonts w:hint="eastAsia"/>
          <w:color w:val="auto"/>
          <w:highlight w:val="none"/>
        </w:rPr>
        <w:t>万元；实际工程</w:t>
      </w:r>
      <w:r>
        <w:rPr>
          <w:rFonts w:hint="eastAsia"/>
          <w:color w:val="auto"/>
          <w:highlight w:val="none"/>
          <w:lang w:val="en-US" w:eastAsia="zh-CN"/>
        </w:rPr>
        <w:t>节概</w:t>
      </w:r>
      <w:r>
        <w:rPr>
          <w:rFonts w:hint="eastAsia"/>
          <w:color w:val="auto"/>
          <w:highlight w:val="none"/>
        </w:rPr>
        <w:t>资金</w:t>
      </w:r>
      <w:r>
        <w:rPr>
          <w:rFonts w:hint="eastAsia"/>
          <w:color w:val="auto"/>
          <w:highlight w:val="none"/>
          <w:lang w:val="en-US" w:eastAsia="zh-CN"/>
        </w:rPr>
        <w:t>24.5</w:t>
      </w:r>
      <w:r>
        <w:rPr>
          <w:rFonts w:hint="eastAsia"/>
          <w:color w:val="auto"/>
          <w:highlight w:val="none"/>
        </w:rPr>
        <w:t>万元</w:t>
      </w:r>
      <w:r>
        <w:rPr>
          <w:rFonts w:hint="eastAsia"/>
          <w:color w:val="auto"/>
          <w:highlight w:val="none"/>
          <w:lang w:eastAsia="zh-CN"/>
        </w:rPr>
        <w:t>，</w:t>
      </w:r>
      <w:r>
        <w:rPr>
          <w:rFonts w:hint="eastAsia"/>
          <w:color w:val="auto"/>
          <w:highlight w:val="none"/>
          <w:lang w:val="en-US" w:eastAsia="zh-CN"/>
        </w:rPr>
        <w:t>退回财政</w:t>
      </w:r>
      <w:r>
        <w:rPr>
          <w:rFonts w:hint="eastAsia"/>
          <w:color w:val="auto"/>
          <w:highlight w:val="none"/>
        </w:rPr>
        <w:t>。截至</w:t>
      </w: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rPr>
        <w:t>12月31日，项目实际支出</w:t>
      </w:r>
      <w:r>
        <w:rPr>
          <w:rFonts w:hint="eastAsia"/>
          <w:color w:val="auto"/>
          <w:highlight w:val="none"/>
          <w:lang w:val="en-US" w:eastAsia="zh-CN"/>
        </w:rPr>
        <w:t>570.50</w:t>
      </w:r>
      <w:r>
        <w:rPr>
          <w:rFonts w:hint="eastAsia"/>
          <w:color w:val="auto"/>
          <w:highlight w:val="none"/>
        </w:rPr>
        <w:t>万元。预算资金执行率</w:t>
      </w:r>
      <w:r>
        <w:rPr>
          <w:rFonts w:hint="eastAsia"/>
          <w:color w:val="auto"/>
          <w:highlight w:val="none"/>
          <w:lang w:val="en-US" w:eastAsia="zh-CN"/>
        </w:rPr>
        <w:t>95.88</w:t>
      </w:r>
      <w:r>
        <w:rPr>
          <w:rFonts w:hint="eastAsia"/>
          <w:color w:val="auto"/>
          <w:highlight w:val="none"/>
        </w:rPr>
        <w:t>%。</w:t>
      </w:r>
    </w:p>
    <w:p w14:paraId="535A5C70">
      <w:pPr>
        <w:pStyle w:val="54"/>
        <w:spacing w:line="560" w:lineRule="exact"/>
        <w:ind w:right="3"/>
        <w:rPr>
          <w:color w:val="auto"/>
          <w:highlight w:val="none"/>
        </w:rPr>
      </w:pPr>
      <w:r>
        <w:rPr>
          <w:rFonts w:hint="eastAsia"/>
          <w:color w:val="auto"/>
          <w:highlight w:val="none"/>
          <w:lang w:val="en-US" w:eastAsia="zh-CN"/>
        </w:rPr>
        <w:t>3.</w:t>
      </w: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7507186">
      <w:pPr>
        <w:pStyle w:val="54"/>
        <w:spacing w:line="560" w:lineRule="exact"/>
        <w:ind w:leftChars="0" w:right="3" w:firstLine="562"/>
        <w:rPr>
          <w:b/>
          <w:color w:val="auto"/>
          <w:highlight w:val="none"/>
        </w:rPr>
      </w:pPr>
      <w:r>
        <w:rPr>
          <w:rFonts w:hint="eastAsia"/>
          <w:b/>
          <w:color w:val="auto"/>
          <w:highlight w:val="none"/>
        </w:rPr>
        <w:t>4.项目管理情况分析</w:t>
      </w:r>
    </w:p>
    <w:p w14:paraId="03745720">
      <w:pPr>
        <w:pStyle w:val="54"/>
        <w:spacing w:line="580" w:lineRule="exact"/>
        <w:ind w:left="0" w:leftChars="0" w:right="3" w:firstLine="560"/>
        <w:rPr>
          <w:color w:val="auto"/>
          <w:highlight w:val="none"/>
        </w:rPr>
      </w:pPr>
      <w:r>
        <w:rPr>
          <w:rFonts w:hint="eastAsia"/>
          <w:color w:val="auto"/>
          <w:highlight w:val="none"/>
        </w:rPr>
        <w:t>在项目实施中，</w:t>
      </w:r>
      <w:r>
        <w:rPr>
          <w:rFonts w:hint="eastAsia"/>
          <w:color w:val="auto"/>
          <w:highlight w:val="none"/>
          <w:lang w:eastAsia="zh-CN"/>
        </w:rPr>
        <w:t>于田县林业和草原局</w:t>
      </w:r>
      <w:r>
        <w:rPr>
          <w:rFonts w:hint="eastAsia"/>
          <w:color w:val="auto"/>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002BBA33">
      <w:pPr>
        <w:spacing w:line="58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（二）绩效目标完成情况分析</w:t>
      </w:r>
    </w:p>
    <w:p w14:paraId="1AE602C5">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本项目在</w:t>
      </w:r>
      <w:r>
        <w:rPr>
          <w:rFonts w:hint="eastAsia" w:ascii="仿宋_GB2312" w:hAnsi="Times New Roman" w:eastAsia="仿宋_GB2312" w:cs="Times New Roman"/>
          <w:color w:val="auto"/>
          <w:sz w:val="28"/>
          <w:szCs w:val="32"/>
          <w:highlight w:val="none"/>
          <w:lang w:val="zh-CN" w:eastAsia="zh-CN"/>
        </w:rPr>
        <w:t>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eastAsia="zh-CN"/>
        </w:rPr>
        <w:t>年</w:t>
      </w:r>
      <w:r>
        <w:rPr>
          <w:rFonts w:hint="eastAsia" w:ascii="仿宋_GB2312" w:hAnsi="Times New Roman" w:eastAsia="仿宋_GB2312" w:cs="Times New Roman"/>
          <w:color w:val="auto"/>
          <w:sz w:val="28"/>
          <w:szCs w:val="32"/>
          <w:highlight w:val="none"/>
          <w:lang w:val="zh-CN"/>
        </w:rPr>
        <w:t>截止</w:t>
      </w:r>
      <w:r>
        <w:rPr>
          <w:rFonts w:hint="eastAsia" w:ascii="仿宋_GB2312" w:hAnsi="Times New Roman" w:eastAsia="仿宋_GB2312" w:cs="Times New Roman"/>
          <w:color w:val="auto"/>
          <w:sz w:val="28"/>
          <w:szCs w:val="32"/>
          <w:highlight w:val="none"/>
          <w:lang w:val="en-US" w:eastAsia="zh-CN"/>
        </w:rPr>
        <w:t>12</w:t>
      </w:r>
      <w:r>
        <w:rPr>
          <w:rFonts w:hint="eastAsia" w:ascii="仿宋_GB2312" w:hAnsi="Times New Roman" w:eastAsia="仿宋_GB2312" w:cs="Times New Roman"/>
          <w:color w:val="auto"/>
          <w:sz w:val="28"/>
          <w:szCs w:val="32"/>
          <w:highlight w:val="none"/>
          <w:lang w:val="zh-CN"/>
        </w:rPr>
        <w:t>月底，建设10kV单回架空线路21.33千米，新建专变200kVA柱上变26台,含计量26套和综合配电箱26套。新建分段断路器3台。该工程已完成竣工验收，资产有</w:t>
      </w:r>
      <w:r>
        <w:rPr>
          <w:rFonts w:hint="eastAsia" w:ascii="仿宋_GB2312" w:hAnsi="Times New Roman" w:eastAsia="仿宋_GB2312" w:cs="Times New Roman"/>
          <w:color w:val="auto"/>
          <w:sz w:val="28"/>
          <w:szCs w:val="32"/>
          <w:highlight w:val="none"/>
          <w:lang w:val="zh-CN" w:eastAsia="zh-CN"/>
        </w:rPr>
        <w:t>于田县</w:t>
      </w:r>
      <w:r>
        <w:rPr>
          <w:rFonts w:hint="eastAsia" w:ascii="仿宋_GB2312" w:hAnsi="Times New Roman" w:eastAsia="仿宋_GB2312" w:cs="Times New Roman"/>
          <w:color w:val="auto"/>
          <w:sz w:val="28"/>
          <w:szCs w:val="32"/>
          <w:highlight w:val="none"/>
          <w:lang w:val="en-US" w:eastAsia="zh-CN"/>
        </w:rPr>
        <w:t>英巴格乡</w:t>
      </w:r>
      <w:r>
        <w:rPr>
          <w:rFonts w:hint="eastAsia" w:ascii="仿宋_GB2312" w:hAnsi="Times New Roman" w:eastAsia="仿宋_GB2312" w:cs="Times New Roman"/>
          <w:color w:val="auto"/>
          <w:sz w:val="28"/>
          <w:szCs w:val="32"/>
          <w:highlight w:val="none"/>
          <w:lang w:val="zh-CN"/>
        </w:rPr>
        <w:t>运行，维护</w:t>
      </w:r>
      <w:r>
        <w:rPr>
          <w:rFonts w:hint="eastAsia" w:ascii="仿宋_GB2312" w:hAnsi="Times New Roman" w:eastAsia="仿宋_GB2312" w:cs="Times New Roman"/>
          <w:color w:val="auto"/>
          <w:sz w:val="28"/>
          <w:szCs w:val="32"/>
          <w:highlight w:val="none"/>
          <w:lang w:val="zh-CN" w:eastAsia="zh-CN"/>
        </w:rPr>
        <w:t>，</w:t>
      </w:r>
      <w:r>
        <w:rPr>
          <w:rFonts w:hint="eastAsia" w:ascii="仿宋_GB2312" w:hAnsi="Times New Roman" w:eastAsia="仿宋_GB2312" w:cs="Times New Roman"/>
          <w:color w:val="auto"/>
          <w:sz w:val="28"/>
          <w:szCs w:val="32"/>
          <w:highlight w:val="none"/>
          <w:lang w:val="en-US" w:eastAsia="zh-CN"/>
        </w:rPr>
        <w:t>本项目</w:t>
      </w:r>
      <w:r>
        <w:rPr>
          <w:rFonts w:hint="eastAsia" w:ascii="仿宋_GB2312" w:hAnsi="Times New Roman" w:eastAsia="仿宋_GB2312" w:cs="Times New Roman"/>
          <w:color w:val="auto"/>
          <w:sz w:val="28"/>
          <w:szCs w:val="32"/>
          <w:highlight w:val="none"/>
          <w:lang w:val="zh-CN"/>
        </w:rPr>
        <w:t>是以城镇美、家园绿、建设绿色和谐乡</w:t>
      </w:r>
      <w:r>
        <w:rPr>
          <w:rFonts w:hint="eastAsia" w:ascii="仿宋_GB2312" w:hAnsi="Times New Roman" w:eastAsia="仿宋_GB2312" w:cs="Times New Roman"/>
          <w:color w:val="auto"/>
          <w:sz w:val="28"/>
          <w:szCs w:val="32"/>
          <w:highlight w:val="none"/>
          <w:lang w:val="en-US" w:eastAsia="zh-CN"/>
        </w:rPr>
        <w:t>村振兴</w:t>
      </w:r>
      <w:r>
        <w:rPr>
          <w:rFonts w:hint="eastAsia" w:ascii="仿宋_GB2312" w:hAnsi="Times New Roman" w:eastAsia="仿宋_GB2312" w:cs="Times New Roman"/>
          <w:color w:val="auto"/>
          <w:sz w:val="28"/>
          <w:szCs w:val="32"/>
          <w:highlight w:val="none"/>
          <w:lang w:val="zh-CN"/>
        </w:rPr>
        <w:t>为目标，通过项目实施，使周边乃至全县人民受益，促进当地经济可持续发展。</w:t>
      </w:r>
    </w:p>
    <w:p w14:paraId="3EFE597D">
      <w:pPr>
        <w:spacing w:line="560" w:lineRule="exact"/>
        <w:ind w:firstLine="560" w:firstLineChars="200"/>
        <w:rPr>
          <w:rFonts w:hint="eastAsia" w:ascii="仿宋_GB2312" w:hAnsi="Times New Roman" w:eastAsia="仿宋_GB2312" w:cs="Times New Roman"/>
          <w:color w:val="auto"/>
          <w:kern w:val="2"/>
          <w:sz w:val="28"/>
          <w:szCs w:val="32"/>
          <w:highlight w:val="none"/>
          <w:lang w:val="zh-CN" w:eastAsia="zh-CN" w:bidi="ar-SA"/>
        </w:rPr>
      </w:pPr>
      <w:r>
        <w:rPr>
          <w:rFonts w:hint="eastAsia" w:ascii="仿宋_GB2312" w:hAnsi="Times New Roman" w:eastAsia="仿宋_GB2312" w:cs="Times New Roman"/>
          <w:color w:val="auto"/>
          <w:sz w:val="28"/>
          <w:szCs w:val="32"/>
          <w:highlight w:val="none"/>
          <w:lang w:val="zh-CN" w:eastAsia="zh-CN"/>
        </w:rPr>
        <w:t>本项目共设置一级指标3个，二级指标</w:t>
      </w:r>
      <w:r>
        <w:rPr>
          <w:rFonts w:hint="eastAsia" w:ascii="仿宋_GB2312" w:hAnsi="Times New Roman" w:eastAsia="仿宋_GB2312" w:cs="Times New Roman"/>
          <w:color w:val="auto"/>
          <w:sz w:val="28"/>
          <w:szCs w:val="32"/>
          <w:highlight w:val="none"/>
          <w:lang w:val="en-US" w:eastAsia="zh-CN"/>
        </w:rPr>
        <w:t>7</w:t>
      </w:r>
      <w:r>
        <w:rPr>
          <w:rFonts w:hint="eastAsia" w:ascii="仿宋_GB2312" w:hAnsi="Times New Roman" w:eastAsia="仿宋_GB2312" w:cs="Times New Roman"/>
          <w:color w:val="auto"/>
          <w:sz w:val="28"/>
          <w:szCs w:val="32"/>
          <w:highlight w:val="none"/>
          <w:lang w:val="zh-CN" w:eastAsia="zh-CN"/>
        </w:rPr>
        <w:t>个，三级指标1</w:t>
      </w:r>
      <w:r>
        <w:rPr>
          <w:rFonts w:hint="eastAsia" w:ascii="仿宋_GB2312" w:hAnsi="Times New Roman" w:eastAsia="仿宋_GB2312" w:cs="Times New Roman"/>
          <w:color w:val="auto"/>
          <w:sz w:val="28"/>
          <w:szCs w:val="32"/>
          <w:highlight w:val="none"/>
          <w:lang w:val="en-US" w:eastAsia="zh-CN"/>
        </w:rPr>
        <w:t>2</w:t>
      </w:r>
      <w:r>
        <w:rPr>
          <w:rFonts w:hint="eastAsia" w:ascii="仿宋_GB2312" w:hAnsi="Times New Roman" w:eastAsia="仿宋_GB2312" w:cs="Times New Roman"/>
          <w:color w:val="auto"/>
          <w:sz w:val="28"/>
          <w:szCs w:val="32"/>
          <w:highlight w:val="none"/>
          <w:lang w:val="zh-CN" w:eastAsia="zh-CN"/>
        </w:rPr>
        <w:t>个，其中已完成三级指标</w:t>
      </w:r>
      <w:r>
        <w:rPr>
          <w:rFonts w:hint="eastAsia" w:ascii="仿宋_GB2312" w:hAnsi="Times New Roman" w:eastAsia="仿宋_GB2312" w:cs="Times New Roman"/>
          <w:color w:val="auto"/>
          <w:sz w:val="28"/>
          <w:szCs w:val="32"/>
          <w:highlight w:val="none"/>
          <w:lang w:val="en-US" w:eastAsia="zh-CN"/>
        </w:rPr>
        <w:t>9</w:t>
      </w:r>
      <w:r>
        <w:rPr>
          <w:rFonts w:hint="eastAsia" w:ascii="仿宋_GB2312" w:hAnsi="Times New Roman" w:eastAsia="仿宋_GB2312" w:cs="Times New Roman"/>
          <w:color w:val="auto"/>
          <w:sz w:val="28"/>
          <w:szCs w:val="32"/>
          <w:highlight w:val="none"/>
          <w:lang w:val="zh-CN" w:eastAsia="zh-CN"/>
        </w:rPr>
        <w:t>个，指标完成率为</w:t>
      </w:r>
      <w:r>
        <w:rPr>
          <w:rFonts w:hint="eastAsia" w:ascii="仿宋_GB2312" w:hAnsi="Times New Roman" w:eastAsia="仿宋_GB2312" w:cs="Times New Roman"/>
          <w:color w:val="auto"/>
          <w:sz w:val="28"/>
          <w:szCs w:val="32"/>
          <w:highlight w:val="none"/>
          <w:lang w:val="en-US" w:eastAsia="zh-CN"/>
        </w:rPr>
        <w:t>75</w:t>
      </w:r>
      <w:r>
        <w:rPr>
          <w:rFonts w:hint="eastAsia" w:ascii="仿宋_GB2312" w:hAnsi="Times New Roman" w:eastAsia="仿宋_GB2312" w:cs="Times New Roman"/>
          <w:color w:val="auto"/>
          <w:sz w:val="28"/>
          <w:szCs w:val="32"/>
          <w:highlight w:val="none"/>
          <w:lang w:val="zh-CN" w:eastAsia="zh-CN"/>
        </w:rPr>
        <w:t>%，指标完成情况分析如下：</w:t>
      </w:r>
    </w:p>
    <w:p w14:paraId="4FCE40EF">
      <w:pPr>
        <w:pStyle w:val="54"/>
        <w:spacing w:line="580" w:lineRule="exact"/>
        <w:ind w:left="0" w:leftChars="0" w:right="0" w:rightChars="0" w:firstLine="562"/>
        <w:rPr>
          <w:b/>
          <w:color w:val="auto"/>
          <w:highlight w:val="none"/>
        </w:rPr>
      </w:pPr>
      <w:r>
        <w:rPr>
          <w:rFonts w:hint="eastAsia"/>
          <w:b/>
          <w:color w:val="auto"/>
          <w:highlight w:val="none"/>
        </w:rPr>
        <w:t>1.产出指标完成情况分析</w:t>
      </w:r>
    </w:p>
    <w:p w14:paraId="556F981B">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rPr>
        <w:t>1.项目</w:t>
      </w:r>
      <w:r>
        <w:rPr>
          <w:rFonts w:hint="eastAsia"/>
          <w:color w:val="auto"/>
          <w:highlight w:val="none"/>
          <w:lang w:val="en-US" w:eastAsia="zh-CN"/>
        </w:rPr>
        <w:t>完成数量</w:t>
      </w:r>
    </w:p>
    <w:p w14:paraId="56352459">
      <w:pPr>
        <w:pStyle w:val="54"/>
        <w:spacing w:line="560" w:lineRule="exact"/>
        <w:ind w:left="0" w:leftChars="0" w:right="0" w:rightChars="0" w:firstLine="560"/>
        <w:rPr>
          <w:rFonts w:hint="eastAsia"/>
          <w:color w:val="auto"/>
          <w:highlight w:val="none"/>
        </w:rPr>
      </w:pPr>
      <w:r>
        <w:rPr>
          <w:rFonts w:hint="eastAsia"/>
          <w:color w:val="auto"/>
          <w:highlight w:val="none"/>
        </w:rPr>
        <w:t>“建设10kV单回架空线路长度”指标，预期指标值为</w:t>
      </w:r>
      <w:r>
        <w:rPr>
          <w:rFonts w:hint="eastAsia"/>
          <w:color w:val="auto"/>
          <w:highlight w:val="none"/>
          <w:lang w:eastAsia="zh-CN"/>
        </w:rPr>
        <w:t>大于等于</w:t>
      </w:r>
      <w:r>
        <w:rPr>
          <w:rFonts w:hint="eastAsia"/>
          <w:color w:val="auto"/>
          <w:highlight w:val="none"/>
          <w:lang w:val="en-US" w:eastAsia="zh-CN"/>
        </w:rPr>
        <w:t>21.33千米</w:t>
      </w:r>
      <w:r>
        <w:rPr>
          <w:rFonts w:hint="eastAsia"/>
          <w:color w:val="auto"/>
          <w:highlight w:val="none"/>
        </w:rPr>
        <w:t>,全年实际值为</w:t>
      </w:r>
      <w:r>
        <w:rPr>
          <w:rFonts w:hint="eastAsia"/>
          <w:color w:val="auto"/>
          <w:highlight w:val="none"/>
          <w:lang w:eastAsia="zh-CN"/>
        </w:rPr>
        <w:t>等于</w:t>
      </w:r>
      <w:r>
        <w:rPr>
          <w:rFonts w:hint="eastAsia"/>
          <w:color w:val="auto"/>
          <w:highlight w:val="none"/>
          <w:lang w:val="en-US" w:eastAsia="zh-CN"/>
        </w:rPr>
        <w:t>21.33千米</w:t>
      </w:r>
      <w:r>
        <w:rPr>
          <w:rFonts w:hint="eastAsia"/>
          <w:color w:val="auto"/>
          <w:highlight w:val="none"/>
        </w:rPr>
        <w:t>，指标完成率为100.00%;所设分值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14:paraId="425117B4">
      <w:pPr>
        <w:pStyle w:val="54"/>
        <w:spacing w:line="560" w:lineRule="exact"/>
        <w:ind w:left="0" w:leftChars="0" w:right="0" w:rightChars="0" w:firstLine="560"/>
        <w:rPr>
          <w:rFonts w:hint="eastAsia"/>
          <w:color w:val="auto"/>
          <w:highlight w:val="none"/>
        </w:rPr>
      </w:pPr>
      <w:r>
        <w:rPr>
          <w:rFonts w:hint="eastAsia"/>
          <w:color w:val="auto"/>
          <w:highlight w:val="none"/>
        </w:rPr>
        <w:t>“新建专变200kVA柱上变数量”指标，预期指标值为</w:t>
      </w:r>
      <w:r>
        <w:rPr>
          <w:rFonts w:hint="eastAsia"/>
          <w:color w:val="auto"/>
          <w:highlight w:val="none"/>
          <w:lang w:val="en-US" w:eastAsia="zh-CN"/>
        </w:rPr>
        <w:t>大于</w:t>
      </w:r>
      <w:r>
        <w:rPr>
          <w:rFonts w:hint="eastAsia"/>
          <w:color w:val="auto"/>
          <w:highlight w:val="none"/>
          <w:lang w:eastAsia="zh-CN"/>
        </w:rPr>
        <w:t>等于</w:t>
      </w:r>
      <w:r>
        <w:rPr>
          <w:rFonts w:hint="eastAsia"/>
          <w:color w:val="auto"/>
          <w:highlight w:val="none"/>
          <w:lang w:val="en-US" w:eastAsia="zh-CN"/>
        </w:rPr>
        <w:t>26台</w:t>
      </w:r>
      <w:r>
        <w:rPr>
          <w:rFonts w:hint="eastAsia"/>
          <w:color w:val="auto"/>
          <w:highlight w:val="none"/>
        </w:rPr>
        <w:t>,全年实际值</w:t>
      </w:r>
      <w:r>
        <w:rPr>
          <w:rFonts w:hint="eastAsia"/>
          <w:color w:val="auto"/>
          <w:highlight w:val="none"/>
          <w:lang w:val="en-US" w:eastAsia="zh-CN"/>
        </w:rPr>
        <w:t>为</w:t>
      </w:r>
      <w:r>
        <w:rPr>
          <w:rFonts w:hint="eastAsia"/>
          <w:color w:val="auto"/>
          <w:highlight w:val="none"/>
          <w:lang w:eastAsia="zh-CN"/>
        </w:rPr>
        <w:t>等于</w:t>
      </w:r>
      <w:r>
        <w:rPr>
          <w:rFonts w:hint="eastAsia"/>
          <w:color w:val="auto"/>
          <w:highlight w:val="none"/>
          <w:lang w:val="en-US" w:eastAsia="zh-CN"/>
        </w:rPr>
        <w:t>26台</w:t>
      </w:r>
      <w:r>
        <w:rPr>
          <w:rFonts w:hint="eastAsia"/>
          <w:color w:val="auto"/>
          <w:highlight w:val="none"/>
        </w:rPr>
        <w:t>，指标完成率为100.00%;所设分值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14:paraId="6E886910">
      <w:pPr>
        <w:pStyle w:val="54"/>
        <w:spacing w:line="560" w:lineRule="exact"/>
        <w:ind w:left="0" w:leftChars="0" w:right="0" w:rightChars="0" w:firstLine="560"/>
        <w:rPr>
          <w:rFonts w:hint="eastAsia"/>
          <w:color w:val="auto"/>
          <w:highlight w:val="none"/>
        </w:rPr>
      </w:pPr>
      <w:r>
        <w:rPr>
          <w:rFonts w:hint="eastAsia"/>
          <w:color w:val="auto"/>
          <w:highlight w:val="none"/>
        </w:rPr>
        <w:t>“新建分段断路器数量”指标，预期指标值为</w:t>
      </w:r>
      <w:r>
        <w:rPr>
          <w:rFonts w:hint="eastAsia"/>
          <w:color w:val="auto"/>
          <w:highlight w:val="none"/>
          <w:lang w:eastAsia="zh-CN"/>
        </w:rPr>
        <w:t>等于</w:t>
      </w:r>
      <w:r>
        <w:rPr>
          <w:rFonts w:hint="eastAsia"/>
          <w:color w:val="auto"/>
          <w:highlight w:val="none"/>
          <w:lang w:val="en-US" w:eastAsia="zh-CN"/>
        </w:rPr>
        <w:t>3台</w:t>
      </w:r>
      <w:r>
        <w:rPr>
          <w:rFonts w:hint="eastAsia"/>
          <w:color w:val="auto"/>
          <w:highlight w:val="none"/>
        </w:rPr>
        <w:t>,全年实际值为</w:t>
      </w:r>
      <w:r>
        <w:rPr>
          <w:rFonts w:hint="eastAsia"/>
          <w:color w:val="auto"/>
          <w:highlight w:val="none"/>
          <w:lang w:eastAsia="zh-CN"/>
        </w:rPr>
        <w:t>等于</w:t>
      </w:r>
      <w:r>
        <w:rPr>
          <w:rFonts w:hint="eastAsia"/>
          <w:color w:val="auto"/>
          <w:highlight w:val="none"/>
          <w:lang w:val="en-US" w:eastAsia="zh-CN"/>
        </w:rPr>
        <w:t>3台</w:t>
      </w:r>
      <w:r>
        <w:rPr>
          <w:rFonts w:hint="eastAsia"/>
          <w:color w:val="auto"/>
          <w:highlight w:val="none"/>
        </w:rPr>
        <w:t>，指标完成率为100.00%;所设分值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14:paraId="4B6379DE">
      <w:pPr>
        <w:pStyle w:val="54"/>
        <w:spacing w:line="560" w:lineRule="exact"/>
        <w:ind w:left="0" w:leftChars="0" w:right="0" w:rightChars="0" w:firstLine="560"/>
        <w:rPr>
          <w:rFonts w:hint="eastAsia"/>
          <w:color w:val="auto"/>
          <w:highlight w:val="none"/>
        </w:rPr>
      </w:pPr>
      <w:r>
        <w:rPr>
          <w:rFonts w:hint="eastAsia"/>
          <w:color w:val="auto"/>
          <w:highlight w:val="none"/>
          <w:lang w:val="en-US" w:eastAsia="zh-CN"/>
        </w:rPr>
        <w:t>2.</w:t>
      </w:r>
      <w:r>
        <w:rPr>
          <w:rFonts w:hint="eastAsia"/>
          <w:color w:val="auto"/>
          <w:highlight w:val="none"/>
        </w:rPr>
        <w:t>项目完成质量。</w:t>
      </w:r>
    </w:p>
    <w:p w14:paraId="1F69F01D">
      <w:pPr>
        <w:pStyle w:val="54"/>
        <w:spacing w:line="560" w:lineRule="exact"/>
        <w:ind w:left="0" w:leftChars="0" w:right="0" w:rightChars="0" w:firstLine="560"/>
        <w:rPr>
          <w:rFonts w:hint="eastAsia"/>
          <w:color w:val="auto"/>
          <w:highlight w:val="none"/>
        </w:rPr>
      </w:pPr>
      <w:r>
        <w:rPr>
          <w:rFonts w:hint="eastAsia"/>
          <w:color w:val="auto"/>
          <w:highlight w:val="none"/>
        </w:rPr>
        <w:t>“工程验收合格率”指标，预期指标值为100.00%,全年实际值为100.00%，指标完成率为100.00%。所设分值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57E2B031">
      <w:pPr>
        <w:pStyle w:val="54"/>
        <w:spacing w:line="560" w:lineRule="exact"/>
        <w:ind w:left="0" w:leftChars="0" w:right="0" w:rightChars="0" w:firstLine="560"/>
        <w:rPr>
          <w:rFonts w:hint="eastAsia"/>
          <w:color w:val="auto"/>
          <w:highlight w:val="none"/>
        </w:rPr>
      </w:pPr>
      <w:r>
        <w:rPr>
          <w:rFonts w:hint="eastAsia"/>
          <w:color w:val="auto"/>
          <w:highlight w:val="none"/>
          <w:lang w:val="en-US" w:eastAsia="zh-CN"/>
        </w:rPr>
        <w:t>3.</w:t>
      </w:r>
      <w:r>
        <w:rPr>
          <w:rFonts w:hint="eastAsia"/>
          <w:color w:val="auto"/>
          <w:highlight w:val="none"/>
        </w:rPr>
        <w:t>项目完成时效。</w:t>
      </w:r>
    </w:p>
    <w:p w14:paraId="031DF002">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资金及时支付率</w:t>
      </w:r>
      <w:r>
        <w:rPr>
          <w:rFonts w:hint="eastAsia"/>
          <w:color w:val="auto"/>
          <w:highlight w:val="none"/>
        </w:rPr>
        <w:t>”指标，预期指标值为</w:t>
      </w:r>
      <w:r>
        <w:rPr>
          <w:rFonts w:hint="eastAsia"/>
          <w:color w:val="auto"/>
          <w:highlight w:val="none"/>
          <w:lang w:val="en-US" w:eastAsia="zh-CN"/>
        </w:rPr>
        <w:t>100%</w:t>
      </w:r>
      <w:r>
        <w:rPr>
          <w:rFonts w:hint="eastAsia"/>
          <w:color w:val="auto"/>
          <w:highlight w:val="none"/>
        </w:rPr>
        <w:t>,实际值为</w:t>
      </w:r>
      <w:r>
        <w:rPr>
          <w:rFonts w:hint="eastAsia"/>
          <w:color w:val="auto"/>
          <w:highlight w:val="none"/>
          <w:lang w:val="en-US" w:eastAsia="zh-CN"/>
        </w:rPr>
        <w:t>100%</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0F670B1B">
      <w:pPr>
        <w:pStyle w:val="54"/>
        <w:spacing w:line="560" w:lineRule="exact"/>
        <w:ind w:left="0" w:leftChars="0" w:right="0" w:rightChars="0" w:firstLine="560"/>
        <w:rPr>
          <w:rFonts w:hint="eastAsia"/>
          <w:color w:val="auto"/>
          <w:highlight w:val="none"/>
        </w:rPr>
      </w:pPr>
      <w:r>
        <w:rPr>
          <w:rFonts w:hint="eastAsia"/>
          <w:color w:val="auto"/>
          <w:highlight w:val="none"/>
        </w:rPr>
        <w:t>“工程开工时间”指标，预期指标值为202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3</w:t>
      </w:r>
      <w:r>
        <w:rPr>
          <w:rFonts w:hint="eastAsia"/>
          <w:color w:val="auto"/>
          <w:highlight w:val="none"/>
        </w:rPr>
        <w:t>月,实际值为202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4</w:t>
      </w:r>
      <w:r>
        <w:rPr>
          <w:rFonts w:hint="eastAsia"/>
          <w:color w:val="auto"/>
          <w:highlight w:val="none"/>
        </w:rPr>
        <w:t>月，指标完成率为</w:t>
      </w:r>
      <w:r>
        <w:rPr>
          <w:rFonts w:hint="eastAsia"/>
          <w:color w:val="auto"/>
          <w:highlight w:val="none"/>
          <w:lang w:val="en-US" w:eastAsia="zh-CN"/>
        </w:rPr>
        <w:t>99</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4.95</w:t>
      </w:r>
      <w:r>
        <w:rPr>
          <w:rFonts w:hint="eastAsia"/>
          <w:color w:val="auto"/>
          <w:highlight w:val="none"/>
        </w:rPr>
        <w:t>分。</w:t>
      </w:r>
    </w:p>
    <w:p w14:paraId="135E54AB">
      <w:pPr>
        <w:pStyle w:val="54"/>
        <w:spacing w:line="560" w:lineRule="exact"/>
        <w:ind w:left="0" w:leftChars="0" w:right="0" w:rightChars="0" w:firstLine="560"/>
        <w:rPr>
          <w:rFonts w:hint="eastAsia"/>
          <w:color w:val="auto"/>
          <w:highlight w:val="none"/>
        </w:rPr>
      </w:pPr>
      <w:r>
        <w:rPr>
          <w:rFonts w:hint="eastAsia"/>
          <w:color w:val="auto"/>
          <w:highlight w:val="none"/>
        </w:rPr>
        <w:t>偏差原因：招投标时间较晚，项目实际开工时间为2024年4月。</w:t>
      </w:r>
    </w:p>
    <w:p w14:paraId="6C961859">
      <w:pPr>
        <w:pStyle w:val="54"/>
        <w:spacing w:line="560" w:lineRule="exact"/>
        <w:ind w:left="0" w:leftChars="0" w:right="0" w:rightChars="0" w:firstLine="560"/>
        <w:rPr>
          <w:rFonts w:hint="eastAsia"/>
          <w:color w:val="auto"/>
          <w:highlight w:val="none"/>
        </w:rPr>
      </w:pPr>
      <w:r>
        <w:rPr>
          <w:rFonts w:hint="eastAsia"/>
          <w:color w:val="auto"/>
          <w:highlight w:val="none"/>
        </w:rPr>
        <w:t>改进措施：加强项目管理。</w:t>
      </w:r>
    </w:p>
    <w:p w14:paraId="02D6994F">
      <w:pPr>
        <w:pStyle w:val="54"/>
        <w:spacing w:line="560" w:lineRule="exact"/>
        <w:ind w:left="0" w:leftChars="0" w:right="0" w:rightChars="0" w:firstLine="560"/>
        <w:rPr>
          <w:rFonts w:hint="eastAsia"/>
          <w:color w:val="auto"/>
          <w:highlight w:val="none"/>
        </w:rPr>
      </w:pPr>
      <w:r>
        <w:rPr>
          <w:rFonts w:hint="eastAsia"/>
          <w:color w:val="auto"/>
          <w:highlight w:val="none"/>
        </w:rPr>
        <w:t>“工程完工时间”指标，预期指标值为202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5</w:t>
      </w:r>
      <w:r>
        <w:rPr>
          <w:rFonts w:hint="eastAsia"/>
          <w:color w:val="auto"/>
          <w:highlight w:val="none"/>
        </w:rPr>
        <w:t>月,实际值为202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5</w:t>
      </w:r>
      <w:r>
        <w:rPr>
          <w:rFonts w:hint="eastAsia"/>
          <w:color w:val="auto"/>
          <w:highlight w:val="none"/>
        </w:rPr>
        <w:t>月，指标完成率为100.00%。所设分值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5A5E58DE">
      <w:pPr>
        <w:pStyle w:val="54"/>
        <w:spacing w:line="560" w:lineRule="exact"/>
        <w:ind w:left="0" w:leftChars="0" w:right="0" w:rightChars="0" w:firstLine="560"/>
        <w:rPr>
          <w:rFonts w:hint="eastAsia"/>
          <w:color w:val="auto"/>
          <w:highlight w:val="none"/>
        </w:rPr>
      </w:pPr>
      <w:r>
        <w:rPr>
          <w:rFonts w:hint="eastAsia"/>
          <w:color w:val="auto"/>
          <w:highlight w:val="none"/>
        </w:rPr>
        <w:t>4.项目成本节约情况。</w:t>
      </w:r>
    </w:p>
    <w:p w14:paraId="39A2AD8F">
      <w:pPr>
        <w:pStyle w:val="54"/>
        <w:spacing w:line="560" w:lineRule="exact"/>
        <w:ind w:left="0" w:leftChars="0" w:right="0" w:rightChars="0" w:firstLine="560"/>
        <w:rPr>
          <w:rFonts w:hint="eastAsia"/>
          <w:color w:val="auto"/>
          <w:highlight w:val="none"/>
        </w:rPr>
      </w:pPr>
      <w:r>
        <w:rPr>
          <w:rFonts w:hint="eastAsia"/>
          <w:color w:val="auto"/>
          <w:highlight w:val="none"/>
        </w:rPr>
        <w:t>为有效控制项目实施成本，我单位在实施项目前就该项目设定了成本控制指标，实施过程中我单位通过公开招标的方式有效降低了项目执行成本，具体指标设置及完成情况如下：</w:t>
      </w:r>
    </w:p>
    <w:p w14:paraId="22494FC8">
      <w:pPr>
        <w:pStyle w:val="54"/>
        <w:spacing w:line="560" w:lineRule="exact"/>
        <w:ind w:left="0" w:leftChars="0" w:right="0" w:rightChars="0" w:firstLine="560"/>
        <w:rPr>
          <w:rFonts w:hint="eastAsia"/>
          <w:color w:val="auto"/>
          <w:highlight w:val="none"/>
        </w:rPr>
      </w:pPr>
      <w:r>
        <w:rPr>
          <w:rFonts w:hint="eastAsia"/>
          <w:color w:val="auto"/>
          <w:highlight w:val="none"/>
        </w:rPr>
        <w:t>“建筑工程成本”指标，预期指标值为</w:t>
      </w:r>
      <w:r>
        <w:rPr>
          <w:rFonts w:hint="eastAsia"/>
          <w:color w:val="auto"/>
          <w:highlight w:val="none"/>
          <w:lang w:eastAsia="zh-CN"/>
        </w:rPr>
        <w:t>小于等于</w:t>
      </w:r>
      <w:r>
        <w:rPr>
          <w:rFonts w:hint="eastAsia"/>
          <w:color w:val="auto"/>
          <w:highlight w:val="none"/>
          <w:lang w:val="en-US" w:eastAsia="zh-CN"/>
        </w:rPr>
        <w:t>558.1</w:t>
      </w:r>
      <w:r>
        <w:rPr>
          <w:rFonts w:hint="eastAsia"/>
          <w:color w:val="auto"/>
          <w:highlight w:val="none"/>
        </w:rPr>
        <w:t>万元, 全年实际值为</w:t>
      </w:r>
      <w:r>
        <w:rPr>
          <w:rFonts w:hint="eastAsia"/>
          <w:color w:val="auto"/>
          <w:highlight w:val="none"/>
          <w:lang w:val="en-US" w:eastAsia="zh-CN"/>
        </w:rPr>
        <w:t>537.04</w:t>
      </w:r>
      <w:r>
        <w:rPr>
          <w:rFonts w:hint="eastAsia"/>
          <w:color w:val="auto"/>
          <w:highlight w:val="none"/>
        </w:rPr>
        <w:t>万元，指标完成率为</w:t>
      </w:r>
      <w:r>
        <w:rPr>
          <w:rFonts w:hint="eastAsia"/>
          <w:color w:val="auto"/>
          <w:highlight w:val="none"/>
          <w:lang w:val="en-US" w:eastAsia="zh-CN"/>
        </w:rPr>
        <w:t>96.23%</w:t>
      </w:r>
      <w:r>
        <w:rPr>
          <w:rFonts w:hint="eastAsia"/>
          <w:color w:val="auto"/>
          <w:highlight w:val="none"/>
        </w:rPr>
        <w:t>；所设分值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5.77</w:t>
      </w:r>
      <w:r>
        <w:rPr>
          <w:rFonts w:hint="eastAsia"/>
          <w:color w:val="auto"/>
          <w:highlight w:val="none"/>
        </w:rPr>
        <w:t>分。</w:t>
      </w:r>
    </w:p>
    <w:p w14:paraId="1933D677">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偏离原因：项目已按时完工、验收，相关评估决算已完成，工程节约资金共21.06万元已申请退回。</w:t>
      </w:r>
    </w:p>
    <w:p w14:paraId="16A87A6D">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改进措施：按照乡村振兴衔接资金项目管理办法，加强对项目进度实时监督。持续发挥资产扶持效益，促进当地经济可持续发展。</w:t>
      </w:r>
    </w:p>
    <w:p w14:paraId="5DD3471B">
      <w:pPr>
        <w:pStyle w:val="54"/>
        <w:spacing w:line="560" w:lineRule="exact"/>
        <w:ind w:left="0" w:leftChars="0" w:right="0" w:rightChars="0" w:firstLine="560"/>
        <w:rPr>
          <w:rFonts w:hint="eastAsia"/>
          <w:color w:val="auto"/>
          <w:highlight w:val="none"/>
        </w:rPr>
      </w:pPr>
      <w:r>
        <w:rPr>
          <w:rFonts w:hint="eastAsia"/>
          <w:color w:val="auto"/>
          <w:highlight w:val="none"/>
        </w:rPr>
        <w:t>“其他成本”指标，预期指标值为</w:t>
      </w:r>
      <w:r>
        <w:rPr>
          <w:rFonts w:hint="eastAsia"/>
          <w:color w:val="auto"/>
          <w:highlight w:val="none"/>
          <w:lang w:eastAsia="zh-CN"/>
        </w:rPr>
        <w:t>小于等于</w:t>
      </w:r>
      <w:r>
        <w:rPr>
          <w:rFonts w:hint="eastAsia"/>
          <w:color w:val="auto"/>
          <w:highlight w:val="none"/>
          <w:lang w:val="en-US" w:eastAsia="zh-CN"/>
        </w:rPr>
        <w:t>36.9</w:t>
      </w:r>
      <w:r>
        <w:rPr>
          <w:rFonts w:hint="eastAsia"/>
          <w:color w:val="auto"/>
          <w:highlight w:val="none"/>
        </w:rPr>
        <w:t>万元, 全年实际值为</w:t>
      </w:r>
      <w:r>
        <w:rPr>
          <w:rFonts w:hint="eastAsia"/>
          <w:color w:val="auto"/>
          <w:highlight w:val="none"/>
          <w:lang w:eastAsia="zh-CN"/>
        </w:rPr>
        <w:t>小于等于</w:t>
      </w:r>
      <w:r>
        <w:rPr>
          <w:rFonts w:hint="eastAsia"/>
          <w:color w:val="auto"/>
          <w:highlight w:val="none"/>
          <w:lang w:val="en-US" w:eastAsia="zh-CN"/>
        </w:rPr>
        <w:t>33.46</w:t>
      </w:r>
      <w:r>
        <w:rPr>
          <w:rFonts w:hint="eastAsia"/>
          <w:color w:val="auto"/>
          <w:highlight w:val="none"/>
        </w:rPr>
        <w:t>万元，指标完成率为</w:t>
      </w:r>
      <w:r>
        <w:rPr>
          <w:rFonts w:hint="eastAsia"/>
          <w:color w:val="auto"/>
          <w:highlight w:val="none"/>
          <w:lang w:val="en-US" w:eastAsia="zh-CN"/>
        </w:rPr>
        <w:t>90.67%</w:t>
      </w:r>
      <w:r>
        <w:rPr>
          <w:rFonts w:hint="eastAsia"/>
          <w:color w:val="auto"/>
          <w:highlight w:val="none"/>
        </w:rPr>
        <w:t>；所设分值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5.44</w:t>
      </w:r>
      <w:r>
        <w:rPr>
          <w:rFonts w:hint="eastAsia"/>
          <w:color w:val="auto"/>
          <w:highlight w:val="none"/>
        </w:rPr>
        <w:t>分。</w:t>
      </w:r>
    </w:p>
    <w:p w14:paraId="4F6845DF">
      <w:pPr>
        <w:pStyle w:val="31"/>
        <w:numPr>
          <w:ilvl w:val="0"/>
          <w:numId w:val="0"/>
        </w:numPr>
        <w:spacing w:before="120"/>
        <w:ind w:right="3" w:rightChars="1"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偏离原因：项目已按时完工、验收，相关评估决算已完成，其他成本节约资金共3.44万元已申请退回。</w:t>
      </w:r>
    </w:p>
    <w:p w14:paraId="1689CEC6">
      <w:pPr>
        <w:pStyle w:val="31"/>
        <w:numPr>
          <w:ilvl w:val="0"/>
          <w:numId w:val="0"/>
        </w:numPr>
        <w:spacing w:before="120"/>
        <w:ind w:right="3" w:rightChars="1"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改进措施：按照乡村振兴衔接资金项目管理办法，加强对项目进度实时监督。持续发挥资产扶持效益，促进当地经济可持续发展。</w:t>
      </w:r>
    </w:p>
    <w:p w14:paraId="0074FF9D">
      <w:pPr>
        <w:pStyle w:val="35"/>
        <w:rPr>
          <w:b/>
          <w:bCs w:val="0"/>
          <w:color w:val="auto"/>
          <w:highlight w:val="none"/>
        </w:rPr>
      </w:pPr>
      <w:r>
        <w:rPr>
          <w:rFonts w:hint="eastAsia"/>
          <w:b/>
          <w:bCs w:val="0"/>
          <w:color w:val="auto"/>
          <w:highlight w:val="none"/>
        </w:rPr>
        <w:t>2.效益指标完成情况分析</w:t>
      </w:r>
    </w:p>
    <w:p w14:paraId="6C43BDC3">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2.1 项目实施的社会效益分析</w:t>
      </w:r>
    </w:p>
    <w:p w14:paraId="52D0C04F">
      <w:pPr>
        <w:pStyle w:val="54"/>
        <w:spacing w:line="560" w:lineRule="exact"/>
        <w:ind w:left="0" w:leftChars="0" w:right="0" w:rightChars="0" w:firstLine="560"/>
        <w:rPr>
          <w:rFonts w:hint="default"/>
          <w:color w:val="auto"/>
          <w:highlight w:val="none"/>
          <w:lang w:val="en-US" w:eastAsia="zh-CN"/>
        </w:rPr>
      </w:pPr>
      <w:r>
        <w:rPr>
          <w:rFonts w:hint="default"/>
          <w:color w:val="auto"/>
          <w:highlight w:val="none"/>
          <w:lang w:val="en-US" w:eastAsia="zh-CN"/>
        </w:rPr>
        <w:t>“</w:t>
      </w:r>
      <w:r>
        <w:rPr>
          <w:rFonts w:hint="eastAsia"/>
          <w:color w:val="auto"/>
          <w:highlight w:val="none"/>
          <w:lang w:val="en-US" w:eastAsia="zh-CN"/>
        </w:rPr>
        <w:t>提高项目区基础设施标准</w:t>
      </w:r>
      <w:r>
        <w:rPr>
          <w:rFonts w:hint="default"/>
          <w:color w:val="auto"/>
          <w:highlight w:val="none"/>
          <w:lang w:val="en-US" w:eastAsia="zh-CN"/>
        </w:rPr>
        <w:t>”指标，指标预期值为</w:t>
      </w:r>
      <w:r>
        <w:rPr>
          <w:rFonts w:hint="eastAsia"/>
          <w:color w:val="auto"/>
          <w:highlight w:val="none"/>
          <w:lang w:val="en-US" w:eastAsia="zh-CN"/>
        </w:rPr>
        <w:t>有效提高</w:t>
      </w:r>
      <w:r>
        <w:rPr>
          <w:rFonts w:hint="default"/>
          <w:color w:val="auto"/>
          <w:highlight w:val="none"/>
          <w:lang w:val="en-US" w:eastAsia="zh-CN"/>
        </w:rPr>
        <w:t>，实际完成值为</w:t>
      </w:r>
      <w:r>
        <w:rPr>
          <w:rFonts w:hint="eastAsia"/>
          <w:color w:val="auto"/>
          <w:highlight w:val="none"/>
          <w:lang w:val="en-US" w:eastAsia="zh-CN"/>
        </w:rPr>
        <w:t>有效提高</w:t>
      </w:r>
      <w:r>
        <w:rPr>
          <w:rFonts w:hint="default"/>
          <w:color w:val="auto"/>
          <w:highlight w:val="none"/>
          <w:lang w:val="en-US" w:eastAsia="zh-CN"/>
        </w:rPr>
        <w:t>，指标完成率为100.00%。所设分值</w:t>
      </w:r>
      <w:r>
        <w:rPr>
          <w:rFonts w:hint="eastAsia"/>
          <w:color w:val="auto"/>
          <w:highlight w:val="none"/>
          <w:lang w:val="en-US" w:eastAsia="zh-CN"/>
        </w:rPr>
        <w:t>15</w:t>
      </w:r>
      <w:r>
        <w:rPr>
          <w:rFonts w:hint="default"/>
          <w:color w:val="auto"/>
          <w:highlight w:val="none"/>
          <w:lang w:val="en-US" w:eastAsia="zh-CN"/>
        </w:rPr>
        <w:t>分，实际得分</w:t>
      </w:r>
      <w:r>
        <w:rPr>
          <w:rFonts w:hint="eastAsia"/>
          <w:color w:val="auto"/>
          <w:highlight w:val="none"/>
          <w:lang w:val="en-US" w:eastAsia="zh-CN"/>
        </w:rPr>
        <w:t>15</w:t>
      </w:r>
      <w:r>
        <w:rPr>
          <w:rFonts w:hint="default"/>
          <w:color w:val="auto"/>
          <w:highlight w:val="none"/>
          <w:lang w:val="en-US" w:eastAsia="zh-CN"/>
        </w:rPr>
        <w:t>分。</w:t>
      </w:r>
    </w:p>
    <w:p w14:paraId="528003A2">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2.2项目实施的可持续影响分析。</w:t>
      </w:r>
    </w:p>
    <w:p w14:paraId="73C279BF">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“改善农业生产条件”指标，指标预期值为长期，实际完成值为长期，指标完成率为100.00%。所设分值15分，实际得分15分。</w:t>
      </w:r>
    </w:p>
    <w:p w14:paraId="33B2793D">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3.满意度指标完成情况分析</w:t>
      </w:r>
    </w:p>
    <w:p w14:paraId="40870213">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“受益村民群众满意度”指标，指标预期值为大于等于95%，实际完成值为95%，指标完成率为100.00%。所设分值10分，实际得分10分。</w:t>
      </w:r>
    </w:p>
    <w:p w14:paraId="0C2D4B0F">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项目实施完成后我单位就该项目的满意度采取抽样发放调查问卷的方式开展调查，通过对调查问卷的梳理和统计，受益村民群众满意度为95.00%。</w:t>
      </w:r>
    </w:p>
    <w:p w14:paraId="61F3C700">
      <w:pPr>
        <w:pStyle w:val="31"/>
        <w:spacing w:before="120"/>
        <w:ind w:left="0" w:leftChars="0" w:right="3" w:firstLine="562" w:firstLineChars="200"/>
        <w:rPr>
          <w:color w:val="auto"/>
          <w:highlight w:val="none"/>
        </w:rPr>
      </w:pPr>
      <w:r>
        <w:rPr>
          <w:rFonts w:hint="eastAsia"/>
          <w:color w:val="auto"/>
          <w:highlight w:val="none"/>
        </w:rPr>
        <w:t>四、偏离绩效目标的原因和下一步改进措施</w:t>
      </w:r>
    </w:p>
    <w:p w14:paraId="748F09A3">
      <w:pPr>
        <w:pStyle w:val="54"/>
        <w:spacing w:line="560" w:lineRule="exact"/>
        <w:ind w:left="3" w:right="3" w:firstLine="552"/>
        <w:rPr>
          <w:rFonts w:hint="default" w:ascii="仿宋_GB2312" w:eastAsia="仿宋_GB2312"/>
          <w:spacing w:val="-4"/>
          <w:szCs w:val="32"/>
          <w:lang w:val="en-US" w:eastAsia="zh-CN"/>
        </w:rPr>
      </w:pPr>
      <w:r>
        <w:rPr>
          <w:rFonts w:hint="eastAsia" w:ascii="仿宋_GB2312"/>
          <w:spacing w:val="-4"/>
          <w:szCs w:val="32"/>
          <w:lang w:val="en-US" w:eastAsia="zh-CN"/>
        </w:rPr>
        <w:t>1.时效指标-项目开工时间：</w:t>
      </w:r>
      <w:r>
        <w:rPr>
          <w:rFonts w:hint="eastAsia" w:ascii="仿宋_GB2312"/>
          <w:spacing w:val="-4"/>
          <w:szCs w:val="32"/>
        </w:rPr>
        <w:t>预期指标值为</w:t>
      </w:r>
      <w:r>
        <w:rPr>
          <w:rFonts w:hint="eastAsia" w:ascii="仿宋_GB2312"/>
          <w:spacing w:val="-4"/>
          <w:szCs w:val="32"/>
          <w:lang w:val="en-US" w:eastAsia="zh-CN"/>
        </w:rPr>
        <w:t>2024年3月，</w:t>
      </w:r>
      <w:r>
        <w:rPr>
          <w:rFonts w:hint="eastAsia" w:ascii="仿宋_GB2312"/>
          <w:spacing w:val="-4"/>
          <w:szCs w:val="32"/>
        </w:rPr>
        <w:t>实际完成值为</w:t>
      </w:r>
      <w:r>
        <w:rPr>
          <w:rFonts w:hint="eastAsia" w:ascii="仿宋_GB2312"/>
          <w:spacing w:val="-4"/>
          <w:szCs w:val="32"/>
          <w:lang w:val="en-US" w:eastAsia="zh-CN"/>
        </w:rPr>
        <w:t>2024年4月。</w:t>
      </w:r>
    </w:p>
    <w:p w14:paraId="0F6842CC">
      <w:pPr>
        <w:pStyle w:val="54"/>
        <w:spacing w:line="560" w:lineRule="exact"/>
        <w:ind w:left="3" w:right="3" w:firstLine="552"/>
        <w:rPr>
          <w:rFonts w:hint="eastAsia" w:ascii="仿宋_GB2312"/>
          <w:spacing w:val="-4"/>
          <w:szCs w:val="32"/>
        </w:rPr>
      </w:pPr>
      <w:r>
        <w:rPr>
          <w:rFonts w:hint="eastAsia" w:ascii="仿宋_GB2312"/>
          <w:spacing w:val="-4"/>
          <w:szCs w:val="32"/>
        </w:rPr>
        <w:t>偏差原因：项目实际开工时间为2024年4月。</w:t>
      </w:r>
    </w:p>
    <w:p w14:paraId="2EACDBD6">
      <w:pPr>
        <w:pStyle w:val="54"/>
        <w:spacing w:line="560" w:lineRule="exact"/>
        <w:ind w:left="3" w:right="3" w:firstLine="552"/>
        <w:rPr>
          <w:rFonts w:hint="eastAsia" w:ascii="仿宋_GB2312"/>
          <w:spacing w:val="-4"/>
          <w:szCs w:val="32"/>
        </w:rPr>
      </w:pPr>
      <w:r>
        <w:rPr>
          <w:rFonts w:hint="eastAsia" w:ascii="仿宋_GB2312"/>
          <w:spacing w:val="-4"/>
          <w:szCs w:val="32"/>
        </w:rPr>
        <w:t>改进措施：加强项目管理。</w:t>
      </w:r>
    </w:p>
    <w:p w14:paraId="71283169">
      <w:pPr>
        <w:pStyle w:val="54"/>
        <w:spacing w:line="560" w:lineRule="exact"/>
        <w:ind w:left="3" w:right="3" w:firstLine="552"/>
        <w:rPr>
          <w:rFonts w:ascii="仿宋_GB2312"/>
          <w:spacing w:val="-4"/>
          <w:szCs w:val="32"/>
        </w:rPr>
      </w:pPr>
      <w:r>
        <w:rPr>
          <w:rFonts w:hint="eastAsia" w:ascii="仿宋_GB2312"/>
          <w:spacing w:val="-4"/>
          <w:szCs w:val="32"/>
          <w:lang w:val="en-US" w:eastAsia="zh-CN"/>
        </w:rPr>
        <w:t>2</w:t>
      </w:r>
      <w:r>
        <w:rPr>
          <w:rFonts w:hint="eastAsia" w:ascii="仿宋_GB2312"/>
          <w:spacing w:val="-4"/>
          <w:szCs w:val="32"/>
        </w:rPr>
        <w:t>.成本指标-</w:t>
      </w:r>
      <w:r>
        <w:rPr>
          <w:rFonts w:hint="eastAsia" w:ascii="仿宋_GB2312"/>
          <w:spacing w:val="-4"/>
          <w:szCs w:val="32"/>
          <w:lang w:val="en-US" w:eastAsia="zh-CN"/>
        </w:rPr>
        <w:t>建筑工程成本</w:t>
      </w:r>
      <w:r>
        <w:rPr>
          <w:rFonts w:hint="eastAsia" w:ascii="仿宋_GB2312"/>
          <w:spacing w:val="-4"/>
          <w:szCs w:val="32"/>
        </w:rPr>
        <w:t>：预期指标值为</w:t>
      </w:r>
      <w:r>
        <w:rPr>
          <w:rFonts w:hint="eastAsia" w:ascii="仿宋_GB2312"/>
          <w:spacing w:val="-4"/>
          <w:szCs w:val="32"/>
          <w:lang w:val="en-US" w:eastAsia="zh-CN"/>
        </w:rPr>
        <w:t>小于等于558.1</w:t>
      </w:r>
      <w:r>
        <w:rPr>
          <w:rFonts w:hint="eastAsia" w:ascii="仿宋_GB2312"/>
          <w:spacing w:val="-4"/>
          <w:szCs w:val="32"/>
        </w:rPr>
        <w:t>万元，实际完成值为537.04万元。</w:t>
      </w:r>
    </w:p>
    <w:p w14:paraId="12230635">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偏离原因：项目已按时完工、验收，相关评估决算已完成，工程节约资金共21.06万元已申请退回。</w:t>
      </w:r>
    </w:p>
    <w:p w14:paraId="2C316419">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改进措施：按照乡村振兴衔接资金项目管理办法，加强对项目进度实时监督。持续发挥资产扶持效益，促进当地经济可持续发展。</w:t>
      </w:r>
    </w:p>
    <w:p w14:paraId="77C1E0B4">
      <w:pPr>
        <w:pStyle w:val="31"/>
        <w:numPr>
          <w:ilvl w:val="0"/>
          <w:numId w:val="0"/>
        </w:numPr>
        <w:spacing w:before="120"/>
        <w:ind w:left="0" w:leftChars="0" w:right="3" w:rightChars="1" w:firstLine="544" w:firstLineChars="200"/>
        <w:rPr>
          <w:rFonts w:hint="eastAsia" w:ascii="仿宋_GB2312" w:hAnsi="Times New Roman" w:eastAsia="仿宋_GB2312" w:cs="Times New Roman"/>
          <w:b w:val="0"/>
          <w:bCs w:val="0"/>
          <w:color w:val="000000"/>
          <w:spacing w:val="-4"/>
          <w:kern w:val="2"/>
          <w:sz w:val="28"/>
          <w:szCs w:val="32"/>
          <w:lang w:val="en-US" w:eastAsia="zh-CN" w:bidi="ar-SA"/>
        </w:rPr>
      </w:pPr>
      <w:r>
        <w:rPr>
          <w:rFonts w:hint="eastAsia" w:ascii="仿宋_GB2312" w:hAnsi="Times New Roman" w:eastAsia="仿宋_GB2312" w:cs="Times New Roman"/>
          <w:b w:val="0"/>
          <w:bCs w:val="0"/>
          <w:color w:val="000000"/>
          <w:spacing w:val="-4"/>
          <w:kern w:val="2"/>
          <w:sz w:val="28"/>
          <w:szCs w:val="32"/>
          <w:lang w:val="en-US" w:eastAsia="zh-CN" w:bidi="ar-SA"/>
        </w:rPr>
        <w:t>2.成本指标-其他成本：预期指标值为小于等于36.9万元，实际完成值为33.46万元。</w:t>
      </w:r>
    </w:p>
    <w:p w14:paraId="05519D27">
      <w:pPr>
        <w:pStyle w:val="31"/>
        <w:numPr>
          <w:ilvl w:val="0"/>
          <w:numId w:val="0"/>
        </w:numPr>
        <w:spacing w:before="120"/>
        <w:ind w:right="3" w:rightChars="1"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偏离原因：项目已按时完工、验收，相关评估决算已完成，其他成本节约资金共3.44万元已申请退回。</w:t>
      </w:r>
    </w:p>
    <w:p w14:paraId="1D13BE06">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改进措施：按照乡村振兴衔接资金项目管理办法，加强对项目进度实时监督。持续发挥资产扶持效益，促进当地经济可持续发展。</w:t>
      </w:r>
    </w:p>
    <w:p w14:paraId="22ED6BB3">
      <w:pPr>
        <w:pStyle w:val="31"/>
        <w:spacing w:before="120"/>
        <w:ind w:left="0" w:leftChars="0" w:right="3" w:firstLine="562" w:firstLineChars="200"/>
        <w:rPr>
          <w:color w:val="auto"/>
          <w:highlight w:val="none"/>
        </w:rPr>
      </w:pPr>
      <w:r>
        <w:rPr>
          <w:rFonts w:hint="eastAsia"/>
          <w:color w:val="auto"/>
          <w:highlight w:val="none"/>
        </w:rPr>
        <w:t>五、绩效自评结果拟应用和公开情况</w:t>
      </w:r>
    </w:p>
    <w:p w14:paraId="089BFCF9">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项目本次评价通过文件研读、实地调研、数据采集、问卷调查方式下，全面了解</w:t>
      </w:r>
      <w:r>
        <w:rPr>
          <w:rFonts w:hint="eastAsia" w:ascii="仿宋_GB2312"/>
          <w:color w:val="auto"/>
          <w:spacing w:val="-4"/>
          <w:szCs w:val="32"/>
          <w:highlight w:val="none"/>
          <w:lang w:eastAsia="zh-CN"/>
        </w:rPr>
        <w:t>于田县英巴格乡红柳大芸提质增效项目</w:t>
      </w:r>
      <w:r>
        <w:rPr>
          <w:rFonts w:hint="eastAsia" w:ascii="仿宋_GB2312"/>
          <w:color w:val="auto"/>
          <w:spacing w:val="-4"/>
          <w:szCs w:val="32"/>
          <w:highlight w:val="none"/>
        </w:rPr>
        <w:t>资金的使用效率和效果，从而得出以下综合评价结论：在绩效目标方面，本项目共设置一级指标3个，二级指标</w:t>
      </w:r>
      <w:r>
        <w:rPr>
          <w:rFonts w:hint="eastAsia" w:ascii="仿宋_GB2312"/>
          <w:color w:val="auto"/>
          <w:spacing w:val="-4"/>
          <w:szCs w:val="32"/>
          <w:highlight w:val="none"/>
          <w:lang w:val="en-US" w:eastAsia="zh-CN"/>
        </w:rPr>
        <w:t>7</w:t>
      </w:r>
      <w:r>
        <w:rPr>
          <w:rFonts w:hint="eastAsia" w:ascii="仿宋_GB2312"/>
          <w:color w:val="auto"/>
          <w:spacing w:val="-4"/>
          <w:szCs w:val="32"/>
          <w:highlight w:val="none"/>
        </w:rPr>
        <w:t>个，三级指标</w:t>
      </w:r>
      <w:r>
        <w:rPr>
          <w:rFonts w:hint="eastAsia" w:ascii="仿宋_GB2312"/>
          <w:color w:val="auto"/>
          <w:spacing w:val="-4"/>
          <w:szCs w:val="32"/>
          <w:highlight w:val="none"/>
          <w:lang w:val="en-US" w:eastAsia="zh-CN"/>
        </w:rPr>
        <w:t>12</w:t>
      </w:r>
      <w:r>
        <w:rPr>
          <w:rFonts w:hint="eastAsia" w:ascii="仿宋_GB2312"/>
          <w:color w:val="auto"/>
          <w:spacing w:val="-4"/>
          <w:szCs w:val="32"/>
          <w:highlight w:val="none"/>
        </w:rPr>
        <w:t>个，其中已完成三级指标</w:t>
      </w:r>
      <w:r>
        <w:rPr>
          <w:rFonts w:hint="eastAsia" w:ascii="仿宋_GB2312"/>
          <w:color w:val="auto"/>
          <w:spacing w:val="-4"/>
          <w:szCs w:val="32"/>
          <w:highlight w:val="none"/>
          <w:lang w:val="en-US" w:eastAsia="zh-CN"/>
        </w:rPr>
        <w:t>9</w:t>
      </w:r>
      <w:r>
        <w:rPr>
          <w:rFonts w:hint="eastAsia" w:ascii="仿宋_GB2312"/>
          <w:color w:val="auto"/>
          <w:spacing w:val="-4"/>
          <w:szCs w:val="32"/>
          <w:highlight w:val="none"/>
        </w:rPr>
        <w:t>个，指标完成率为</w:t>
      </w:r>
      <w:r>
        <w:rPr>
          <w:rFonts w:hint="eastAsia" w:ascii="仿宋_GB2312"/>
          <w:color w:val="auto"/>
          <w:spacing w:val="-4"/>
          <w:szCs w:val="32"/>
          <w:highlight w:val="none"/>
          <w:lang w:val="en-US" w:eastAsia="zh-CN"/>
        </w:rPr>
        <w:t>75</w:t>
      </w:r>
      <w:r>
        <w:rPr>
          <w:rFonts w:hint="eastAsia" w:ascii="仿宋_GB2312"/>
          <w:color w:val="auto"/>
          <w:spacing w:val="-4"/>
          <w:szCs w:val="32"/>
          <w:highlight w:val="none"/>
        </w:rPr>
        <w:t>%；在资金使用方面，严格按照《于田县扶贫资金财务管理制度》、《</w:t>
      </w:r>
      <w:r>
        <w:rPr>
          <w:rFonts w:hint="eastAsia" w:ascii="仿宋_GB2312"/>
          <w:color w:val="auto"/>
          <w:spacing w:val="-4"/>
          <w:szCs w:val="32"/>
          <w:highlight w:val="none"/>
          <w:lang w:eastAsia="zh-CN"/>
        </w:rPr>
        <w:t>于田县林业和草原局</w:t>
      </w:r>
      <w:r>
        <w:rPr>
          <w:rFonts w:hint="eastAsia" w:ascii="仿宋_GB2312"/>
          <w:color w:val="auto"/>
          <w:spacing w:val="-4"/>
          <w:szCs w:val="32"/>
          <w:highlight w:val="none"/>
        </w:rPr>
        <w:t>财务管理制度》执行，保障了资金使用规范、安全，无挪用、截留资金的情况发生。在项目管理方面，制定了《</w:t>
      </w:r>
      <w:r>
        <w:rPr>
          <w:rFonts w:hint="eastAsia" w:ascii="仿宋_GB2312"/>
          <w:color w:val="auto"/>
          <w:spacing w:val="-4"/>
          <w:szCs w:val="32"/>
          <w:highlight w:val="none"/>
          <w:lang w:eastAsia="zh-CN"/>
        </w:rPr>
        <w:t>于田县英巴格乡红柳大芸提质增效项目</w:t>
      </w:r>
      <w:r>
        <w:rPr>
          <w:rFonts w:hint="eastAsia" w:ascii="仿宋_GB2312"/>
          <w:color w:val="auto"/>
          <w:spacing w:val="-4"/>
          <w:szCs w:val="32"/>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2DFCBB51">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项目最终得分</w:t>
      </w:r>
      <w:r>
        <w:rPr>
          <w:rFonts w:hint="eastAsia" w:ascii="仿宋_GB2312"/>
          <w:color w:val="auto"/>
          <w:spacing w:val="-4"/>
          <w:szCs w:val="32"/>
          <w:highlight w:val="none"/>
          <w:lang w:val="en-US" w:eastAsia="zh-CN"/>
        </w:rPr>
        <w:t>97.13</w:t>
      </w:r>
      <w:r>
        <w:rPr>
          <w:rFonts w:hint="eastAsia" w:ascii="仿宋_GB2312"/>
          <w:color w:val="auto"/>
          <w:spacing w:val="-4"/>
          <w:szCs w:val="32"/>
          <w:highlight w:val="none"/>
        </w:rPr>
        <w:t>分，评价等级为优。</w:t>
      </w:r>
    </w:p>
    <w:p w14:paraId="0DC8CAB8">
      <w:pPr>
        <w:pStyle w:val="54"/>
        <w:spacing w:line="560" w:lineRule="exact"/>
        <w:ind w:left="3" w:right="3" w:firstLine="554"/>
        <w:rPr>
          <w:rStyle w:val="21"/>
          <w:rFonts w:ascii="楷体_GB2312" w:hAnsi="楷体"/>
          <w:color w:val="auto"/>
          <w:spacing w:val="-4"/>
          <w:szCs w:val="32"/>
          <w:highlight w:val="none"/>
        </w:rPr>
      </w:pPr>
      <w:r>
        <w:rPr>
          <w:rStyle w:val="21"/>
          <w:rFonts w:hint="eastAsia" w:ascii="楷体_GB2312" w:hAnsi="楷体"/>
          <w:color w:val="auto"/>
          <w:spacing w:val="-4"/>
          <w:szCs w:val="32"/>
          <w:highlight w:val="none"/>
        </w:rPr>
        <w:t>（一）绩效自评结果拟应用情况</w:t>
      </w:r>
    </w:p>
    <w:p w14:paraId="245931E0">
      <w:pPr>
        <w:pStyle w:val="54"/>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44F1FF20">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（二）指标佐证材料说明</w:t>
      </w:r>
    </w:p>
    <w:p w14:paraId="39BAEE47">
      <w:pPr>
        <w:pStyle w:val="54"/>
        <w:spacing w:line="560" w:lineRule="exact"/>
        <w:ind w:left="3" w:right="3" w:firstLine="560"/>
        <w:rPr>
          <w:rFonts w:ascii="仿宋_GB2312"/>
          <w:color w:val="auto"/>
          <w:highlight w:val="none"/>
        </w:rPr>
      </w:pPr>
      <w:r>
        <w:rPr>
          <w:rFonts w:hint="eastAsia" w:ascii="仿宋_GB2312"/>
          <w:color w:val="auto"/>
          <w:highlight w:val="none"/>
        </w:rPr>
        <w:t>项目状况：该项目不存在立项，由</w:t>
      </w:r>
      <w:r>
        <w:rPr>
          <w:rFonts w:hint="eastAsia" w:ascii="仿宋_GB2312"/>
          <w:color w:val="auto"/>
          <w:highlight w:val="none"/>
          <w:lang w:val="en-US" w:eastAsia="zh-CN"/>
        </w:rPr>
        <w:t>林草局</w:t>
      </w:r>
      <w:r>
        <w:rPr>
          <w:rFonts w:hint="eastAsia" w:ascii="仿宋_GB2312"/>
          <w:color w:val="auto"/>
          <w:highlight w:val="none"/>
        </w:rPr>
        <w:t>负责项目的实施方案，并由</w:t>
      </w:r>
      <w:r>
        <w:rPr>
          <w:rFonts w:hint="eastAsia" w:ascii="仿宋_GB2312"/>
          <w:color w:val="auto"/>
          <w:highlight w:val="none"/>
          <w:lang w:val="en-US" w:eastAsia="zh-CN"/>
        </w:rPr>
        <w:t>于田县发展和改革委员会</w:t>
      </w:r>
      <w:r>
        <w:rPr>
          <w:rFonts w:hint="eastAsia" w:ascii="仿宋_GB2312"/>
          <w:color w:val="auto"/>
          <w:highlight w:val="none"/>
        </w:rPr>
        <w:t>，下发了《关于对</w:t>
      </w:r>
      <w:r>
        <w:rPr>
          <w:rFonts w:hint="eastAsia" w:ascii="仿宋_GB2312"/>
          <w:color w:val="auto"/>
          <w:highlight w:val="none"/>
          <w:lang w:eastAsia="zh-CN"/>
        </w:rPr>
        <w:t>于田县英巴格乡红柳大芸提质增效项目</w:t>
      </w:r>
      <w:r>
        <w:rPr>
          <w:rFonts w:hint="eastAsia" w:ascii="仿宋_GB2312"/>
          <w:color w:val="auto"/>
          <w:highlight w:val="none"/>
        </w:rPr>
        <w:t>方案的批复》（于发改项目（202</w:t>
      </w:r>
      <w:r>
        <w:rPr>
          <w:rFonts w:hint="eastAsia" w:ascii="仿宋_GB2312"/>
          <w:color w:val="auto"/>
          <w:highlight w:val="none"/>
          <w:lang w:val="en-US" w:eastAsia="zh-CN"/>
        </w:rPr>
        <w:t>4</w:t>
      </w:r>
      <w:r>
        <w:rPr>
          <w:rFonts w:hint="eastAsia" w:ascii="仿宋_GB2312"/>
          <w:color w:val="auto"/>
          <w:highlight w:val="none"/>
        </w:rPr>
        <w:t>）</w:t>
      </w:r>
      <w:r>
        <w:rPr>
          <w:rFonts w:hint="eastAsia" w:ascii="仿宋_GB2312"/>
          <w:color w:val="auto"/>
          <w:highlight w:val="none"/>
          <w:lang w:val="en-US" w:eastAsia="zh-CN"/>
        </w:rPr>
        <w:t>59</w:t>
      </w:r>
      <w:r>
        <w:rPr>
          <w:rFonts w:hint="eastAsia" w:ascii="仿宋_GB2312"/>
          <w:color w:val="auto"/>
          <w:highlight w:val="none"/>
        </w:rPr>
        <w:t>号）。</w:t>
      </w:r>
    </w:p>
    <w:p w14:paraId="46E5C53B">
      <w:pPr>
        <w:pStyle w:val="54"/>
        <w:spacing w:line="560" w:lineRule="exact"/>
        <w:ind w:left="3" w:right="3" w:firstLine="560"/>
        <w:rPr>
          <w:rFonts w:hint="eastAsia" w:ascii="仿宋_GB2312"/>
          <w:color w:val="auto"/>
          <w:highlight w:val="none"/>
          <w:lang w:val="en-US" w:eastAsia="zh-CN"/>
        </w:rPr>
      </w:pPr>
      <w:r>
        <w:rPr>
          <w:rFonts w:hint="eastAsia" w:ascii="仿宋_GB2312"/>
          <w:color w:val="auto"/>
          <w:highlight w:val="none"/>
          <w:lang w:val="en-US" w:eastAsia="zh-CN"/>
        </w:rPr>
        <w:t>资金状况：预算资金来源为以乡村振兴衔接资金，文件依据：于田县发展和改革委员会关于下达2024年中央财政以工代赈任务计划的通知》（于党农领字（2023）27号）。</w:t>
      </w:r>
    </w:p>
    <w:p w14:paraId="451F5A4D">
      <w:pPr>
        <w:pStyle w:val="54"/>
        <w:spacing w:line="560" w:lineRule="exact"/>
        <w:ind w:left="3" w:right="3" w:firstLine="560"/>
        <w:rPr>
          <w:rFonts w:hint="eastAsia" w:ascii="仿宋_GB2312"/>
          <w:color w:val="auto"/>
          <w:highlight w:val="none"/>
        </w:rPr>
      </w:pPr>
      <w:r>
        <w:rPr>
          <w:rFonts w:hint="eastAsia" w:ascii="仿宋_GB2312"/>
          <w:color w:val="auto"/>
          <w:highlight w:val="none"/>
          <w:lang w:val="en-US" w:eastAsia="zh-CN"/>
        </w:rPr>
        <w:t>过程状况：该项目于2024</w:t>
      </w:r>
      <w:r>
        <w:rPr>
          <w:rFonts w:hint="eastAsia" w:ascii="仿宋_GB2312"/>
          <w:color w:val="auto"/>
          <w:highlight w:val="none"/>
          <w:lang w:val="en-US" w:eastAsia="zh-CN"/>
        </w:rPr>
        <w:tab/>
      </w:r>
      <w:r>
        <w:rPr>
          <w:rFonts w:hint="eastAsia" w:ascii="仿宋_GB2312"/>
          <w:color w:val="auto"/>
          <w:highlight w:val="none"/>
          <w:lang w:val="en-US" w:eastAsia="zh-CN"/>
        </w:rPr>
        <w:t>年3</w:t>
      </w:r>
      <w:r>
        <w:rPr>
          <w:rFonts w:hint="eastAsia" w:ascii="仿宋_GB2312"/>
          <w:color w:val="auto"/>
          <w:highlight w:val="none"/>
        </w:rPr>
        <w:t>月</w:t>
      </w:r>
      <w:r>
        <w:rPr>
          <w:rFonts w:hint="eastAsia" w:ascii="仿宋_GB2312"/>
          <w:color w:val="auto"/>
          <w:highlight w:val="none"/>
          <w:lang w:val="en-US" w:eastAsia="zh-CN"/>
        </w:rPr>
        <w:t>6日</w:t>
      </w:r>
      <w:r>
        <w:rPr>
          <w:rFonts w:hint="eastAsia" w:ascii="仿宋_GB2312"/>
          <w:color w:val="auto"/>
          <w:highlight w:val="none"/>
        </w:rPr>
        <w:t>制订实施方案并得到批复，</w:t>
      </w:r>
      <w:r>
        <w:rPr>
          <w:rFonts w:hint="eastAsia" w:ascii="仿宋_GB2312"/>
          <w:color w:val="auto"/>
          <w:highlight w:val="none"/>
          <w:lang w:val="en-US" w:eastAsia="zh-CN"/>
        </w:rPr>
        <w:t>2024年4月3日开标，2024年4月8日确定施工单位签订施工合同，</w:t>
      </w:r>
      <w:r>
        <w:rPr>
          <w:rFonts w:hint="eastAsia" w:ascii="仿宋_GB2312"/>
          <w:color w:val="auto"/>
          <w:highlight w:val="none"/>
        </w:rPr>
        <w:t>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4</w:t>
      </w:r>
      <w:r>
        <w:rPr>
          <w:rFonts w:hint="eastAsia" w:ascii="仿宋_GB2312"/>
          <w:color w:val="auto"/>
          <w:highlight w:val="none"/>
        </w:rPr>
        <w:t>月开始拨付工程款，202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5</w:t>
      </w:r>
      <w:r>
        <w:rPr>
          <w:rFonts w:hint="eastAsia" w:ascii="仿宋_GB2312"/>
          <w:color w:val="auto"/>
          <w:highlight w:val="none"/>
        </w:rPr>
        <w:t>月</w:t>
      </w:r>
      <w:r>
        <w:rPr>
          <w:rFonts w:hint="eastAsia" w:ascii="仿宋_GB2312"/>
          <w:color w:val="auto"/>
          <w:highlight w:val="none"/>
          <w:lang w:val="en-US" w:eastAsia="zh-CN"/>
        </w:rPr>
        <w:t>22日</w:t>
      </w:r>
      <w:r>
        <w:rPr>
          <w:rFonts w:hint="eastAsia" w:ascii="仿宋_GB2312"/>
          <w:color w:val="auto"/>
          <w:highlight w:val="none"/>
        </w:rPr>
        <w:t>完成</w:t>
      </w:r>
      <w:r>
        <w:rPr>
          <w:rFonts w:hint="eastAsia" w:ascii="仿宋_GB2312"/>
          <w:color w:val="auto"/>
          <w:highlight w:val="none"/>
          <w:lang w:val="en-US" w:eastAsia="zh-CN"/>
        </w:rPr>
        <w:t>自</w:t>
      </w:r>
      <w:r>
        <w:rPr>
          <w:rFonts w:hint="eastAsia" w:ascii="仿宋_GB2312"/>
          <w:color w:val="auto"/>
          <w:highlight w:val="none"/>
        </w:rPr>
        <w:t>验</w:t>
      </w:r>
      <w:r>
        <w:rPr>
          <w:rFonts w:hint="eastAsia" w:ascii="仿宋_GB2312"/>
          <w:color w:val="auto"/>
          <w:highlight w:val="none"/>
          <w:lang w:eastAsia="zh-CN"/>
        </w:rPr>
        <w:t>，</w:t>
      </w:r>
      <w:r>
        <w:rPr>
          <w:rFonts w:hint="eastAsia" w:ascii="仿宋_GB2312"/>
          <w:color w:val="auto"/>
          <w:highlight w:val="none"/>
          <w:lang w:val="en-US" w:eastAsia="zh-CN"/>
        </w:rPr>
        <w:t>5月28日完成联合验收</w:t>
      </w:r>
      <w:r>
        <w:rPr>
          <w:rFonts w:hint="eastAsia" w:ascii="仿宋_GB2312"/>
          <w:color w:val="auto"/>
          <w:highlight w:val="none"/>
        </w:rPr>
        <w:t>。</w:t>
      </w:r>
    </w:p>
    <w:p w14:paraId="7B1582B1">
      <w:pPr>
        <w:pStyle w:val="54"/>
        <w:spacing w:line="560" w:lineRule="exact"/>
        <w:ind w:left="3" w:right="3" w:firstLine="560"/>
        <w:rPr>
          <w:rFonts w:hint="eastAsia" w:ascii="仿宋_GB2312"/>
          <w:color w:val="auto"/>
          <w:highlight w:val="none"/>
        </w:rPr>
      </w:pPr>
      <w:r>
        <w:rPr>
          <w:rFonts w:hint="eastAsia" w:ascii="仿宋_GB2312"/>
          <w:color w:val="auto"/>
          <w:highlight w:val="none"/>
        </w:rPr>
        <w:t>结果状况：</w:t>
      </w:r>
      <w:r>
        <w:rPr>
          <w:rFonts w:hint="eastAsia" w:ascii="仿宋_GB2312"/>
          <w:color w:val="auto"/>
          <w:highlight w:val="none"/>
          <w:lang w:val="en-US" w:eastAsia="zh-CN"/>
        </w:rPr>
        <w:t>2024年7月30</w:t>
      </w:r>
      <w:r>
        <w:rPr>
          <w:rFonts w:hint="eastAsia" w:ascii="仿宋_GB2312"/>
          <w:color w:val="auto"/>
          <w:highlight w:val="none"/>
        </w:rPr>
        <w:t>日于田县发展和改革委员会，于田</w:t>
      </w:r>
      <w:r>
        <w:rPr>
          <w:rFonts w:hint="eastAsia" w:ascii="仿宋_GB2312"/>
          <w:color w:val="auto"/>
          <w:highlight w:val="none"/>
          <w:lang w:eastAsia="zh-CN"/>
        </w:rPr>
        <w:t>县发展和改革委员会</w:t>
      </w:r>
      <w:r>
        <w:rPr>
          <w:rFonts w:hint="eastAsia" w:ascii="仿宋_GB2312"/>
          <w:color w:val="auto"/>
          <w:highlight w:val="none"/>
          <w:lang w:val="en-US" w:eastAsia="zh-CN"/>
        </w:rPr>
        <w:t>，</w:t>
      </w:r>
      <w:r>
        <w:rPr>
          <w:rFonts w:hint="eastAsia" w:ascii="仿宋_GB2312"/>
          <w:color w:val="auto"/>
          <w:highlight w:val="none"/>
        </w:rPr>
        <w:t>乡村振兴局，财政局，</w:t>
      </w:r>
      <w:r>
        <w:rPr>
          <w:rFonts w:hint="eastAsia" w:ascii="仿宋_GB2312"/>
          <w:color w:val="auto"/>
          <w:highlight w:val="none"/>
          <w:lang w:val="en-US" w:eastAsia="zh-CN"/>
        </w:rPr>
        <w:t>水利局，</w:t>
      </w:r>
      <w:r>
        <w:rPr>
          <w:rFonts w:hint="eastAsia" w:ascii="仿宋_GB2312"/>
          <w:color w:val="auto"/>
          <w:highlight w:val="none"/>
        </w:rPr>
        <w:t>档案局和参建单位联合竣工验收结果状况：合格。</w:t>
      </w:r>
    </w:p>
    <w:p w14:paraId="6DC476CA">
      <w:pPr>
        <w:pStyle w:val="54"/>
        <w:spacing w:line="560" w:lineRule="exact"/>
        <w:ind w:left="3" w:right="3" w:firstLine="562"/>
        <w:rPr>
          <w:rStyle w:val="21"/>
          <w:rFonts w:ascii="楷体_GB2312"/>
          <w:color w:val="auto"/>
          <w:highlight w:val="none"/>
        </w:rPr>
      </w:pPr>
      <w:r>
        <w:rPr>
          <w:rStyle w:val="21"/>
          <w:rFonts w:hint="eastAsia" w:ascii="楷体_GB2312"/>
          <w:color w:val="auto"/>
          <w:highlight w:val="none"/>
        </w:rPr>
        <w:t>（三）主要经验及做法</w:t>
      </w:r>
    </w:p>
    <w:p w14:paraId="3A707DF4">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于田县英巴格乡红柳大芸提质增效项目</w:t>
      </w:r>
      <w:r>
        <w:rPr>
          <w:rFonts w:hint="eastAsia" w:ascii="仿宋_GB2312" w:hAnsi="Times New Roman" w:eastAsia="仿宋_GB2312" w:cs="Times New Roman"/>
          <w:color w:val="auto"/>
          <w:sz w:val="28"/>
          <w:highlight w:val="none"/>
        </w:rPr>
        <w:t>资金安排、使用过程中严格执行乡村振兴项目资金管理制度，确保乡村振兴项目正常运行为构建长效稳定奠定物质基础。</w:t>
      </w:r>
    </w:p>
    <w:p w14:paraId="1DC00AA6">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（四）存在的问题</w:t>
      </w:r>
    </w:p>
    <w:p w14:paraId="0864DA58">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于田县英巴格乡红柳大芸提质增效项目</w:t>
      </w:r>
      <w:r>
        <w:rPr>
          <w:rFonts w:hint="eastAsia" w:ascii="仿宋_GB2312" w:hAnsi="Times New Roman" w:eastAsia="仿宋_GB2312" w:cs="Times New Roman"/>
          <w:color w:val="auto"/>
          <w:sz w:val="28"/>
          <w:highlight w:val="none"/>
        </w:rPr>
        <w:t>资金安排、使用过程中存在一些问题，主要是资金申报，审批，发放过程中存在对资金拨付缓慢问题。</w:t>
      </w:r>
    </w:p>
    <w:p w14:paraId="77F1AB88">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（五）建议</w:t>
      </w:r>
    </w:p>
    <w:p w14:paraId="2520475B">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2E5FE8EF">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（六）项目绩效公告公示情况</w:t>
      </w:r>
    </w:p>
    <w:p w14:paraId="40C27F45">
      <w:pPr>
        <w:pStyle w:val="54"/>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HYb2gj">
    <w:altName w:val="黑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41B514C5">
        <w:pPr>
          <w:pStyle w:val="15"/>
          <w:jc w:val="center"/>
        </w:pPr>
        <w:r>
          <w:fldChar w:fldCharType="begin"/>
        </w:r>
        <w:r>
          <w:instrText xml:space="preserve">PAGE   \* MERGEFORMAT</w:instrText>
        </w:r>
        <w:r>
          <w:fldChar w:fldCharType="separate"/>
        </w:r>
        <w:r>
          <w:rPr>
            <w:lang w:val="zh-CN"/>
          </w:rPr>
          <w:t>1</w:t>
        </w:r>
        <w:r>
          <w:fldChar w:fldCharType="end"/>
        </w:r>
      </w:p>
    </w:sdtContent>
  </w:sdt>
  <w:p w14:paraId="634B5A98">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25055">
    <w:pPr>
      <w:pStyle w:val="1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A7BE9"/>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213255"/>
    <w:rsid w:val="023D5371"/>
    <w:rsid w:val="0C764169"/>
    <w:rsid w:val="0CCA1A4E"/>
    <w:rsid w:val="13F874EE"/>
    <w:rsid w:val="17D44CBD"/>
    <w:rsid w:val="18AB0FDA"/>
    <w:rsid w:val="2C196BDB"/>
    <w:rsid w:val="31523460"/>
    <w:rsid w:val="33E97ED0"/>
    <w:rsid w:val="34EF419F"/>
    <w:rsid w:val="36657C06"/>
    <w:rsid w:val="3824688C"/>
    <w:rsid w:val="3E982E81"/>
    <w:rsid w:val="3EDD2155"/>
    <w:rsid w:val="4037219F"/>
    <w:rsid w:val="40AA57C4"/>
    <w:rsid w:val="464056D8"/>
    <w:rsid w:val="485A725E"/>
    <w:rsid w:val="4AFB3718"/>
    <w:rsid w:val="4B110D0E"/>
    <w:rsid w:val="4EF3230B"/>
    <w:rsid w:val="55CE7228"/>
    <w:rsid w:val="561D50CD"/>
    <w:rsid w:val="56A43B97"/>
    <w:rsid w:val="5B7E4DF1"/>
    <w:rsid w:val="620A4C3B"/>
    <w:rsid w:val="62923AAE"/>
    <w:rsid w:val="62C0120F"/>
    <w:rsid w:val="641F4B74"/>
    <w:rsid w:val="64DA21B2"/>
    <w:rsid w:val="682C1B4C"/>
    <w:rsid w:val="6D6E05BE"/>
    <w:rsid w:val="7ABE2042"/>
    <w:rsid w:val="7BAB7456"/>
    <w:rsid w:val="7EF305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3">
    <w:name w:val="heading 1"/>
    <w:basedOn w:val="1"/>
    <w:next w:val="1"/>
    <w:link w:val="23"/>
    <w:qFormat/>
    <w:uiPriority w:val="9"/>
    <w:pPr>
      <w:keepNext/>
      <w:keepLines/>
      <w:spacing w:before="340" w:after="330" w:line="576" w:lineRule="auto"/>
      <w:outlineLvl w:val="0"/>
    </w:pPr>
    <w:rPr>
      <w:rFonts w:cs="宋体"/>
      <w:b/>
      <w:bCs/>
      <w:kern w:val="44"/>
      <w:sz w:val="44"/>
      <w:szCs w:val="44"/>
    </w:rPr>
  </w:style>
  <w:style w:type="paragraph" w:styleId="4">
    <w:name w:val="heading 2"/>
    <w:basedOn w:val="1"/>
    <w:next w:val="1"/>
    <w:link w:val="24"/>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5">
    <w:name w:val="heading 3"/>
    <w:basedOn w:val="1"/>
    <w:next w:val="1"/>
    <w:link w:val="25"/>
    <w:qFormat/>
    <w:uiPriority w:val="9"/>
    <w:pPr>
      <w:keepNext/>
      <w:keepLines/>
      <w:spacing w:before="260" w:after="260" w:line="415" w:lineRule="auto"/>
      <w:outlineLvl w:val="2"/>
    </w:pPr>
    <w:rPr>
      <w:rFonts w:cs="宋体"/>
      <w:b/>
      <w:bCs/>
      <w:szCs w:val="32"/>
    </w:rPr>
  </w:style>
  <w:style w:type="paragraph" w:styleId="6">
    <w:name w:val="heading 4"/>
    <w:basedOn w:val="1"/>
    <w:next w:val="1"/>
    <w:link w:val="26"/>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7">
    <w:name w:val="heading 5"/>
    <w:basedOn w:val="1"/>
    <w:next w:val="1"/>
    <w:link w:val="27"/>
    <w:qFormat/>
    <w:uiPriority w:val="9"/>
    <w:pPr>
      <w:keepNext/>
      <w:keepLines/>
      <w:spacing w:before="280" w:after="290" w:line="374" w:lineRule="auto"/>
      <w:outlineLvl w:val="4"/>
    </w:pPr>
    <w:rPr>
      <w:rFonts w:cs="宋体"/>
      <w:b/>
      <w:bCs/>
      <w:sz w:val="28"/>
      <w:szCs w:val="28"/>
    </w:rPr>
  </w:style>
  <w:style w:type="paragraph" w:styleId="8">
    <w:name w:val="heading 6"/>
    <w:basedOn w:val="1"/>
    <w:next w:val="1"/>
    <w:link w:val="38"/>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64"/>
    <w:qFormat/>
    <w:uiPriority w:val="9"/>
    <w:pPr>
      <w:keepNext/>
      <w:keepLines/>
      <w:spacing w:before="240" w:after="64" w:line="320" w:lineRule="auto"/>
      <w:outlineLvl w:val="6"/>
    </w:pPr>
    <w:rPr>
      <w:b/>
      <w:bCs/>
      <w:sz w:val="24"/>
      <w:szCs w:val="24"/>
    </w:rPr>
  </w:style>
  <w:style w:type="paragraph" w:styleId="10">
    <w:name w:val="heading 8"/>
    <w:basedOn w:val="1"/>
    <w:next w:val="1"/>
    <w:link w:val="65"/>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66"/>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styleId="12">
    <w:name w:val="annotation text"/>
    <w:basedOn w:val="1"/>
    <w:link w:val="69"/>
    <w:semiHidden/>
    <w:unhideWhenUsed/>
    <w:qFormat/>
    <w:uiPriority w:val="99"/>
    <w:pPr>
      <w:jc w:val="left"/>
    </w:pPr>
  </w:style>
  <w:style w:type="paragraph" w:styleId="13">
    <w:name w:val="Body Text"/>
    <w:basedOn w:val="1"/>
    <w:qFormat/>
    <w:uiPriority w:val="0"/>
    <w:pPr>
      <w:spacing w:after="120"/>
    </w:pPr>
    <w:rPr>
      <w:rFonts w:ascii="宋体"/>
      <w:snapToGrid w:val="0"/>
      <w:sz w:val="28"/>
      <w:szCs w:val="20"/>
    </w:rPr>
  </w:style>
  <w:style w:type="paragraph" w:styleId="14">
    <w:name w:val="Balloon Text"/>
    <w:basedOn w:val="1"/>
    <w:link w:val="71"/>
    <w:semiHidden/>
    <w:unhideWhenUsed/>
    <w:qFormat/>
    <w:uiPriority w:val="99"/>
    <w:rPr>
      <w:sz w:val="18"/>
      <w:szCs w:val="18"/>
    </w:rPr>
  </w:style>
  <w:style w:type="paragraph" w:styleId="15">
    <w:name w:val="footer"/>
    <w:basedOn w:val="1"/>
    <w:link w:val="68"/>
    <w:unhideWhenUsed/>
    <w:qFormat/>
    <w:uiPriority w:val="99"/>
    <w:pPr>
      <w:tabs>
        <w:tab w:val="center" w:pos="4153"/>
        <w:tab w:val="right" w:pos="8306"/>
      </w:tabs>
      <w:snapToGrid w:val="0"/>
      <w:jc w:val="left"/>
    </w:pPr>
    <w:rPr>
      <w:sz w:val="18"/>
      <w:szCs w:val="18"/>
    </w:rPr>
  </w:style>
  <w:style w:type="paragraph" w:styleId="16">
    <w:name w:val="header"/>
    <w:basedOn w:val="1"/>
    <w:link w:val="67"/>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annotation subject"/>
    <w:basedOn w:val="12"/>
    <w:next w:val="12"/>
    <w:link w:val="70"/>
    <w:semiHidden/>
    <w:unhideWhenUsed/>
    <w:qFormat/>
    <w:uiPriority w:val="99"/>
    <w:rPr>
      <w:b/>
      <w:bCs/>
    </w:rPr>
  </w:style>
  <w:style w:type="character" w:styleId="21">
    <w:name w:val="Strong"/>
    <w:basedOn w:val="20"/>
    <w:qFormat/>
    <w:uiPriority w:val="0"/>
    <w:rPr>
      <w:b/>
      <w:bCs/>
    </w:rPr>
  </w:style>
  <w:style w:type="character" w:styleId="22">
    <w:name w:val="annotation reference"/>
    <w:basedOn w:val="20"/>
    <w:semiHidden/>
    <w:unhideWhenUsed/>
    <w:qFormat/>
    <w:uiPriority w:val="99"/>
    <w:rPr>
      <w:sz w:val="21"/>
      <w:szCs w:val="21"/>
    </w:rPr>
  </w:style>
  <w:style w:type="character" w:customStyle="1" w:styleId="23">
    <w:name w:val="标题 1 Char"/>
    <w:basedOn w:val="20"/>
    <w:link w:val="3"/>
    <w:qFormat/>
    <w:locked/>
    <w:uiPriority w:val="9"/>
    <w:rPr>
      <w:b/>
      <w:bCs/>
      <w:kern w:val="44"/>
      <w:sz w:val="44"/>
      <w:szCs w:val="44"/>
    </w:rPr>
  </w:style>
  <w:style w:type="character" w:customStyle="1" w:styleId="24">
    <w:name w:val="标题 2 Char"/>
    <w:basedOn w:val="20"/>
    <w:link w:val="4"/>
    <w:semiHidden/>
    <w:qFormat/>
    <w:locked/>
    <w:uiPriority w:val="9"/>
    <w:rPr>
      <w:rFonts w:hint="eastAsia" w:asciiTheme="majorHAnsi" w:hAnsiTheme="majorHAnsi" w:eastAsiaTheme="majorEastAsia" w:cstheme="majorBidi"/>
      <w:b/>
      <w:bCs/>
      <w:sz w:val="32"/>
      <w:szCs w:val="32"/>
    </w:rPr>
  </w:style>
  <w:style w:type="character" w:customStyle="1" w:styleId="25">
    <w:name w:val="标题 3 Char"/>
    <w:basedOn w:val="20"/>
    <w:link w:val="5"/>
    <w:semiHidden/>
    <w:qFormat/>
    <w:locked/>
    <w:uiPriority w:val="9"/>
    <w:rPr>
      <w:b/>
      <w:bCs/>
      <w:sz w:val="32"/>
      <w:szCs w:val="32"/>
    </w:rPr>
  </w:style>
  <w:style w:type="character" w:customStyle="1" w:styleId="26">
    <w:name w:val="标题 4 Char"/>
    <w:basedOn w:val="20"/>
    <w:link w:val="6"/>
    <w:semiHidden/>
    <w:qFormat/>
    <w:locked/>
    <w:uiPriority w:val="9"/>
    <w:rPr>
      <w:rFonts w:hint="eastAsia" w:asciiTheme="majorHAnsi" w:hAnsiTheme="majorHAnsi" w:eastAsiaTheme="majorEastAsia" w:cstheme="majorBidi"/>
      <w:b/>
      <w:bCs/>
      <w:sz w:val="28"/>
      <w:szCs w:val="28"/>
    </w:rPr>
  </w:style>
  <w:style w:type="character" w:customStyle="1" w:styleId="27">
    <w:name w:val="标题 5 Char"/>
    <w:basedOn w:val="20"/>
    <w:link w:val="7"/>
    <w:semiHidden/>
    <w:qFormat/>
    <w:locked/>
    <w:uiPriority w:val="9"/>
    <w:rPr>
      <w:b/>
      <w:bCs/>
      <w:sz w:val="28"/>
      <w:szCs w:val="28"/>
    </w:rPr>
  </w:style>
  <w:style w:type="character" w:customStyle="1" w:styleId="28">
    <w:name w:val="FZ标题1 字符"/>
    <w:basedOn w:val="20"/>
    <w:link w:val="29"/>
    <w:qFormat/>
    <w:locked/>
    <w:uiPriority w:val="0"/>
    <w:rPr>
      <w:rFonts w:hint="eastAsia" w:ascii="宋体" w:hAnsi="宋体" w:eastAsia="宋体"/>
      <w:b/>
      <w:color w:val="000000"/>
      <w:sz w:val="32"/>
    </w:rPr>
  </w:style>
  <w:style w:type="paragraph" w:customStyle="1" w:styleId="29">
    <w:name w:val="FZ标题1"/>
    <w:basedOn w:val="3"/>
    <w:link w:val="28"/>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30">
    <w:name w:val="FZ标题2 字符"/>
    <w:basedOn w:val="20"/>
    <w:link w:val="31"/>
    <w:qFormat/>
    <w:locked/>
    <w:uiPriority w:val="0"/>
    <w:rPr>
      <w:rFonts w:eastAsia="黑体"/>
      <w:b/>
      <w:bCs/>
      <w:color w:val="000000"/>
      <w:kern w:val="2"/>
      <w:sz w:val="28"/>
      <w:szCs w:val="44"/>
    </w:rPr>
  </w:style>
  <w:style w:type="paragraph" w:customStyle="1" w:styleId="31">
    <w:name w:val="FZ标题2"/>
    <w:basedOn w:val="4"/>
    <w:link w:val="30"/>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2">
    <w:name w:val="FZ标题3 字符"/>
    <w:basedOn w:val="20"/>
    <w:link w:val="33"/>
    <w:qFormat/>
    <w:locked/>
    <w:uiPriority w:val="0"/>
    <w:rPr>
      <w:rFonts w:eastAsia="仿宋_GB2312" w:cstheme="majorBidi"/>
      <w:b/>
      <w:bCs/>
      <w:color w:val="000000"/>
      <w:kern w:val="2"/>
      <w:sz w:val="28"/>
      <w:szCs w:val="32"/>
    </w:rPr>
  </w:style>
  <w:style w:type="paragraph" w:customStyle="1" w:styleId="33">
    <w:name w:val="FZ标题3"/>
    <w:basedOn w:val="5"/>
    <w:link w:val="32"/>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4">
    <w:name w:val="FZ标题4 字符"/>
    <w:basedOn w:val="20"/>
    <w:link w:val="35"/>
    <w:qFormat/>
    <w:locked/>
    <w:uiPriority w:val="0"/>
    <w:rPr>
      <w:rFonts w:ascii="仿宋_GB2312" w:eastAsia="仿宋_GB2312"/>
      <w:bCs/>
      <w:color w:val="000000"/>
      <w:kern w:val="2"/>
      <w:sz w:val="28"/>
      <w:szCs w:val="32"/>
    </w:rPr>
  </w:style>
  <w:style w:type="paragraph" w:customStyle="1" w:styleId="35">
    <w:name w:val="FZ标题4"/>
    <w:basedOn w:val="6"/>
    <w:link w:val="34"/>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6">
    <w:name w:val="FZ标题5 字符"/>
    <w:basedOn w:val="20"/>
    <w:link w:val="37"/>
    <w:qFormat/>
    <w:locked/>
    <w:uiPriority w:val="0"/>
    <w:rPr>
      <w:rFonts w:hint="eastAsia" w:ascii="宋体" w:hAnsi="宋体" w:eastAsia="宋体" w:cstheme="majorBidi"/>
      <w:bCs/>
      <w:color w:val="000000"/>
      <w:szCs w:val="28"/>
    </w:rPr>
  </w:style>
  <w:style w:type="paragraph" w:customStyle="1" w:styleId="37">
    <w:name w:val="FZ标题5"/>
    <w:basedOn w:val="7"/>
    <w:link w:val="36"/>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8">
    <w:name w:val="标题 6 Char"/>
    <w:basedOn w:val="20"/>
    <w:link w:val="8"/>
    <w:semiHidden/>
    <w:qFormat/>
    <w:uiPriority w:val="9"/>
    <w:rPr>
      <w:rFonts w:asciiTheme="majorHAnsi" w:hAnsiTheme="majorHAnsi" w:eastAsiaTheme="majorEastAsia" w:cstheme="majorBidi"/>
      <w:b/>
      <w:bCs/>
      <w:kern w:val="2"/>
      <w:sz w:val="24"/>
      <w:szCs w:val="24"/>
    </w:rPr>
  </w:style>
  <w:style w:type="character" w:customStyle="1" w:styleId="39">
    <w:name w:val="FZ标题6 字符"/>
    <w:basedOn w:val="20"/>
    <w:link w:val="40"/>
    <w:qFormat/>
    <w:locked/>
    <w:uiPriority w:val="0"/>
    <w:rPr>
      <w:rFonts w:hint="eastAsia" w:ascii="宋体" w:hAnsi="宋体" w:eastAsia="宋体"/>
      <w:bCs/>
      <w:color w:val="000000"/>
      <w:szCs w:val="28"/>
    </w:rPr>
  </w:style>
  <w:style w:type="paragraph" w:customStyle="1" w:styleId="40">
    <w:name w:val="FZ标题6"/>
    <w:basedOn w:val="8"/>
    <w:link w:val="39"/>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1">
    <w:name w:val="FZ表格标题行首列 字符"/>
    <w:basedOn w:val="20"/>
    <w:link w:val="42"/>
    <w:qFormat/>
    <w:locked/>
    <w:uiPriority w:val="0"/>
    <w:rPr>
      <w:rFonts w:hint="eastAsia" w:ascii="宋体" w:hAnsi="宋体" w:eastAsia="宋体"/>
      <w:color w:val="000000"/>
      <w:sz w:val="18"/>
    </w:rPr>
  </w:style>
  <w:style w:type="paragraph" w:customStyle="1" w:styleId="42">
    <w:name w:val="FZ表格标题行首列"/>
    <w:basedOn w:val="1"/>
    <w:link w:val="41"/>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3">
    <w:name w:val="FZ表格标题行 字符"/>
    <w:basedOn w:val="20"/>
    <w:link w:val="44"/>
    <w:qFormat/>
    <w:locked/>
    <w:uiPriority w:val="0"/>
    <w:rPr>
      <w:rFonts w:hint="eastAsia" w:ascii="宋体" w:hAnsi="宋体" w:eastAsia="宋体"/>
      <w:color w:val="000000"/>
      <w:sz w:val="18"/>
    </w:rPr>
  </w:style>
  <w:style w:type="paragraph" w:customStyle="1" w:styleId="44">
    <w:name w:val="FZ表格标题行"/>
    <w:basedOn w:val="1"/>
    <w:link w:val="43"/>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5">
    <w:name w:val="FZ表格正文行首列 字符"/>
    <w:basedOn w:val="20"/>
    <w:link w:val="46"/>
    <w:qFormat/>
    <w:locked/>
    <w:uiPriority w:val="0"/>
    <w:rPr>
      <w:rFonts w:hint="eastAsia" w:ascii="宋体" w:hAnsi="宋体" w:eastAsia="宋体"/>
      <w:color w:val="000000"/>
      <w:sz w:val="18"/>
    </w:rPr>
  </w:style>
  <w:style w:type="paragraph" w:customStyle="1" w:styleId="46">
    <w:name w:val="FZ表格正文行首列"/>
    <w:basedOn w:val="1"/>
    <w:link w:val="45"/>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7">
    <w:name w:val="FZ表格正文行 字符"/>
    <w:basedOn w:val="20"/>
    <w:link w:val="48"/>
    <w:qFormat/>
    <w:locked/>
    <w:uiPriority w:val="0"/>
    <w:rPr>
      <w:rFonts w:hint="eastAsia" w:ascii="宋体" w:hAnsi="宋体" w:eastAsia="宋体"/>
      <w:color w:val="000000"/>
      <w:sz w:val="18"/>
    </w:rPr>
  </w:style>
  <w:style w:type="paragraph" w:customStyle="1" w:styleId="48">
    <w:name w:val="FZ表格正文行"/>
    <w:basedOn w:val="1"/>
    <w:link w:val="47"/>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9">
    <w:name w:val="FZ表格合计行首列 字符"/>
    <w:basedOn w:val="20"/>
    <w:link w:val="50"/>
    <w:qFormat/>
    <w:locked/>
    <w:uiPriority w:val="0"/>
    <w:rPr>
      <w:rFonts w:hint="eastAsia" w:ascii="宋体" w:hAnsi="宋体" w:eastAsia="宋体"/>
      <w:color w:val="000000"/>
      <w:sz w:val="18"/>
    </w:rPr>
  </w:style>
  <w:style w:type="paragraph" w:customStyle="1" w:styleId="50">
    <w:name w:val="FZ表格合计行首列"/>
    <w:basedOn w:val="1"/>
    <w:link w:val="49"/>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1">
    <w:name w:val="FZ表格合计行 字符"/>
    <w:basedOn w:val="20"/>
    <w:link w:val="52"/>
    <w:qFormat/>
    <w:locked/>
    <w:uiPriority w:val="0"/>
    <w:rPr>
      <w:rFonts w:hint="eastAsia" w:ascii="宋体" w:hAnsi="宋体" w:eastAsia="宋体"/>
      <w:color w:val="000000"/>
      <w:sz w:val="18"/>
    </w:rPr>
  </w:style>
  <w:style w:type="paragraph" w:customStyle="1" w:styleId="52">
    <w:name w:val="FZ表格合计行"/>
    <w:basedOn w:val="1"/>
    <w:link w:val="51"/>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3">
    <w:name w:val="FZ正文 字符"/>
    <w:basedOn w:val="20"/>
    <w:link w:val="54"/>
    <w:qFormat/>
    <w:locked/>
    <w:uiPriority w:val="0"/>
    <w:rPr>
      <w:rFonts w:ascii="Times New Roman" w:hAnsi="Times New Roman" w:eastAsia="仿宋_GB2312" w:cs="Times New Roman"/>
      <w:color w:val="000000"/>
      <w:kern w:val="2"/>
      <w:sz w:val="28"/>
      <w:szCs w:val="22"/>
    </w:rPr>
  </w:style>
  <w:style w:type="paragraph" w:customStyle="1" w:styleId="54">
    <w:name w:val="FZ正文"/>
    <w:basedOn w:val="1"/>
    <w:link w:val="53"/>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5">
    <w:name w:val="FZ副标题 字符"/>
    <w:basedOn w:val="20"/>
    <w:link w:val="56"/>
    <w:qFormat/>
    <w:locked/>
    <w:uiPriority w:val="0"/>
    <w:rPr>
      <w:rFonts w:hint="eastAsia" w:ascii="宋体" w:hAnsi="宋体" w:eastAsia="宋体"/>
      <w:color w:val="000000"/>
    </w:rPr>
  </w:style>
  <w:style w:type="paragraph" w:customStyle="1" w:styleId="56">
    <w:name w:val="FZ副标题"/>
    <w:basedOn w:val="1"/>
    <w:link w:val="55"/>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7">
    <w:name w:val="FZ落款 字符"/>
    <w:basedOn w:val="20"/>
    <w:link w:val="58"/>
    <w:qFormat/>
    <w:locked/>
    <w:uiPriority w:val="0"/>
    <w:rPr>
      <w:rFonts w:hint="eastAsia" w:ascii="宋体" w:hAnsi="宋体" w:eastAsia="宋体"/>
      <w:color w:val="000000"/>
    </w:rPr>
  </w:style>
  <w:style w:type="paragraph" w:customStyle="1" w:styleId="58">
    <w:name w:val="FZ落款"/>
    <w:basedOn w:val="1"/>
    <w:link w:val="57"/>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9">
    <w:name w:val="FZ注释 字符"/>
    <w:basedOn w:val="20"/>
    <w:link w:val="60"/>
    <w:qFormat/>
    <w:locked/>
    <w:uiPriority w:val="0"/>
    <w:rPr>
      <w:rFonts w:hint="eastAsia" w:ascii="宋体" w:hAnsi="宋体" w:eastAsia="宋体"/>
      <w:color w:val="000000"/>
      <w:sz w:val="18"/>
    </w:rPr>
  </w:style>
  <w:style w:type="paragraph" w:customStyle="1" w:styleId="60">
    <w:name w:val="FZ注释"/>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1">
    <w:name w:val="FZ小标题 字符"/>
    <w:basedOn w:val="20"/>
    <w:link w:val="62"/>
    <w:qFormat/>
    <w:locked/>
    <w:uiPriority w:val="0"/>
    <w:rPr>
      <w:rFonts w:hint="eastAsia" w:ascii="宋体" w:hAnsi="宋体" w:eastAsia="宋体"/>
      <w:color w:val="000000"/>
      <w:sz w:val="18"/>
    </w:rPr>
  </w:style>
  <w:style w:type="paragraph" w:customStyle="1" w:styleId="62">
    <w:name w:val="FZ小标题"/>
    <w:basedOn w:val="1"/>
    <w:link w:val="61"/>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3">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4">
    <w:name w:val="标题 7 Char"/>
    <w:basedOn w:val="20"/>
    <w:link w:val="9"/>
    <w:semiHidden/>
    <w:qFormat/>
    <w:uiPriority w:val="9"/>
    <w:rPr>
      <w:rFonts w:asciiTheme="minorHAnsi" w:hAnsiTheme="minorHAnsi" w:eastAsiaTheme="minorEastAsia"/>
      <w:b/>
      <w:bCs/>
      <w:kern w:val="2"/>
      <w:sz w:val="24"/>
      <w:szCs w:val="24"/>
    </w:rPr>
  </w:style>
  <w:style w:type="character" w:customStyle="1" w:styleId="65">
    <w:name w:val="标题 8 Char"/>
    <w:basedOn w:val="20"/>
    <w:link w:val="10"/>
    <w:semiHidden/>
    <w:qFormat/>
    <w:uiPriority w:val="9"/>
    <w:rPr>
      <w:rFonts w:asciiTheme="majorHAnsi" w:hAnsiTheme="majorHAnsi" w:eastAsiaTheme="majorEastAsia" w:cstheme="majorBidi"/>
      <w:kern w:val="2"/>
      <w:sz w:val="24"/>
      <w:szCs w:val="24"/>
    </w:rPr>
  </w:style>
  <w:style w:type="character" w:customStyle="1" w:styleId="66">
    <w:name w:val="标题 9 Char"/>
    <w:basedOn w:val="20"/>
    <w:link w:val="11"/>
    <w:semiHidden/>
    <w:qFormat/>
    <w:uiPriority w:val="9"/>
    <w:rPr>
      <w:rFonts w:asciiTheme="majorHAnsi" w:hAnsiTheme="majorHAnsi" w:eastAsiaTheme="majorEastAsia" w:cstheme="majorBidi"/>
      <w:kern w:val="2"/>
      <w:sz w:val="21"/>
      <w:szCs w:val="21"/>
    </w:rPr>
  </w:style>
  <w:style w:type="character" w:customStyle="1" w:styleId="67">
    <w:name w:val="页眉 Char"/>
    <w:basedOn w:val="20"/>
    <w:link w:val="16"/>
    <w:qFormat/>
    <w:uiPriority w:val="99"/>
    <w:rPr>
      <w:rFonts w:asciiTheme="minorHAnsi" w:hAnsiTheme="minorHAnsi" w:eastAsiaTheme="minorEastAsia"/>
      <w:kern w:val="2"/>
      <w:sz w:val="18"/>
      <w:szCs w:val="18"/>
    </w:rPr>
  </w:style>
  <w:style w:type="character" w:customStyle="1" w:styleId="68">
    <w:name w:val="页脚 Char"/>
    <w:basedOn w:val="20"/>
    <w:link w:val="15"/>
    <w:qFormat/>
    <w:uiPriority w:val="99"/>
    <w:rPr>
      <w:rFonts w:asciiTheme="minorHAnsi" w:hAnsiTheme="minorHAnsi" w:eastAsiaTheme="minorEastAsia"/>
      <w:kern w:val="2"/>
      <w:sz w:val="18"/>
      <w:szCs w:val="18"/>
    </w:rPr>
  </w:style>
  <w:style w:type="character" w:customStyle="1" w:styleId="69">
    <w:name w:val="批注文字 Char"/>
    <w:basedOn w:val="20"/>
    <w:link w:val="12"/>
    <w:semiHidden/>
    <w:qFormat/>
    <w:uiPriority w:val="99"/>
    <w:rPr>
      <w:rFonts w:asciiTheme="minorHAnsi" w:hAnsiTheme="minorHAnsi" w:eastAsiaTheme="minorEastAsia"/>
      <w:kern w:val="2"/>
      <w:sz w:val="21"/>
      <w:szCs w:val="22"/>
    </w:rPr>
  </w:style>
  <w:style w:type="character" w:customStyle="1" w:styleId="70">
    <w:name w:val="批注主题 Char"/>
    <w:basedOn w:val="69"/>
    <w:link w:val="18"/>
    <w:semiHidden/>
    <w:qFormat/>
    <w:uiPriority w:val="99"/>
    <w:rPr>
      <w:rFonts w:asciiTheme="minorHAnsi" w:hAnsiTheme="minorHAnsi" w:eastAsiaTheme="minorEastAsia"/>
      <w:b/>
      <w:bCs/>
      <w:kern w:val="2"/>
      <w:sz w:val="21"/>
      <w:szCs w:val="22"/>
    </w:rPr>
  </w:style>
  <w:style w:type="character" w:customStyle="1" w:styleId="71">
    <w:name w:val="批注框文本 Char"/>
    <w:basedOn w:val="20"/>
    <w:link w:val="14"/>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5786</Words>
  <Characters>6258</Characters>
  <Lines>9</Lines>
  <Paragraphs>15</Paragraphs>
  <TotalTime>13</TotalTime>
  <ScaleCrop>false</ScaleCrop>
  <LinksUpToDate>false</LinksUpToDate>
  <CharactersWithSpaces>6550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2025-12-15T09:28:47Z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D8042D538B4E4757846D3CB2238C52CD_12</vt:lpwstr>
  </property>
  <property fmtid="{D5CDD505-2E9C-101B-9397-08002B2CF9AE}" pid="4" name="KSOTemplateDocerSaveRecord">
    <vt:lpwstr>eyJoZGlkIjoiOTIyNzdhMmIxNTc5NDEzMzgyZTVhMjkwNDNiZTdlNzMiLCJ1c2VySWQiOiIxMTQxMzI3MTgwIn0=</vt:lpwstr>
  </property>
</Properties>
</file>