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25E3B7C2">
      <w:pPr>
        <w:spacing w:before="120" w:after="120" w:line="480" w:lineRule="auto"/>
        <w:ind w:firstLine="883" w:firstLineChars="200"/>
        <w:jc w:val="center"/>
        <w:outlineLvl w:val="0"/>
        <w:rPr>
          <w:rFonts w:ascii="仿宋_GB2312" w:hAnsi="Arial"/>
          <w:b/>
          <w:sz w:val="44"/>
          <w:szCs w:val="44"/>
        </w:rPr>
      </w:pPr>
    </w:p>
    <w:p w14:paraId="44B4DA5C">
      <w:pPr>
        <w:jc w:val="center"/>
        <w:rPr>
          <w:rFonts w:ascii="方正大标宋简体" w:hAnsi="华文中宋" w:eastAsia="方正大标宋简体" w:cs="宋体"/>
          <w:kern w:val="0"/>
          <w:sz w:val="52"/>
          <w:szCs w:val="52"/>
        </w:rPr>
      </w:pPr>
      <w:r>
        <w:rPr>
          <w:rFonts w:hint="eastAsia" w:ascii="方正大标宋简体" w:hAnsi="华文中宋" w:eastAsia="方正大标宋简体" w:cs="宋体"/>
          <w:kern w:val="0"/>
          <w:sz w:val="52"/>
          <w:szCs w:val="52"/>
        </w:rPr>
        <w:t>和田地区于田县乡村振兴衔接资金项目支出绩效自评报告</w:t>
      </w:r>
    </w:p>
    <w:p w14:paraId="0D163E60">
      <w:pPr>
        <w:spacing w:line="700" w:lineRule="exact"/>
        <w:ind w:firstLine="1040" w:firstLineChars="200"/>
        <w:jc w:val="center"/>
        <w:rPr>
          <w:rFonts w:ascii="方正大标宋简体" w:hAnsi="华文中宋" w:eastAsia="方正大标宋简体" w:cs="宋体"/>
          <w:kern w:val="0"/>
          <w:sz w:val="52"/>
          <w:szCs w:val="52"/>
        </w:rPr>
      </w:pPr>
    </w:p>
    <w:p w14:paraId="2D169CFC">
      <w:pPr>
        <w:spacing w:line="540" w:lineRule="exact"/>
        <w:ind w:firstLine="720" w:firstLineChars="200"/>
        <w:jc w:val="center"/>
        <w:rPr>
          <w:rFonts w:hAnsi="宋体" w:cs="宋体"/>
          <w:kern w:val="0"/>
          <w:sz w:val="36"/>
          <w:szCs w:val="36"/>
        </w:rPr>
      </w:pPr>
      <w:r>
        <w:rPr>
          <w:rFonts w:hint="eastAsia" w:hAnsi="宋体" w:cs="宋体"/>
          <w:kern w:val="0"/>
          <w:sz w:val="36"/>
          <w:szCs w:val="36"/>
        </w:rPr>
        <w:t>（202</w:t>
      </w:r>
      <w:r>
        <w:rPr>
          <w:rFonts w:hint="eastAsia" w:hAnsi="宋体" w:cs="宋体"/>
          <w:kern w:val="0"/>
          <w:sz w:val="36"/>
          <w:szCs w:val="36"/>
          <w:lang w:val="en-US" w:eastAsia="zh-CN"/>
        </w:rPr>
        <w:t>4</w:t>
      </w:r>
      <w:r>
        <w:rPr>
          <w:rFonts w:hint="eastAsia" w:hAnsi="宋体" w:cs="宋体"/>
          <w:kern w:val="0"/>
          <w:sz w:val="36"/>
          <w:szCs w:val="36"/>
        </w:rPr>
        <w:t>年度）</w:t>
      </w:r>
    </w:p>
    <w:p w14:paraId="0819AAFC">
      <w:pPr>
        <w:spacing w:line="540" w:lineRule="exact"/>
        <w:ind w:firstLine="600" w:firstLineChars="200"/>
        <w:jc w:val="center"/>
        <w:rPr>
          <w:rFonts w:hAnsi="宋体" w:cs="宋体"/>
          <w:kern w:val="0"/>
          <w:sz w:val="30"/>
          <w:szCs w:val="30"/>
        </w:rPr>
      </w:pPr>
    </w:p>
    <w:p w14:paraId="3EF35AF5">
      <w:pPr>
        <w:spacing w:line="540" w:lineRule="exact"/>
        <w:ind w:firstLine="600" w:firstLineChars="200"/>
        <w:jc w:val="center"/>
        <w:rPr>
          <w:rFonts w:hAnsi="宋体" w:cs="宋体"/>
          <w:kern w:val="0"/>
          <w:sz w:val="30"/>
          <w:szCs w:val="30"/>
        </w:rPr>
      </w:pPr>
    </w:p>
    <w:p w14:paraId="1B935B1A">
      <w:pPr>
        <w:spacing w:line="540" w:lineRule="exact"/>
        <w:ind w:firstLine="600" w:firstLineChars="200"/>
        <w:jc w:val="center"/>
        <w:rPr>
          <w:rFonts w:hAnsi="宋体" w:cs="宋体"/>
          <w:kern w:val="0"/>
          <w:sz w:val="30"/>
          <w:szCs w:val="30"/>
        </w:rPr>
      </w:pPr>
    </w:p>
    <w:p w14:paraId="37C81D04">
      <w:pPr>
        <w:spacing w:line="540" w:lineRule="exact"/>
        <w:ind w:firstLine="600" w:firstLineChars="200"/>
        <w:jc w:val="center"/>
        <w:rPr>
          <w:rFonts w:hAnsi="宋体" w:cs="宋体"/>
          <w:kern w:val="0"/>
          <w:sz w:val="30"/>
          <w:szCs w:val="30"/>
        </w:rPr>
      </w:pPr>
    </w:p>
    <w:p w14:paraId="595525BA">
      <w:pPr>
        <w:spacing w:line="540" w:lineRule="exact"/>
        <w:ind w:firstLine="600" w:firstLineChars="200"/>
        <w:rPr>
          <w:rFonts w:hAnsi="宋体" w:cs="宋体"/>
          <w:kern w:val="0"/>
          <w:sz w:val="30"/>
          <w:szCs w:val="30"/>
        </w:rPr>
      </w:pPr>
    </w:p>
    <w:p w14:paraId="728D235A">
      <w:pPr>
        <w:spacing w:line="540" w:lineRule="exact"/>
        <w:ind w:firstLine="600" w:firstLineChars="200"/>
        <w:rPr>
          <w:rFonts w:hAnsi="宋体" w:cs="宋体"/>
          <w:kern w:val="0"/>
          <w:sz w:val="30"/>
          <w:szCs w:val="30"/>
        </w:rPr>
      </w:pPr>
    </w:p>
    <w:p w14:paraId="611C6868">
      <w:pPr>
        <w:spacing w:line="360" w:lineRule="auto"/>
        <w:ind w:left="640" w:leftChars="200" w:firstLine="640" w:firstLineChars="200"/>
        <w:rPr>
          <w:rFonts w:ascii="仿宋" w:hAnsi="仿宋" w:eastAsia="仿宋" w:cs="仿宋"/>
          <w:szCs w:val="32"/>
        </w:rPr>
      </w:pPr>
    </w:p>
    <w:p w14:paraId="6CB89184">
      <w:pPr>
        <w:spacing w:line="360" w:lineRule="auto"/>
        <w:ind w:left="640" w:leftChars="200" w:firstLine="640" w:firstLineChars="200"/>
        <w:rPr>
          <w:rFonts w:ascii="仿宋" w:hAnsi="仿宋" w:eastAsia="仿宋" w:cs="仿宋"/>
          <w:szCs w:val="32"/>
        </w:rPr>
      </w:pPr>
    </w:p>
    <w:p w14:paraId="1BE4F4DA">
      <w:pPr>
        <w:pStyle w:val="2"/>
      </w:pPr>
    </w:p>
    <w:p w14:paraId="3F531FFF">
      <w:pPr>
        <w:spacing w:line="560" w:lineRule="exact"/>
        <w:ind w:left="640" w:leftChars="200" w:firstLine="640" w:firstLineChars="200"/>
        <w:rPr>
          <w:rFonts w:ascii="仿宋" w:hAnsi="仿宋" w:eastAsia="仿宋" w:cs="仿宋"/>
          <w:szCs w:val="32"/>
        </w:rPr>
      </w:pPr>
    </w:p>
    <w:p w14:paraId="4566A1DD">
      <w:pPr>
        <w:pStyle w:val="70"/>
        <w:spacing w:line="360" w:lineRule="auto"/>
        <w:ind w:left="2826" w:leftChars="183" w:right="320" w:rightChars="100" w:hanging="2240" w:hangingChars="700"/>
        <w:rPr>
          <w:rFonts w:ascii="仿宋" w:hAnsi="仿宋" w:eastAsia="仿宋" w:cs="仿宋"/>
          <w:szCs w:val="32"/>
        </w:rPr>
      </w:pPr>
      <w:r>
        <w:rPr>
          <w:rFonts w:hint="eastAsia" w:ascii="仿宋" w:hAnsi="仿宋" w:eastAsia="仿宋" w:cs="仿宋"/>
          <w:szCs w:val="32"/>
        </w:rPr>
        <w:t>项目名称:于田县中药材交易市场排水管网建设项目</w:t>
      </w:r>
    </w:p>
    <w:p w14:paraId="65A0C271">
      <w:pPr>
        <w:spacing w:line="560" w:lineRule="exact"/>
        <w:ind w:firstLine="640" w:firstLineChars="200"/>
        <w:rPr>
          <w:rFonts w:hint="default" w:ascii="仿宋" w:hAnsi="仿宋" w:eastAsia="仿宋" w:cs="仿宋"/>
          <w:szCs w:val="32"/>
          <w:lang w:val="en-US" w:eastAsia="zh-CN"/>
        </w:rPr>
      </w:pPr>
      <w:r>
        <w:rPr>
          <w:rFonts w:hint="eastAsia" w:ascii="仿宋" w:hAnsi="仿宋" w:eastAsia="仿宋" w:cs="仿宋"/>
          <w:szCs w:val="32"/>
        </w:rPr>
        <w:t>实施单位(公章):于田县</w:t>
      </w:r>
      <w:r>
        <w:rPr>
          <w:rFonts w:hint="eastAsia" w:ascii="仿宋" w:hAnsi="仿宋" w:eastAsia="仿宋" w:cs="仿宋"/>
          <w:szCs w:val="32"/>
          <w:lang w:val="en-US" w:eastAsia="zh-CN"/>
        </w:rPr>
        <w:t>商务和工业信息化局</w:t>
      </w:r>
    </w:p>
    <w:p w14:paraId="0B4FA112">
      <w:pPr>
        <w:spacing w:line="560" w:lineRule="exact"/>
        <w:ind w:firstLine="640" w:firstLineChars="200"/>
        <w:rPr>
          <w:rFonts w:ascii="仿宋" w:hAnsi="仿宋" w:eastAsia="仿宋" w:cs="仿宋"/>
          <w:szCs w:val="32"/>
        </w:rPr>
      </w:pPr>
      <w:r>
        <w:rPr>
          <w:rFonts w:hint="eastAsia" w:ascii="仿宋" w:hAnsi="仿宋" w:eastAsia="仿宋" w:cs="仿宋"/>
          <w:szCs w:val="32"/>
        </w:rPr>
        <w:t>主管部门(公章):于田</w:t>
      </w:r>
      <w:r>
        <w:rPr>
          <w:rFonts w:ascii="仿宋" w:hAnsi="仿宋" w:eastAsia="仿宋" w:cs="仿宋"/>
          <w:szCs w:val="32"/>
        </w:rPr>
        <w:t>县</w:t>
      </w:r>
      <w:r>
        <w:rPr>
          <w:rFonts w:hint="eastAsia" w:ascii="仿宋" w:hAnsi="仿宋" w:eastAsia="仿宋" w:cs="仿宋"/>
          <w:szCs w:val="32"/>
          <w:lang w:val="en-US" w:eastAsia="zh-CN"/>
        </w:rPr>
        <w:t>商务和工业信息化</w:t>
      </w:r>
      <w:r>
        <w:rPr>
          <w:rFonts w:hint="eastAsia" w:ascii="仿宋" w:hAnsi="仿宋" w:eastAsia="仿宋" w:cs="仿宋"/>
          <w:szCs w:val="32"/>
        </w:rPr>
        <w:t>局</w:t>
      </w:r>
    </w:p>
    <w:p w14:paraId="11BBEB41">
      <w:pPr>
        <w:spacing w:line="560" w:lineRule="exact"/>
        <w:ind w:firstLine="640" w:firstLineChars="200"/>
        <w:rPr>
          <w:rFonts w:hint="eastAsia" w:ascii="仿宋" w:hAnsi="仿宋" w:eastAsia="仿宋" w:cs="仿宋"/>
          <w:szCs w:val="32"/>
          <w:lang w:eastAsia="zh-CN"/>
        </w:rPr>
      </w:pPr>
      <w:r>
        <w:rPr>
          <w:rFonts w:hint="eastAsia" w:ascii="仿宋" w:hAnsi="仿宋" w:eastAsia="仿宋" w:cs="仿宋"/>
          <w:szCs w:val="32"/>
        </w:rPr>
        <w:t>项目负责人(签章):</w:t>
      </w:r>
      <w:r>
        <w:rPr>
          <w:rFonts w:hint="eastAsia" w:ascii="仿宋" w:hAnsi="仿宋" w:eastAsia="仿宋" w:cs="仿宋"/>
          <w:szCs w:val="32"/>
          <w:lang w:val="en-US" w:eastAsia="zh-CN"/>
        </w:rPr>
        <w:t>陈雪飞</w:t>
      </w:r>
    </w:p>
    <w:p w14:paraId="2389F3E5">
      <w:pPr>
        <w:spacing w:line="560" w:lineRule="exact"/>
        <w:ind w:firstLine="640" w:firstLineChars="200"/>
      </w:pPr>
      <w:r>
        <w:rPr>
          <w:rFonts w:hint="eastAsia" w:ascii="仿宋" w:hAnsi="仿宋" w:eastAsia="仿宋" w:cs="仿宋"/>
          <w:szCs w:val="32"/>
        </w:rPr>
        <w:t>填报时间:</w:t>
      </w:r>
      <w:r>
        <w:rPr>
          <w:rFonts w:ascii="仿宋" w:hAnsi="仿宋" w:eastAsia="仿宋" w:cs="仿宋"/>
          <w:szCs w:val="32"/>
        </w:rPr>
        <w:t>20</w:t>
      </w:r>
      <w:r>
        <w:rPr>
          <w:rFonts w:hint="eastAsia" w:ascii="仿宋" w:hAnsi="仿宋" w:eastAsia="仿宋" w:cs="仿宋"/>
          <w:szCs w:val="32"/>
        </w:rPr>
        <w:t>2</w:t>
      </w:r>
      <w:r>
        <w:rPr>
          <w:rFonts w:hint="eastAsia" w:ascii="仿宋" w:hAnsi="仿宋" w:eastAsia="仿宋" w:cs="仿宋"/>
          <w:szCs w:val="32"/>
          <w:lang w:val="en-US" w:eastAsia="zh-CN"/>
        </w:rPr>
        <w:t>5</w:t>
      </w:r>
      <w:r>
        <w:rPr>
          <w:rFonts w:ascii="仿宋" w:hAnsi="仿宋" w:eastAsia="仿宋" w:cs="仿宋"/>
          <w:szCs w:val="32"/>
        </w:rPr>
        <w:t>年</w:t>
      </w:r>
      <w:r>
        <w:rPr>
          <w:rFonts w:hint="eastAsia" w:ascii="仿宋" w:hAnsi="仿宋" w:eastAsia="仿宋" w:cs="仿宋"/>
          <w:szCs w:val="32"/>
          <w:lang w:val="en-US" w:eastAsia="zh-CN"/>
        </w:rPr>
        <w:t>2</w:t>
      </w:r>
      <w:r>
        <w:rPr>
          <w:rFonts w:ascii="仿宋" w:hAnsi="仿宋" w:eastAsia="仿宋" w:cs="仿宋"/>
          <w:szCs w:val="32"/>
        </w:rPr>
        <w:t>月</w:t>
      </w:r>
      <w:r>
        <w:rPr>
          <w:rFonts w:hint="eastAsia" w:ascii="仿宋" w:hAnsi="仿宋" w:eastAsia="仿宋" w:cs="仿宋"/>
          <w:szCs w:val="32"/>
          <w:lang w:val="en-US" w:eastAsia="zh-CN"/>
        </w:rPr>
        <w:t>21</w:t>
      </w:r>
      <w:r>
        <w:rPr>
          <w:rFonts w:ascii="仿宋" w:hAnsi="仿宋" w:eastAsia="仿宋" w:cs="仿宋"/>
          <w:szCs w:val="32"/>
        </w:rPr>
        <w:t>日</w:t>
      </w:r>
    </w:p>
    <w:p w14:paraId="147E9FB9">
      <w:pPr>
        <w:spacing w:line="360" w:lineRule="auto"/>
        <w:ind w:firstLine="640" w:firstLineChars="200"/>
        <w:rPr>
          <w:rFonts w:ascii="仿宋_GB2312" w:hAnsi="仿宋_GB2312" w:cs="仿宋_GB2312"/>
          <w:kern w:val="0"/>
          <w:szCs w:val="32"/>
          <w:lang w:bidi="en-US"/>
        </w:rPr>
      </w:pPr>
    </w:p>
    <w:p w14:paraId="27F6218A">
      <w:pPr>
        <w:spacing w:line="360" w:lineRule="auto"/>
        <w:ind w:firstLine="627" w:firstLineChars="200"/>
        <w:rPr>
          <w:rStyle w:val="19"/>
          <w:rFonts w:ascii="黑体" w:hAnsi="黑体" w:eastAsia="黑体" w:cs="Times New Roman"/>
          <w:spacing w:val="-4"/>
          <w:szCs w:val="32"/>
        </w:rPr>
      </w:pPr>
      <w:r>
        <w:rPr>
          <w:rStyle w:val="19"/>
          <w:rFonts w:hint="eastAsia" w:ascii="黑体" w:hAnsi="黑体" w:eastAsia="黑体" w:cs="Times New Roman"/>
          <w:spacing w:val="-4"/>
          <w:szCs w:val="32"/>
        </w:rPr>
        <w:t>一、绩效目标分解下达情况</w:t>
      </w:r>
    </w:p>
    <w:p w14:paraId="486D9A44">
      <w:pPr>
        <w:spacing w:line="360" w:lineRule="auto"/>
        <w:ind w:firstLine="546" w:firstLineChars="200"/>
      </w:pPr>
      <w:r>
        <w:rPr>
          <w:rFonts w:hint="eastAsia" w:ascii="楷体_GB2312" w:hAnsi="楷体" w:cs="Times New Roman"/>
          <w:b/>
          <w:spacing w:val="-4"/>
          <w:sz w:val="28"/>
          <w:szCs w:val="32"/>
        </w:rPr>
        <w:t>（一）财政专项乡村振兴衔接资金下达预算及项目情况</w:t>
      </w:r>
    </w:p>
    <w:p w14:paraId="1B057389">
      <w:pPr>
        <w:pStyle w:val="52"/>
        <w:ind w:left="3" w:right="3" w:firstLine="562"/>
        <w:rPr>
          <w:rFonts w:ascii="仿宋_GB2312"/>
          <w:b/>
          <w:color w:val="auto"/>
          <w:szCs w:val="32"/>
        </w:rPr>
      </w:pPr>
      <w:r>
        <w:rPr>
          <w:rFonts w:hint="eastAsia" w:ascii="仿宋_GB2312"/>
          <w:b/>
          <w:color w:val="auto"/>
          <w:szCs w:val="32"/>
        </w:rPr>
        <w:t>1.下达预算情况</w:t>
      </w:r>
    </w:p>
    <w:p w14:paraId="75F84031">
      <w:pPr>
        <w:snapToGrid w:val="0"/>
        <w:spacing w:line="540" w:lineRule="exact"/>
        <w:ind w:firstLine="560" w:firstLineChars="200"/>
        <w:rPr>
          <w:rFonts w:ascii="Times New Roman" w:hAnsi="Times New Roman" w:eastAsia="仿宋_GB2312" w:cs="Times New Roman"/>
          <w:sz w:val="28"/>
        </w:rPr>
      </w:pPr>
      <w:r>
        <w:rPr>
          <w:rFonts w:hint="eastAsia" w:ascii="Times New Roman" w:hAnsi="Times New Roman" w:eastAsia="仿宋_GB2312" w:cs="Times New Roman"/>
          <w:sz w:val="28"/>
        </w:rPr>
        <w:t>本项目根据于田县</w:t>
      </w:r>
      <w:r>
        <w:rPr>
          <w:rFonts w:hint="eastAsia" w:ascii="Times New Roman" w:hAnsi="Times New Roman" w:eastAsia="仿宋_GB2312" w:cs="Times New Roman"/>
          <w:sz w:val="28"/>
          <w:lang w:val="en-US" w:eastAsia="zh-CN"/>
        </w:rPr>
        <w:t>发展和改革委员会</w:t>
      </w:r>
      <w:r>
        <w:rPr>
          <w:rFonts w:hint="eastAsia" w:ascii="Times New Roman" w:hAnsi="Times New Roman" w:eastAsia="仿宋_GB2312" w:cs="Times New Roman"/>
          <w:sz w:val="28"/>
        </w:rPr>
        <w:t>下发的《关于对于田县</w:t>
      </w:r>
      <w:r>
        <w:rPr>
          <w:rFonts w:hint="eastAsia" w:ascii="Times New Roman" w:hAnsi="Times New Roman" w:eastAsia="仿宋_GB2312" w:cs="Times New Roman"/>
          <w:sz w:val="28"/>
          <w:lang w:val="en-US" w:eastAsia="zh-CN"/>
        </w:rPr>
        <w:t>中药材交易市场排水管网建设项目实施方案</w:t>
      </w:r>
      <w:r>
        <w:rPr>
          <w:rFonts w:hint="eastAsia" w:ascii="Times New Roman" w:hAnsi="Times New Roman" w:eastAsia="仿宋_GB2312" w:cs="Times New Roman"/>
          <w:sz w:val="28"/>
        </w:rPr>
        <w:t>的批复》（于</w:t>
      </w:r>
      <w:r>
        <w:rPr>
          <w:rFonts w:hint="eastAsia" w:ascii="Times New Roman" w:hAnsi="Times New Roman" w:eastAsia="仿宋_GB2312" w:cs="Times New Roman"/>
          <w:sz w:val="28"/>
          <w:lang w:val="en-US" w:eastAsia="zh-CN"/>
        </w:rPr>
        <w:t>发该项目</w:t>
      </w:r>
      <w:r>
        <w:rPr>
          <w:rFonts w:hint="eastAsia" w:ascii="Times New Roman" w:hAnsi="Times New Roman" w:eastAsia="仿宋_GB2312" w:cs="Times New Roman"/>
          <w:sz w:val="28"/>
        </w:rPr>
        <w:t>〔202</w:t>
      </w:r>
      <w:r>
        <w:rPr>
          <w:rFonts w:hint="eastAsia" w:ascii="Times New Roman" w:hAnsi="Times New Roman" w:eastAsia="仿宋_GB2312" w:cs="Times New Roman"/>
          <w:sz w:val="28"/>
          <w:lang w:val="en-US" w:eastAsia="zh-CN"/>
        </w:rPr>
        <w:t>4</w:t>
      </w:r>
      <w:r>
        <w:rPr>
          <w:rFonts w:hint="eastAsia" w:ascii="Times New Roman" w:hAnsi="Times New Roman" w:eastAsia="仿宋_GB2312" w:cs="Times New Roman"/>
          <w:sz w:val="28"/>
        </w:rPr>
        <w:t>〕</w:t>
      </w:r>
      <w:r>
        <w:rPr>
          <w:rFonts w:hint="eastAsia" w:ascii="Times New Roman" w:hAnsi="Times New Roman" w:eastAsia="仿宋_GB2312" w:cs="Times New Roman"/>
          <w:sz w:val="28"/>
          <w:lang w:val="en-US" w:eastAsia="zh-CN"/>
        </w:rPr>
        <w:t>38</w:t>
      </w:r>
      <w:r>
        <w:rPr>
          <w:rFonts w:hint="eastAsia" w:ascii="Times New Roman" w:hAnsi="Times New Roman" w:eastAsia="仿宋_GB2312" w:cs="Times New Roman"/>
          <w:sz w:val="28"/>
        </w:rPr>
        <w:t>号）文</w:t>
      </w:r>
      <w:r>
        <w:rPr>
          <w:rFonts w:hint="eastAsia" w:ascii="Times New Roman" w:hAnsi="Times New Roman" w:eastAsia="仿宋_GB2312" w:cs="Times New Roman"/>
          <w:sz w:val="28"/>
          <w:lang w:val="en-US" w:eastAsia="zh-CN"/>
        </w:rPr>
        <w:t>件</w:t>
      </w:r>
      <w:r>
        <w:rPr>
          <w:rFonts w:hint="eastAsia" w:ascii="Times New Roman" w:hAnsi="Times New Roman" w:eastAsia="仿宋_GB2312" w:cs="Times New Roman"/>
          <w:sz w:val="28"/>
        </w:rPr>
        <w:t>批复实施，于田县</w:t>
      </w:r>
      <w:r>
        <w:rPr>
          <w:rFonts w:hint="eastAsia" w:ascii="Times New Roman" w:hAnsi="Times New Roman" w:eastAsia="仿宋_GB2312" w:cs="Times New Roman"/>
          <w:sz w:val="28"/>
          <w:lang w:val="en-US" w:eastAsia="zh-CN"/>
        </w:rPr>
        <w:t>中药材交易市场排水管网建设项目</w:t>
      </w:r>
      <w:r>
        <w:rPr>
          <w:rFonts w:hint="eastAsia" w:ascii="Times New Roman" w:hAnsi="Times New Roman" w:eastAsia="仿宋_GB2312" w:cs="Times New Roman"/>
          <w:sz w:val="28"/>
        </w:rPr>
        <w:t>预算安排总额为</w:t>
      </w:r>
      <w:r>
        <w:rPr>
          <w:rFonts w:hint="eastAsia" w:ascii="Times New Roman" w:hAnsi="Times New Roman" w:eastAsia="仿宋_GB2312" w:cs="Times New Roman"/>
          <w:sz w:val="28"/>
          <w:lang w:val="en-US" w:eastAsia="zh-CN"/>
        </w:rPr>
        <w:t>400</w:t>
      </w:r>
      <w:r>
        <w:rPr>
          <w:rFonts w:hint="eastAsia" w:ascii="Times New Roman" w:hAnsi="Times New Roman" w:eastAsia="仿宋_GB2312" w:cs="Times New Roman"/>
          <w:sz w:val="28"/>
        </w:rPr>
        <w:t>万元，其中：</w:t>
      </w:r>
      <w:r>
        <w:rPr>
          <w:rFonts w:hint="eastAsia" w:ascii="Times New Roman" w:hAnsi="Times New Roman" w:eastAsia="仿宋_GB2312" w:cs="Times New Roman"/>
          <w:sz w:val="28"/>
          <w:lang w:val="en-US" w:eastAsia="zh-CN"/>
        </w:rPr>
        <w:t>乡村振兴衔接资金400</w:t>
      </w:r>
      <w:r>
        <w:rPr>
          <w:rFonts w:hint="eastAsia" w:ascii="Times New Roman" w:hAnsi="Times New Roman" w:eastAsia="仿宋_GB2312" w:cs="Times New Roman"/>
          <w:sz w:val="28"/>
        </w:rPr>
        <w:t>万元。预算资金到位率为100.00%。</w:t>
      </w:r>
    </w:p>
    <w:p w14:paraId="051418DE">
      <w:pPr>
        <w:pStyle w:val="52"/>
        <w:spacing w:line="580" w:lineRule="exact"/>
        <w:ind w:left="3" w:right="3" w:firstLine="562"/>
        <w:rPr>
          <w:rFonts w:ascii="仿宋_GB2312"/>
          <w:b/>
          <w:color w:val="auto"/>
          <w:szCs w:val="32"/>
        </w:rPr>
      </w:pPr>
      <w:r>
        <w:rPr>
          <w:rFonts w:hint="eastAsia" w:ascii="仿宋_GB2312"/>
          <w:b/>
          <w:color w:val="auto"/>
          <w:szCs w:val="32"/>
        </w:rPr>
        <w:t>2.项目实施背景</w:t>
      </w:r>
    </w:p>
    <w:p w14:paraId="3E029814">
      <w:pPr>
        <w:snapToGrid w:val="0"/>
        <w:spacing w:line="540" w:lineRule="exact"/>
        <w:ind w:firstLine="560" w:firstLineChars="200"/>
        <w:rPr>
          <w:rFonts w:hint="eastAsia" w:ascii="Times New Roman" w:hAnsi="Times New Roman" w:eastAsia="仿宋_GB2312" w:cs="Times New Roman"/>
          <w:sz w:val="28"/>
        </w:rPr>
      </w:pPr>
      <w:r>
        <w:rPr>
          <w:rFonts w:hint="eastAsia" w:ascii="Times New Roman" w:hAnsi="Times New Roman" w:eastAsia="仿宋_GB2312" w:cs="Times New Roman"/>
          <w:sz w:val="28"/>
        </w:rPr>
        <w:t>于田县是一个典型的以农为主、农牧结合的县城，该县隶属和田地区，地处塔克拉玛干大沙漠南缘、昆仑山北麓，属暖温带内陆干旱荒漠气候，四季分明、昼夜温差大，光照充足，降水稀少，春夏多风沙和浮尘等灾害天气。主要产业是以养羊、养牛、养鸡为主的畜牧业，一大枣、核桃、杏、葡萄、大芸、红花、雪莲为主的种植业。于田县被称为“中国探险旅游之乡”、“中国大芸之乡”、“中国大叶紫花苜蓿之乡”、“中国玉石之乡”、“中国胡杨之乡”。</w:t>
      </w:r>
    </w:p>
    <w:p w14:paraId="5C8D44C2">
      <w:pPr>
        <w:snapToGrid w:val="0"/>
        <w:spacing w:line="540" w:lineRule="exact"/>
        <w:ind w:firstLine="560" w:firstLineChars="200"/>
        <w:rPr>
          <w:rFonts w:hint="eastAsia" w:ascii="Times New Roman" w:hAnsi="Times New Roman" w:eastAsia="仿宋_GB2312" w:cs="Times New Roman"/>
          <w:sz w:val="28"/>
        </w:rPr>
      </w:pPr>
      <w:r>
        <w:rPr>
          <w:rFonts w:hint="eastAsia" w:ascii="Times New Roman" w:hAnsi="Times New Roman" w:eastAsia="仿宋_GB2312" w:cs="Times New Roman"/>
          <w:sz w:val="28"/>
        </w:rPr>
        <w:t>中药材是中华文化的瑰宝，是中医药学的重要组成部分。随着人们对健康意识的增强和认知水平的提高，中药材在市场上的需求日益增长。由此带动了中药材交易市场的发展。</w:t>
      </w:r>
    </w:p>
    <w:p w14:paraId="0EC6B6F9">
      <w:pPr>
        <w:snapToGrid w:val="0"/>
        <w:spacing w:line="540" w:lineRule="exact"/>
        <w:ind w:firstLine="560" w:firstLineChars="200"/>
        <w:rPr>
          <w:rFonts w:hint="eastAsia" w:ascii="Times New Roman" w:hAnsi="Times New Roman" w:eastAsia="仿宋_GB2312" w:cs="Times New Roman"/>
          <w:sz w:val="28"/>
        </w:rPr>
      </w:pPr>
      <w:r>
        <w:rPr>
          <w:rFonts w:hint="eastAsia" w:ascii="Times New Roman" w:hAnsi="Times New Roman" w:eastAsia="仿宋_GB2312" w:cs="Times New Roman"/>
          <w:sz w:val="28"/>
        </w:rPr>
        <w:t>然而，当前中药材市场的交易仍然存在很多问题，如中药材质量难以得到保障、交易手续繁琐、信息不透明等。这些问题不仅影响了中药材的质量和市场竞争力，也给消费者带来了很多不便和风险。因此，建设规范化、标准化的中药材交易市场已成为行业发展的必然选择。</w:t>
      </w:r>
    </w:p>
    <w:p w14:paraId="5987876C">
      <w:pPr>
        <w:snapToGrid w:val="0"/>
        <w:spacing w:line="540" w:lineRule="exact"/>
        <w:ind w:firstLine="560" w:firstLineChars="200"/>
        <w:rPr>
          <w:rFonts w:ascii="Times New Roman" w:hAnsi="Times New Roman" w:eastAsia="仿宋_GB2312" w:cs="Times New Roman"/>
          <w:sz w:val="28"/>
        </w:rPr>
      </w:pPr>
      <w:r>
        <w:rPr>
          <w:rFonts w:hint="eastAsia" w:ascii="Times New Roman" w:hAnsi="Times New Roman" w:eastAsia="仿宋_GB2312" w:cs="Times New Roman"/>
          <w:sz w:val="28"/>
        </w:rPr>
        <w:t>目前，国家相应政策的出台和行业协会的积极推动也为中药材交易市场建设提供了有力支持。中药材交易市场</w:t>
      </w:r>
      <w:r>
        <w:rPr>
          <w:rFonts w:hint="eastAsia" w:ascii="Times New Roman" w:hAnsi="Times New Roman" w:eastAsia="仿宋_GB2312" w:cs="Times New Roman"/>
          <w:sz w:val="28"/>
          <w:lang w:val="en-US" w:eastAsia="zh-CN"/>
        </w:rPr>
        <w:t>排水管网</w:t>
      </w:r>
      <w:r>
        <w:rPr>
          <w:rFonts w:hint="eastAsia" w:ascii="Times New Roman" w:hAnsi="Times New Roman" w:eastAsia="仿宋_GB2312" w:cs="Times New Roman"/>
          <w:sz w:val="28"/>
        </w:rPr>
        <w:t>的建设背景也包括国家支持中医药行业大力发展的背景、消费者多元化需求增长背景等。于田县中药材交易市场</w:t>
      </w:r>
      <w:r>
        <w:rPr>
          <w:rFonts w:hint="eastAsia" w:ascii="Times New Roman" w:hAnsi="Times New Roman" w:eastAsia="仿宋_GB2312" w:cs="Times New Roman"/>
          <w:sz w:val="28"/>
          <w:lang w:val="en-US" w:eastAsia="zh-CN"/>
        </w:rPr>
        <w:t>排水管网</w:t>
      </w:r>
      <w:r>
        <w:rPr>
          <w:rFonts w:hint="eastAsia" w:ascii="Times New Roman" w:hAnsi="Times New Roman" w:eastAsia="仿宋_GB2312" w:cs="Times New Roman"/>
          <w:sz w:val="28"/>
        </w:rPr>
        <w:t>建设项目就是在这种背景下提出的，</w:t>
      </w:r>
      <w:bookmarkStart w:id="1" w:name="_GoBack"/>
      <w:bookmarkEnd w:id="1"/>
      <w:r>
        <w:rPr>
          <w:rFonts w:hint="eastAsia" w:ascii="Times New Roman" w:hAnsi="Times New Roman" w:eastAsia="仿宋_GB2312" w:cs="Times New Roman"/>
          <w:sz w:val="28"/>
          <w:lang w:eastAsia="zh-CN"/>
        </w:rPr>
        <w:t>能够更好地</w:t>
      </w:r>
      <w:r>
        <w:rPr>
          <w:rFonts w:hint="eastAsia" w:ascii="Times New Roman" w:hAnsi="Times New Roman" w:eastAsia="仿宋_GB2312" w:cs="Times New Roman"/>
          <w:sz w:val="28"/>
          <w:lang w:val="en-US" w:eastAsia="zh-CN"/>
        </w:rPr>
        <w:t>完善</w:t>
      </w:r>
      <w:r>
        <w:rPr>
          <w:rFonts w:hint="eastAsia" w:ascii="Times New Roman" w:hAnsi="Times New Roman" w:eastAsia="仿宋_GB2312" w:cs="Times New Roman"/>
          <w:sz w:val="28"/>
        </w:rPr>
        <w:t>交易市场</w:t>
      </w:r>
      <w:r>
        <w:rPr>
          <w:rFonts w:hint="eastAsia" w:ascii="Times New Roman" w:hAnsi="Times New Roman" w:eastAsia="仿宋_GB2312" w:cs="Times New Roman"/>
          <w:sz w:val="28"/>
          <w:lang w:val="en-US" w:eastAsia="zh-CN"/>
        </w:rPr>
        <w:t>基础设施</w:t>
      </w:r>
      <w:r>
        <w:rPr>
          <w:rFonts w:hint="eastAsia" w:ascii="Times New Roman" w:hAnsi="Times New Roman" w:eastAsia="仿宋_GB2312" w:cs="Times New Roman"/>
          <w:sz w:val="28"/>
        </w:rPr>
        <w:t>，</w:t>
      </w:r>
      <w:r>
        <w:rPr>
          <w:rFonts w:hint="eastAsia" w:ascii="Times New Roman" w:hAnsi="Times New Roman" w:eastAsia="仿宋_GB2312" w:cs="Times New Roman"/>
          <w:sz w:val="28"/>
          <w:lang w:val="en-US" w:eastAsia="zh-CN"/>
        </w:rPr>
        <w:t>促进</w:t>
      </w:r>
      <w:r>
        <w:rPr>
          <w:rFonts w:hint="eastAsia" w:ascii="Times New Roman" w:hAnsi="Times New Roman" w:eastAsia="仿宋_GB2312" w:cs="Times New Roman"/>
          <w:sz w:val="28"/>
        </w:rPr>
        <w:t>中药材交易市场建设</w:t>
      </w:r>
      <w:r>
        <w:rPr>
          <w:rFonts w:hint="eastAsia" w:ascii="Times New Roman" w:hAnsi="Times New Roman" w:eastAsia="仿宋_GB2312" w:cs="Times New Roman"/>
          <w:sz w:val="28"/>
          <w:lang w:val="en-US" w:eastAsia="zh-CN"/>
        </w:rPr>
        <w:t>更好的发展</w:t>
      </w:r>
      <w:r>
        <w:rPr>
          <w:rFonts w:hint="eastAsia" w:ascii="Times New Roman" w:hAnsi="Times New Roman" w:eastAsia="仿宋_GB2312" w:cs="Times New Roman"/>
          <w:sz w:val="28"/>
        </w:rPr>
        <w:t>。</w:t>
      </w:r>
    </w:p>
    <w:p w14:paraId="301C224F">
      <w:pPr>
        <w:snapToGrid w:val="0"/>
        <w:spacing w:line="540" w:lineRule="exact"/>
        <w:ind w:firstLine="546" w:firstLineChars="200"/>
        <w:rPr>
          <w:rStyle w:val="19"/>
          <w:rFonts w:ascii="仿宋_GB2312" w:hAnsi="楷体" w:eastAsia="仿宋_GB2312" w:cs="Times New Roman"/>
          <w:bCs w:val="0"/>
          <w:spacing w:val="-4"/>
          <w:sz w:val="28"/>
          <w:szCs w:val="32"/>
        </w:rPr>
      </w:pPr>
      <w:r>
        <w:rPr>
          <w:rStyle w:val="19"/>
          <w:rFonts w:hint="eastAsia" w:ascii="仿宋_GB2312" w:hAnsi="楷体" w:eastAsia="仿宋_GB2312" w:cs="Times New Roman"/>
          <w:bCs w:val="0"/>
          <w:spacing w:val="-4"/>
          <w:sz w:val="28"/>
          <w:szCs w:val="32"/>
        </w:rPr>
        <w:t>3、项目实施依据及范围</w:t>
      </w:r>
    </w:p>
    <w:p w14:paraId="2677BD4B">
      <w:pPr>
        <w:snapToGrid w:val="0"/>
        <w:spacing w:line="540" w:lineRule="exact"/>
        <w:ind w:firstLine="560" w:firstLineChars="200"/>
        <w:rPr>
          <w:rFonts w:ascii="Times New Roman" w:hAnsi="Times New Roman" w:eastAsia="仿宋_GB2312" w:cs="Times New Roman"/>
          <w:sz w:val="28"/>
        </w:rPr>
      </w:pPr>
      <w:r>
        <w:rPr>
          <w:rFonts w:hint="eastAsia" w:ascii="Times New Roman" w:hAnsi="Times New Roman" w:eastAsia="仿宋_GB2312" w:cs="Times New Roman"/>
          <w:sz w:val="28"/>
        </w:rPr>
        <w:t>于田县</w:t>
      </w:r>
      <w:r>
        <w:rPr>
          <w:rFonts w:hint="eastAsia" w:ascii="Times New Roman" w:hAnsi="Times New Roman" w:eastAsia="仿宋_GB2312" w:cs="Times New Roman"/>
          <w:sz w:val="28"/>
          <w:lang w:val="en-US" w:eastAsia="zh-CN"/>
        </w:rPr>
        <w:t>中药材交易市场排水管网建设项目</w:t>
      </w:r>
      <w:r>
        <w:rPr>
          <w:rFonts w:hint="eastAsia" w:ascii="Times New Roman" w:hAnsi="Times New Roman" w:eastAsia="仿宋_GB2312" w:cs="Times New Roman"/>
          <w:sz w:val="28"/>
        </w:rPr>
        <w:t>，根据于田县</w:t>
      </w:r>
      <w:r>
        <w:rPr>
          <w:rFonts w:hint="eastAsia" w:ascii="Times New Roman" w:hAnsi="Times New Roman" w:eastAsia="仿宋_GB2312" w:cs="Times New Roman"/>
          <w:sz w:val="28"/>
          <w:lang w:val="en-US" w:eastAsia="zh-CN"/>
        </w:rPr>
        <w:t>发展和改革委员会</w:t>
      </w:r>
      <w:r>
        <w:rPr>
          <w:rFonts w:hint="eastAsia" w:ascii="Times New Roman" w:hAnsi="Times New Roman" w:eastAsia="仿宋_GB2312" w:cs="Times New Roman"/>
          <w:sz w:val="28"/>
        </w:rPr>
        <w:t>下发的《关于对于田县</w:t>
      </w:r>
      <w:r>
        <w:rPr>
          <w:rFonts w:hint="eastAsia" w:ascii="Times New Roman" w:hAnsi="Times New Roman" w:eastAsia="仿宋_GB2312" w:cs="Times New Roman"/>
          <w:sz w:val="28"/>
          <w:lang w:val="en-US" w:eastAsia="zh-CN"/>
        </w:rPr>
        <w:t>中药材交易市场排水管网建设项目实施方案</w:t>
      </w:r>
      <w:r>
        <w:rPr>
          <w:rFonts w:hint="eastAsia" w:ascii="Times New Roman" w:hAnsi="Times New Roman" w:eastAsia="仿宋_GB2312" w:cs="Times New Roman"/>
          <w:sz w:val="28"/>
        </w:rPr>
        <w:t>的批复》（于</w:t>
      </w:r>
      <w:r>
        <w:rPr>
          <w:rFonts w:hint="eastAsia" w:ascii="Times New Roman" w:hAnsi="Times New Roman" w:eastAsia="仿宋_GB2312" w:cs="Times New Roman"/>
          <w:sz w:val="28"/>
          <w:lang w:val="en-US" w:eastAsia="zh-CN"/>
        </w:rPr>
        <w:t>发该项目</w:t>
      </w:r>
      <w:r>
        <w:rPr>
          <w:rFonts w:hint="eastAsia" w:ascii="Times New Roman" w:hAnsi="Times New Roman" w:eastAsia="仿宋_GB2312" w:cs="Times New Roman"/>
          <w:sz w:val="28"/>
        </w:rPr>
        <w:t>〔202</w:t>
      </w:r>
      <w:r>
        <w:rPr>
          <w:rFonts w:hint="eastAsia" w:ascii="Times New Roman" w:hAnsi="Times New Roman" w:eastAsia="仿宋_GB2312" w:cs="Times New Roman"/>
          <w:sz w:val="28"/>
          <w:lang w:val="en-US" w:eastAsia="zh-CN"/>
        </w:rPr>
        <w:t>4</w:t>
      </w:r>
      <w:r>
        <w:rPr>
          <w:rFonts w:hint="eastAsia" w:ascii="Times New Roman" w:hAnsi="Times New Roman" w:eastAsia="仿宋_GB2312" w:cs="Times New Roman"/>
          <w:sz w:val="28"/>
        </w:rPr>
        <w:t>〕</w:t>
      </w:r>
      <w:r>
        <w:rPr>
          <w:rFonts w:hint="eastAsia" w:ascii="Times New Roman" w:hAnsi="Times New Roman" w:eastAsia="仿宋_GB2312" w:cs="Times New Roman"/>
          <w:sz w:val="28"/>
          <w:lang w:val="en-US" w:eastAsia="zh-CN"/>
        </w:rPr>
        <w:t>38</w:t>
      </w:r>
      <w:r>
        <w:rPr>
          <w:rFonts w:hint="eastAsia" w:ascii="Times New Roman" w:hAnsi="Times New Roman" w:eastAsia="仿宋_GB2312" w:cs="Times New Roman"/>
          <w:sz w:val="28"/>
        </w:rPr>
        <w:t>号）文</w:t>
      </w:r>
      <w:r>
        <w:rPr>
          <w:rFonts w:hint="eastAsia" w:ascii="Times New Roman" w:hAnsi="Times New Roman" w:eastAsia="仿宋_GB2312" w:cs="Times New Roman"/>
          <w:sz w:val="28"/>
          <w:lang w:val="en-US" w:eastAsia="zh-CN"/>
        </w:rPr>
        <w:t>件</w:t>
      </w:r>
      <w:r>
        <w:rPr>
          <w:rFonts w:hint="eastAsia" w:ascii="Times New Roman" w:hAnsi="Times New Roman" w:eastAsia="仿宋_GB2312" w:cs="Times New Roman"/>
          <w:sz w:val="28"/>
        </w:rPr>
        <w:t>批复实施，实施范围涉及</w:t>
      </w:r>
      <w:r>
        <w:rPr>
          <w:rFonts w:hint="eastAsia" w:ascii="Times New Roman" w:hAnsi="Times New Roman" w:eastAsia="仿宋_GB2312" w:cs="Times New Roman"/>
          <w:sz w:val="28"/>
          <w:lang w:val="en-US" w:eastAsia="zh-CN"/>
        </w:rPr>
        <w:t>沿315国道沿线</w:t>
      </w:r>
      <w:r>
        <w:rPr>
          <w:rFonts w:hint="eastAsia" w:ascii="Times New Roman" w:hAnsi="Times New Roman" w:eastAsia="仿宋_GB2312" w:cs="Times New Roman"/>
          <w:sz w:val="28"/>
        </w:rPr>
        <w:t>。建设内容：新建d400污水重力管网(HDPE)2002米，φ1000检查井40座，污水闸槽井1座，d200污水压力管(PE100)2505米，φ1200检查井30座，一 体化污水提升泵站(2.2米玻璃钢、85立方米/每小时)一座及其附属设施</w:t>
      </w:r>
      <w:r>
        <w:rPr>
          <w:rFonts w:hint="eastAsia"/>
          <w:color w:val="auto"/>
        </w:rPr>
        <w:t>。</w:t>
      </w:r>
    </w:p>
    <w:p w14:paraId="0A019AB2">
      <w:pPr>
        <w:spacing w:line="560" w:lineRule="exact"/>
        <w:ind w:firstLine="562" w:firstLineChars="200"/>
        <w:rPr>
          <w:rFonts w:ascii="仿宋_GB2312" w:hAnsi="Times New Roman" w:eastAsia="仿宋_GB2312" w:cs="Times New Roman"/>
          <w:b/>
          <w:bCs/>
          <w:sz w:val="28"/>
          <w:szCs w:val="32"/>
        </w:rPr>
      </w:pPr>
      <w:r>
        <w:rPr>
          <w:rFonts w:ascii="仿宋_GB2312" w:hAnsi="Times New Roman" w:eastAsia="仿宋_GB2312" w:cs="Times New Roman"/>
          <w:b/>
          <w:bCs/>
          <w:sz w:val="28"/>
          <w:szCs w:val="32"/>
        </w:rPr>
        <w:t>4</w:t>
      </w:r>
      <w:r>
        <w:rPr>
          <w:rFonts w:hint="eastAsia" w:ascii="仿宋_GB2312" w:hAnsi="Times New Roman" w:eastAsia="仿宋_GB2312" w:cs="Times New Roman"/>
          <w:b/>
          <w:bCs/>
          <w:sz w:val="28"/>
          <w:szCs w:val="32"/>
        </w:rPr>
        <w:t>、项目基本性质及类别</w:t>
      </w:r>
    </w:p>
    <w:p w14:paraId="2619C3A1">
      <w:pPr>
        <w:pStyle w:val="52"/>
        <w:spacing w:line="560" w:lineRule="exact"/>
        <w:ind w:left="3" w:right="3" w:firstLine="560"/>
        <w:rPr>
          <w:color w:val="auto"/>
        </w:rPr>
      </w:pPr>
      <w:r>
        <w:rPr>
          <w:rFonts w:hint="eastAsia" w:ascii="Times New Roman" w:hAnsi="Times New Roman" w:eastAsia="仿宋_GB2312" w:cs="Times New Roman"/>
          <w:sz w:val="28"/>
        </w:rPr>
        <w:t>于田县</w:t>
      </w:r>
      <w:r>
        <w:rPr>
          <w:rFonts w:hint="eastAsia" w:ascii="Times New Roman" w:hAnsi="Times New Roman" w:eastAsia="仿宋_GB2312" w:cs="Times New Roman"/>
          <w:sz w:val="28"/>
          <w:lang w:val="en-US" w:eastAsia="zh-CN"/>
        </w:rPr>
        <w:t>中药材交易市场</w:t>
      </w:r>
      <w:r>
        <w:rPr>
          <w:rFonts w:hint="eastAsia" w:cs="Times New Roman"/>
          <w:sz w:val="28"/>
          <w:lang w:val="en-US" w:eastAsia="zh-CN"/>
        </w:rPr>
        <w:t>排水管网</w:t>
      </w:r>
      <w:r>
        <w:rPr>
          <w:rFonts w:hint="eastAsia" w:ascii="Times New Roman" w:hAnsi="Times New Roman" w:eastAsia="仿宋_GB2312" w:cs="Times New Roman"/>
          <w:sz w:val="28"/>
          <w:lang w:val="en-US" w:eastAsia="zh-CN"/>
        </w:rPr>
        <w:t>建设项目</w:t>
      </w:r>
      <w:r>
        <w:rPr>
          <w:rFonts w:hint="eastAsia"/>
          <w:color w:val="auto"/>
        </w:rPr>
        <w:t>性质为乡村振兴衔接资金项目。</w:t>
      </w:r>
    </w:p>
    <w:p w14:paraId="671F9BA4">
      <w:pPr>
        <w:spacing w:line="560" w:lineRule="exact"/>
        <w:ind w:firstLine="546" w:firstLineChars="200"/>
        <w:rPr>
          <w:rStyle w:val="19"/>
          <w:rFonts w:ascii="楷体_GB2312" w:hAnsi="楷体" w:cs="Times New Roman"/>
          <w:spacing w:val="-4"/>
          <w:sz w:val="28"/>
          <w:szCs w:val="32"/>
        </w:rPr>
      </w:pPr>
      <w:r>
        <w:rPr>
          <w:rStyle w:val="19"/>
          <w:rFonts w:hint="eastAsia" w:ascii="楷体_GB2312" w:hAnsi="楷体" w:cs="Times New Roman"/>
          <w:spacing w:val="-4"/>
          <w:sz w:val="28"/>
          <w:szCs w:val="32"/>
        </w:rPr>
        <w:t>（二）财政专项乡村振兴衔接资金项目绩效目标设定情况</w:t>
      </w:r>
    </w:p>
    <w:p w14:paraId="3A0FEA81">
      <w:pPr>
        <w:spacing w:line="560" w:lineRule="exact"/>
        <w:ind w:firstLine="562" w:firstLineChars="200"/>
        <w:rPr>
          <w:rFonts w:ascii="仿宋_GB2312" w:hAnsi="Times New Roman" w:eastAsia="仿宋_GB2312" w:cs="Times New Roman"/>
          <w:b/>
          <w:bCs/>
          <w:sz w:val="28"/>
          <w:szCs w:val="32"/>
        </w:rPr>
      </w:pPr>
      <w:r>
        <w:rPr>
          <w:rFonts w:hint="eastAsia" w:ascii="仿宋_GB2312" w:hAnsi="Times New Roman" w:eastAsia="仿宋_GB2312" w:cs="Times New Roman"/>
          <w:b/>
          <w:bCs/>
          <w:sz w:val="28"/>
          <w:szCs w:val="32"/>
        </w:rPr>
        <w:t>1.项目绩效总体目标</w:t>
      </w:r>
    </w:p>
    <w:p w14:paraId="1CC2D90C">
      <w:pPr>
        <w:pStyle w:val="52"/>
        <w:spacing w:line="560" w:lineRule="exact"/>
        <w:ind w:left="3" w:right="3" w:firstLine="560"/>
        <w:rPr>
          <w:color w:val="auto"/>
        </w:rPr>
      </w:pPr>
      <w:r>
        <w:rPr>
          <w:rFonts w:hint="eastAsia" w:ascii="Times New Roman" w:hAnsi="Times New Roman" w:eastAsia="仿宋_GB2312" w:cs="Times New Roman"/>
          <w:sz w:val="28"/>
        </w:rPr>
        <w:t>于田县</w:t>
      </w:r>
      <w:r>
        <w:rPr>
          <w:rFonts w:hint="eastAsia" w:ascii="Times New Roman" w:hAnsi="Times New Roman" w:eastAsia="仿宋_GB2312" w:cs="Times New Roman"/>
          <w:sz w:val="28"/>
          <w:lang w:val="en-US" w:eastAsia="zh-CN"/>
        </w:rPr>
        <w:t>中药材交易市场</w:t>
      </w:r>
      <w:r>
        <w:rPr>
          <w:rFonts w:hint="eastAsia" w:cs="Times New Roman"/>
          <w:sz w:val="28"/>
          <w:lang w:val="en-US" w:eastAsia="zh-CN"/>
        </w:rPr>
        <w:t>排水管网</w:t>
      </w:r>
      <w:r>
        <w:rPr>
          <w:rFonts w:hint="eastAsia" w:ascii="Times New Roman" w:hAnsi="Times New Roman" w:eastAsia="仿宋_GB2312" w:cs="Times New Roman"/>
          <w:sz w:val="28"/>
          <w:lang w:val="en-US" w:eastAsia="zh-CN"/>
        </w:rPr>
        <w:t>建设项目</w:t>
      </w:r>
      <w:r>
        <w:rPr>
          <w:rFonts w:hint="eastAsia"/>
          <w:color w:val="auto"/>
        </w:rPr>
        <w:t>总投资</w:t>
      </w:r>
      <w:r>
        <w:rPr>
          <w:rFonts w:hint="eastAsia"/>
          <w:color w:val="auto"/>
          <w:lang w:val="en-US" w:eastAsia="zh-CN"/>
        </w:rPr>
        <w:t>400</w:t>
      </w:r>
      <w:r>
        <w:rPr>
          <w:rFonts w:hint="eastAsia"/>
          <w:color w:val="auto"/>
        </w:rPr>
        <w:t>万元，全部申请</w:t>
      </w:r>
      <w:r>
        <w:rPr>
          <w:rFonts w:hint="eastAsia"/>
          <w:color w:val="auto"/>
          <w:lang w:val="en-US" w:eastAsia="zh-CN"/>
        </w:rPr>
        <w:t>乡村振兴衔接资金</w:t>
      </w:r>
      <w:r>
        <w:rPr>
          <w:rFonts w:hint="eastAsia"/>
          <w:color w:val="auto"/>
        </w:rPr>
        <w:t>。主要内容为：</w:t>
      </w:r>
      <w:r>
        <w:rPr>
          <w:rFonts w:hint="eastAsia" w:ascii="Times New Roman" w:hAnsi="Times New Roman" w:eastAsia="仿宋_GB2312" w:cs="Times New Roman"/>
          <w:sz w:val="28"/>
        </w:rPr>
        <w:t>新建d400污水重力管网(HDPE)2002米，φ1000检查井40座，污水闸槽井1座，d200污水压力管(PE100)2505米，φ1200检查井30座，一 体化污水提升泵站(2.2米玻璃钢、85立方米/每小时)一座及其附属设施</w:t>
      </w:r>
      <w:r>
        <w:rPr>
          <w:rFonts w:hint="eastAsia"/>
          <w:color w:val="auto"/>
        </w:rPr>
        <w:t>。</w:t>
      </w:r>
    </w:p>
    <w:p w14:paraId="30053E79">
      <w:pPr>
        <w:pStyle w:val="52"/>
        <w:spacing w:line="560" w:lineRule="exact"/>
        <w:ind w:left="3" w:right="3" w:firstLine="560"/>
        <w:rPr>
          <w:rFonts w:hint="eastAsia"/>
          <w:color w:val="auto"/>
        </w:rPr>
      </w:pPr>
      <w:r>
        <w:rPr>
          <w:rFonts w:hint="eastAsia"/>
          <w:color w:val="auto"/>
        </w:rPr>
        <w:t>通过</w:t>
      </w:r>
      <w:r>
        <w:rPr>
          <w:rFonts w:hint="eastAsia" w:ascii="Times New Roman" w:hAnsi="Times New Roman" w:eastAsia="仿宋_GB2312" w:cs="Times New Roman"/>
          <w:sz w:val="28"/>
        </w:rPr>
        <w:t>于田县</w:t>
      </w:r>
      <w:r>
        <w:rPr>
          <w:rFonts w:hint="eastAsia" w:ascii="Times New Roman" w:hAnsi="Times New Roman" w:eastAsia="仿宋_GB2312" w:cs="Times New Roman"/>
          <w:sz w:val="28"/>
          <w:lang w:val="en-US" w:eastAsia="zh-CN"/>
        </w:rPr>
        <w:t>中药材交易市场</w:t>
      </w:r>
      <w:r>
        <w:rPr>
          <w:rFonts w:hint="eastAsia" w:cs="Times New Roman"/>
          <w:sz w:val="28"/>
          <w:lang w:val="en-US" w:eastAsia="zh-CN"/>
        </w:rPr>
        <w:t>排水管网</w:t>
      </w:r>
      <w:r>
        <w:rPr>
          <w:rFonts w:hint="eastAsia" w:ascii="Times New Roman" w:hAnsi="Times New Roman" w:eastAsia="仿宋_GB2312" w:cs="Times New Roman"/>
          <w:sz w:val="28"/>
          <w:lang w:val="en-US" w:eastAsia="zh-CN"/>
        </w:rPr>
        <w:t>建设项目</w:t>
      </w:r>
      <w:r>
        <w:rPr>
          <w:rFonts w:hint="eastAsia"/>
          <w:color w:val="auto"/>
        </w:rPr>
        <w:t>实施，</w:t>
      </w:r>
      <w:r>
        <w:rPr>
          <w:rFonts w:hint="eastAsia"/>
          <w:color w:val="auto"/>
          <w:lang w:val="en-US" w:eastAsia="zh-CN"/>
        </w:rPr>
        <w:t>完善</w:t>
      </w:r>
      <w:r>
        <w:rPr>
          <w:rFonts w:hint="eastAsia"/>
          <w:color w:val="auto"/>
        </w:rPr>
        <w:t>交易场所</w:t>
      </w:r>
      <w:r>
        <w:rPr>
          <w:rFonts w:hint="eastAsia"/>
          <w:color w:val="auto"/>
          <w:lang w:val="en-US" w:eastAsia="zh-CN"/>
        </w:rPr>
        <w:t>基础设施</w:t>
      </w:r>
      <w:r>
        <w:rPr>
          <w:rFonts w:hint="eastAsia"/>
          <w:color w:val="auto"/>
          <w:lang w:eastAsia="zh-CN"/>
        </w:rPr>
        <w:t>，</w:t>
      </w:r>
      <w:r>
        <w:rPr>
          <w:rFonts w:hint="eastAsia"/>
          <w:color w:val="auto"/>
          <w:lang w:val="en-US" w:eastAsia="zh-CN"/>
        </w:rPr>
        <w:t>带动</w:t>
      </w:r>
      <w:r>
        <w:rPr>
          <w:rFonts w:hint="eastAsia"/>
          <w:color w:val="auto"/>
        </w:rPr>
        <w:t>本地优质药材</w:t>
      </w:r>
      <w:r>
        <w:rPr>
          <w:rFonts w:hint="eastAsia"/>
          <w:color w:val="auto"/>
          <w:lang w:val="en-US" w:eastAsia="zh-CN"/>
        </w:rPr>
        <w:t>种植，</w:t>
      </w:r>
      <w:r>
        <w:rPr>
          <w:rFonts w:hint="eastAsia"/>
          <w:color w:val="auto"/>
        </w:rPr>
        <w:t>促进中药材贸易的规范化和标准化</w:t>
      </w:r>
      <w:r>
        <w:rPr>
          <w:rFonts w:hint="eastAsia"/>
          <w:color w:val="auto"/>
          <w:lang w:eastAsia="zh-CN"/>
        </w:rPr>
        <w:t>，</w:t>
      </w:r>
      <w:r>
        <w:rPr>
          <w:rFonts w:hint="eastAsia"/>
          <w:color w:val="auto"/>
        </w:rPr>
        <w:t>有助于中药材产业发展壮大。</w:t>
      </w:r>
    </w:p>
    <w:p w14:paraId="397BAA9F">
      <w:pPr>
        <w:pStyle w:val="52"/>
        <w:spacing w:line="560" w:lineRule="exact"/>
        <w:ind w:left="3" w:right="3" w:firstLine="562"/>
        <w:rPr>
          <w:rFonts w:ascii="仿宋_GB2312"/>
          <w:b/>
          <w:bCs/>
          <w:color w:val="auto"/>
          <w:szCs w:val="32"/>
        </w:rPr>
      </w:pPr>
      <w:r>
        <w:rPr>
          <w:rFonts w:hint="eastAsia" w:ascii="仿宋_GB2312"/>
          <w:b/>
          <w:bCs/>
          <w:color w:val="auto"/>
          <w:szCs w:val="32"/>
        </w:rPr>
        <w:t>2.具体绩效指标</w:t>
      </w:r>
    </w:p>
    <w:p w14:paraId="308356B5">
      <w:pPr>
        <w:pStyle w:val="52"/>
        <w:spacing w:line="560" w:lineRule="exact"/>
        <w:ind w:left="3" w:right="3" w:firstLine="560"/>
        <w:rPr>
          <w:color w:val="auto"/>
        </w:rPr>
      </w:pPr>
      <w:r>
        <w:rPr>
          <w:color w:val="auto"/>
        </w:rPr>
        <w:t>根据《自治区财政专项扶贫资金绩效管理操作指南》（新财预〔2019〕170号）的规定，结合项目具体情况，</w:t>
      </w:r>
      <w:r>
        <w:rPr>
          <w:rFonts w:hint="eastAsia"/>
          <w:color w:val="auto"/>
        </w:rPr>
        <w:t>本项目共设置一级指标3个，二级指标</w:t>
      </w:r>
      <w:r>
        <w:rPr>
          <w:rFonts w:hint="eastAsia"/>
          <w:color w:val="auto"/>
          <w:lang w:val="en-US" w:eastAsia="zh-CN"/>
        </w:rPr>
        <w:t>7</w:t>
      </w:r>
      <w:r>
        <w:rPr>
          <w:rFonts w:hint="eastAsia"/>
          <w:color w:val="auto"/>
        </w:rPr>
        <w:t>个，三级指标1</w:t>
      </w:r>
      <w:r>
        <w:rPr>
          <w:rFonts w:hint="eastAsia"/>
          <w:color w:val="auto"/>
          <w:lang w:val="en-US" w:eastAsia="zh-CN"/>
        </w:rPr>
        <w:t>3</w:t>
      </w:r>
      <w:r>
        <w:rPr>
          <w:rFonts w:hint="eastAsia"/>
          <w:color w:val="auto"/>
        </w:rPr>
        <w:t>个。</w:t>
      </w:r>
    </w:p>
    <w:p w14:paraId="619C5E19">
      <w:pPr>
        <w:pStyle w:val="29"/>
        <w:spacing w:before="120"/>
        <w:ind w:left="0" w:leftChars="0" w:right="3" w:firstLine="562" w:firstLineChars="200"/>
        <w:rPr>
          <w:rFonts w:eastAsia="宋体"/>
          <w:color w:val="auto"/>
          <w:sz w:val="21"/>
        </w:rPr>
      </w:pPr>
      <w:r>
        <w:rPr>
          <w:rFonts w:hint="eastAsia"/>
          <w:color w:val="auto"/>
        </w:rPr>
        <w:t>二、绩效自评工作开展情况</w:t>
      </w:r>
    </w:p>
    <w:p w14:paraId="4AC095C7">
      <w:pPr>
        <w:spacing w:line="560" w:lineRule="exact"/>
        <w:ind w:firstLine="546" w:firstLineChars="200"/>
        <w:rPr>
          <w:rStyle w:val="19"/>
          <w:rFonts w:ascii="楷体_GB2312" w:hAnsi="楷体" w:cs="Times New Roman"/>
          <w:spacing w:val="-4"/>
          <w:sz w:val="28"/>
          <w:szCs w:val="32"/>
        </w:rPr>
      </w:pPr>
      <w:r>
        <w:rPr>
          <w:rStyle w:val="19"/>
          <w:rFonts w:hint="eastAsia" w:ascii="楷体_GB2312" w:hAnsi="楷体" w:cs="Times New Roman"/>
          <w:spacing w:val="-4"/>
          <w:sz w:val="28"/>
          <w:szCs w:val="32"/>
        </w:rPr>
        <w:t>（一）绩效自评工作开展范围</w:t>
      </w:r>
    </w:p>
    <w:p w14:paraId="3DCEDE07">
      <w:pPr>
        <w:pStyle w:val="52"/>
        <w:spacing w:line="560" w:lineRule="exact"/>
        <w:ind w:left="3" w:right="3" w:firstLine="560"/>
        <w:rPr>
          <w:color w:val="auto"/>
        </w:rPr>
      </w:pPr>
      <w:r>
        <w:rPr>
          <w:color w:val="auto"/>
        </w:rPr>
        <w:t>本次自评范围涵盖项目总体绩效目标、各项绩效指标完成情况以及预算执行情况。</w:t>
      </w:r>
    </w:p>
    <w:p w14:paraId="70561198">
      <w:pPr>
        <w:spacing w:line="560" w:lineRule="exact"/>
        <w:ind w:firstLine="546" w:firstLineChars="200"/>
        <w:rPr>
          <w:rStyle w:val="19"/>
          <w:rFonts w:ascii="楷体_GB2312" w:hAnsi="楷体" w:cs="Times New Roman"/>
          <w:spacing w:val="-4"/>
          <w:sz w:val="28"/>
          <w:szCs w:val="32"/>
        </w:rPr>
      </w:pPr>
      <w:r>
        <w:rPr>
          <w:rStyle w:val="19"/>
          <w:rFonts w:hint="eastAsia" w:ascii="楷体_GB2312" w:hAnsi="楷体" w:cs="Times New Roman"/>
          <w:spacing w:val="-4"/>
          <w:sz w:val="28"/>
          <w:szCs w:val="32"/>
        </w:rPr>
        <w:t>（二）绩效自评工作对象</w:t>
      </w:r>
    </w:p>
    <w:p w14:paraId="1E73F099">
      <w:pPr>
        <w:pStyle w:val="52"/>
        <w:spacing w:line="560" w:lineRule="exact"/>
        <w:ind w:left="3" w:right="3" w:firstLine="560"/>
        <w:rPr>
          <w:color w:val="auto"/>
        </w:rPr>
      </w:pPr>
      <w:r>
        <w:rPr>
          <w:color w:val="auto"/>
        </w:rPr>
        <w:t>本次绩效自评遵循《中央财政衔接推进乡村振兴补助资金管理办法》的通知（财农〔2021〕19号）、《新疆维吾尔自治区财政财政衔接推进乡村振兴补助资金管理办法》（新财规〔2021〕11号）、《自治区财政专项扶贫资金绩效管理操作指南》（新财预〔2019〕170号）等相关政策文件与规定，对</w:t>
      </w:r>
      <w:r>
        <w:rPr>
          <w:rFonts w:hint="eastAsia" w:ascii="Times New Roman" w:hAnsi="Times New Roman" w:eastAsia="仿宋_GB2312" w:cs="Times New Roman"/>
          <w:sz w:val="28"/>
        </w:rPr>
        <w:t>于田县</w:t>
      </w:r>
      <w:r>
        <w:rPr>
          <w:rFonts w:hint="eastAsia" w:ascii="Times New Roman" w:hAnsi="Times New Roman" w:eastAsia="仿宋_GB2312" w:cs="Times New Roman"/>
          <w:sz w:val="28"/>
          <w:lang w:val="en-US" w:eastAsia="zh-CN"/>
        </w:rPr>
        <w:t>中药材交易市场</w:t>
      </w:r>
      <w:r>
        <w:rPr>
          <w:rFonts w:hint="eastAsia" w:cs="Times New Roman"/>
          <w:sz w:val="28"/>
          <w:lang w:val="en-US" w:eastAsia="zh-CN"/>
        </w:rPr>
        <w:t>排水管网</w:t>
      </w:r>
      <w:r>
        <w:rPr>
          <w:rFonts w:hint="eastAsia" w:ascii="Times New Roman" w:hAnsi="Times New Roman" w:eastAsia="仿宋_GB2312" w:cs="Times New Roman"/>
          <w:sz w:val="28"/>
          <w:lang w:val="en-US" w:eastAsia="zh-CN"/>
        </w:rPr>
        <w:t>建设项目</w:t>
      </w:r>
      <w:r>
        <w:rPr>
          <w:color w:val="auto"/>
        </w:rPr>
        <w:t>资金的使用管理、项目产出、综合效益等进行评价。</w:t>
      </w:r>
    </w:p>
    <w:p w14:paraId="122B4C27">
      <w:pPr>
        <w:spacing w:line="560" w:lineRule="exact"/>
        <w:ind w:firstLine="546" w:firstLineChars="200"/>
        <w:rPr>
          <w:rStyle w:val="19"/>
          <w:rFonts w:ascii="楷体_GB2312" w:hAnsi="楷体" w:cs="Times New Roman"/>
          <w:spacing w:val="-4"/>
          <w:sz w:val="28"/>
          <w:szCs w:val="32"/>
        </w:rPr>
      </w:pPr>
      <w:r>
        <w:rPr>
          <w:rStyle w:val="19"/>
          <w:rFonts w:hint="eastAsia" w:ascii="楷体_GB2312" w:hAnsi="楷体" w:cs="Times New Roman"/>
          <w:spacing w:val="-4"/>
          <w:sz w:val="28"/>
          <w:szCs w:val="32"/>
        </w:rPr>
        <w:t>（三）绩效自评工作方式</w:t>
      </w:r>
    </w:p>
    <w:p w14:paraId="010F3488">
      <w:pPr>
        <w:pStyle w:val="33"/>
        <w:rPr>
          <w:color w:val="auto"/>
        </w:rPr>
      </w:pPr>
      <w:r>
        <w:rPr>
          <w:rFonts w:hint="eastAsia"/>
          <w:color w:val="auto"/>
        </w:rPr>
        <w:t>1.前期准备</w:t>
      </w:r>
    </w:p>
    <w:p w14:paraId="2EA790C9">
      <w:pPr>
        <w:pStyle w:val="52"/>
        <w:spacing w:line="560" w:lineRule="exact"/>
        <w:ind w:left="3" w:right="0" w:rightChars="0" w:firstLine="560"/>
        <w:rPr>
          <w:color w:val="auto"/>
        </w:rPr>
      </w:pPr>
      <w:r>
        <w:rPr>
          <w:color w:val="auto"/>
        </w:rPr>
        <w:t>202</w:t>
      </w:r>
      <w:r>
        <w:rPr>
          <w:rFonts w:hint="eastAsia"/>
          <w:color w:val="auto"/>
          <w:lang w:val="en-US" w:eastAsia="zh-CN"/>
        </w:rPr>
        <w:t>4</w:t>
      </w:r>
      <w:r>
        <w:rPr>
          <w:color w:val="auto"/>
        </w:rPr>
        <w:t>年，认真学习相关要求与规定，成立绩效自评工作组，作为绩效自评工作具体实施机构。成员构成如下：</w:t>
      </w:r>
    </w:p>
    <w:p w14:paraId="656125D5">
      <w:pPr>
        <w:pStyle w:val="52"/>
        <w:spacing w:line="560" w:lineRule="exact"/>
        <w:ind w:left="3" w:right="3" w:firstLine="560"/>
        <w:rPr>
          <w:rFonts w:hint="default" w:eastAsia="仿宋_GB2312"/>
          <w:color w:val="auto"/>
          <w:lang w:val="en-US" w:eastAsia="zh-CN"/>
        </w:rPr>
      </w:pPr>
      <w:r>
        <w:rPr>
          <w:rFonts w:hint="eastAsia"/>
          <w:color w:val="auto"/>
        </w:rPr>
        <w:t>组    长：</w:t>
      </w:r>
      <w:r>
        <w:rPr>
          <w:rFonts w:hint="eastAsia"/>
          <w:color w:val="auto"/>
          <w:lang w:val="en-US" w:eastAsia="zh-CN"/>
        </w:rPr>
        <w:t>张小虎                                                             党组书记、副局长</w:t>
      </w:r>
    </w:p>
    <w:p w14:paraId="735BD3C8">
      <w:pPr>
        <w:pStyle w:val="52"/>
        <w:spacing w:line="560" w:lineRule="exact"/>
        <w:ind w:left="3" w:right="3" w:firstLine="1680" w:firstLineChars="600"/>
        <w:rPr>
          <w:color w:val="auto"/>
        </w:rPr>
      </w:pPr>
      <w:r>
        <w:rPr>
          <w:rFonts w:hint="eastAsia"/>
          <w:color w:val="auto"/>
          <w:lang w:val="en-US" w:eastAsia="zh-CN"/>
        </w:rPr>
        <w:t>赵胜勇</w:t>
      </w:r>
      <w:r>
        <w:rPr>
          <w:rFonts w:hint="eastAsia"/>
          <w:color w:val="auto"/>
        </w:rPr>
        <w:t xml:space="preserve">                                            </w:t>
      </w:r>
      <w:r>
        <w:rPr>
          <w:rFonts w:hint="eastAsia"/>
          <w:color w:val="auto"/>
          <w:lang w:val="en-US" w:eastAsia="zh-CN"/>
        </w:rPr>
        <w:t xml:space="preserve"> </w:t>
      </w:r>
      <w:r>
        <w:rPr>
          <w:rFonts w:hint="eastAsia"/>
          <w:color w:val="auto"/>
        </w:rPr>
        <w:t xml:space="preserve">        </w:t>
      </w:r>
      <w:r>
        <w:rPr>
          <w:rFonts w:hint="eastAsia"/>
          <w:color w:val="auto"/>
          <w:lang w:val="en-US" w:eastAsia="zh-CN"/>
        </w:rPr>
        <w:t xml:space="preserve">        </w:t>
      </w:r>
      <w:r>
        <w:rPr>
          <w:rFonts w:hint="eastAsia"/>
          <w:color w:val="auto"/>
        </w:rPr>
        <w:t>党</w:t>
      </w:r>
      <w:r>
        <w:rPr>
          <w:rFonts w:hint="eastAsia"/>
          <w:color w:val="auto"/>
          <w:lang w:val="en-US" w:eastAsia="zh-CN"/>
        </w:rPr>
        <w:t>组副</w:t>
      </w:r>
      <w:r>
        <w:rPr>
          <w:rFonts w:hint="eastAsia"/>
          <w:color w:val="auto"/>
        </w:rPr>
        <w:t>书记、局长</w:t>
      </w:r>
    </w:p>
    <w:p w14:paraId="4010366D">
      <w:pPr>
        <w:pStyle w:val="52"/>
        <w:spacing w:line="560" w:lineRule="exact"/>
        <w:ind w:left="3" w:right="3" w:firstLine="560"/>
        <w:rPr>
          <w:rFonts w:hint="default"/>
          <w:color w:val="auto"/>
          <w:lang w:val="en-US"/>
        </w:rPr>
      </w:pPr>
      <w:r>
        <w:rPr>
          <w:rFonts w:hint="eastAsia"/>
          <w:color w:val="auto"/>
        </w:rPr>
        <w:t>副组长：</w:t>
      </w:r>
      <w:r>
        <w:rPr>
          <w:rFonts w:hint="eastAsia"/>
          <w:color w:val="auto"/>
          <w:lang w:val="en-US" w:eastAsia="zh-CN"/>
        </w:rPr>
        <w:t>陈珍祯</w:t>
      </w:r>
      <w:r>
        <w:rPr>
          <w:rFonts w:hint="eastAsia"/>
          <w:color w:val="auto"/>
        </w:rPr>
        <w:t xml:space="preserve">                              </w:t>
      </w:r>
      <w:r>
        <w:rPr>
          <w:rFonts w:hint="eastAsia"/>
          <w:color w:val="auto"/>
          <w:lang w:val="en-US" w:eastAsia="zh-CN"/>
        </w:rPr>
        <w:t xml:space="preserve">           党组成员、招商服务中心主任</w:t>
      </w:r>
    </w:p>
    <w:p w14:paraId="3F4C8FCD">
      <w:pPr>
        <w:pStyle w:val="52"/>
        <w:spacing w:line="560" w:lineRule="exact"/>
        <w:ind w:left="3" w:right="3" w:firstLine="560"/>
        <w:rPr>
          <w:rFonts w:hint="eastAsia" w:eastAsia="仿宋_GB2312"/>
          <w:color w:val="auto"/>
          <w:lang w:eastAsia="zh-CN"/>
        </w:rPr>
      </w:pPr>
      <w:r>
        <w:rPr>
          <w:rFonts w:hint="eastAsia"/>
          <w:color w:val="auto"/>
        </w:rPr>
        <w:t>成    员：</w:t>
      </w:r>
      <w:r>
        <w:rPr>
          <w:rFonts w:hint="eastAsia"/>
          <w:color w:val="auto"/>
          <w:lang w:val="en-US" w:eastAsia="zh-CN"/>
        </w:rPr>
        <w:t>陈雪飞</w:t>
      </w:r>
      <w:r>
        <w:rPr>
          <w:rFonts w:hint="eastAsia"/>
          <w:color w:val="auto"/>
        </w:rPr>
        <w:t xml:space="preserve">                                                                         项目</w:t>
      </w:r>
      <w:r>
        <w:rPr>
          <w:rFonts w:hint="eastAsia"/>
          <w:color w:val="auto"/>
          <w:lang w:val="en-US" w:eastAsia="zh-CN"/>
        </w:rPr>
        <w:t>负责人</w:t>
      </w:r>
    </w:p>
    <w:p w14:paraId="65224B4F">
      <w:pPr>
        <w:pStyle w:val="52"/>
        <w:spacing w:line="560" w:lineRule="exact"/>
        <w:ind w:left="3" w:right="3" w:firstLine="1680" w:firstLineChars="600"/>
        <w:rPr>
          <w:rFonts w:hint="eastAsia" w:eastAsia="仿宋_GB2312"/>
          <w:color w:val="auto"/>
          <w:lang w:eastAsia="zh-CN"/>
        </w:rPr>
      </w:pPr>
      <w:r>
        <w:rPr>
          <w:rFonts w:hint="eastAsia"/>
          <w:color w:val="auto"/>
          <w:lang w:val="en-US" w:eastAsia="zh-CN"/>
        </w:rPr>
        <w:t>刘芳余</w:t>
      </w:r>
      <w:r>
        <w:rPr>
          <w:rFonts w:hint="eastAsia"/>
          <w:color w:val="auto"/>
        </w:rPr>
        <w:t xml:space="preserve">                                                                         财务室</w:t>
      </w:r>
      <w:r>
        <w:rPr>
          <w:rFonts w:hint="eastAsia"/>
          <w:color w:val="auto"/>
          <w:lang w:val="en-US" w:eastAsia="zh-CN"/>
        </w:rPr>
        <w:t>干部</w:t>
      </w:r>
    </w:p>
    <w:p w14:paraId="64DA1951">
      <w:pPr>
        <w:pStyle w:val="52"/>
        <w:spacing w:line="560" w:lineRule="exact"/>
        <w:ind w:left="3" w:right="3" w:firstLine="560"/>
        <w:rPr>
          <w:color w:val="auto"/>
        </w:rPr>
      </w:pPr>
      <w:r>
        <w:rPr>
          <w:rFonts w:hint="eastAsia"/>
          <w:color w:val="auto"/>
        </w:rPr>
        <w:t>办公室负责项目的计划制定、实施，督查、指导相关单位共同做好项目管理工作。切实把该项目作为</w:t>
      </w:r>
      <w:r>
        <w:rPr>
          <w:rFonts w:hint="eastAsia"/>
          <w:color w:val="auto"/>
          <w:lang w:val="en-US" w:eastAsia="zh-CN"/>
        </w:rPr>
        <w:t>药材产业健康发展</w:t>
      </w:r>
      <w:r>
        <w:rPr>
          <w:rFonts w:hint="eastAsia"/>
          <w:color w:val="auto"/>
        </w:rPr>
        <w:t>建设的重要举措来抓，加强领导，明确分工，落实责任，密切配合，形成合力，推动该项目顺利实施。</w:t>
      </w:r>
    </w:p>
    <w:p w14:paraId="65807786">
      <w:pPr>
        <w:pStyle w:val="33"/>
        <w:spacing w:before="0" w:beforeLines="0"/>
        <w:rPr>
          <w:color w:val="auto"/>
        </w:rPr>
      </w:pPr>
      <w:r>
        <w:rPr>
          <w:rFonts w:hint="eastAsia"/>
          <w:color w:val="auto"/>
        </w:rPr>
        <w:t>2.组织实施</w:t>
      </w:r>
    </w:p>
    <w:p w14:paraId="46D84E3A">
      <w:pPr>
        <w:pStyle w:val="52"/>
        <w:spacing w:line="560" w:lineRule="exact"/>
        <w:ind w:left="3" w:right="3" w:firstLine="560"/>
        <w:rPr>
          <w:color w:val="auto"/>
        </w:rPr>
      </w:pPr>
      <w:r>
        <w:rPr>
          <w:color w:val="auto"/>
        </w:rPr>
        <w:t>成立绩效自评工作组后，经评价组通过实地调研等方式，采用综合分析法对项目的决策、管理、绩效进行的综合评价分析。</w:t>
      </w:r>
    </w:p>
    <w:p w14:paraId="00FCC10C">
      <w:pPr>
        <w:pStyle w:val="33"/>
        <w:spacing w:before="0" w:beforeLines="0"/>
        <w:rPr>
          <w:color w:val="auto"/>
        </w:rPr>
      </w:pPr>
      <w:r>
        <w:rPr>
          <w:rFonts w:hint="eastAsia"/>
          <w:color w:val="auto"/>
        </w:rPr>
        <w:t>3.分析评价。</w:t>
      </w:r>
    </w:p>
    <w:p w14:paraId="7DA603EB">
      <w:pPr>
        <w:pStyle w:val="52"/>
        <w:spacing w:line="560" w:lineRule="exact"/>
        <w:ind w:left="3" w:right="3" w:firstLine="560"/>
        <w:rPr>
          <w:color w:val="auto"/>
        </w:rPr>
      </w:pPr>
      <w:r>
        <w:rPr>
          <w:color w:val="auto"/>
        </w:rPr>
        <w:t>首先按照指标体系进行定量、定性分析。其次开展量化打分、综合评价工作，形成初步评价结论。最后归纳整体项目情况与存在问题，撰写绩效自评报告。</w:t>
      </w:r>
    </w:p>
    <w:p w14:paraId="3E029C42">
      <w:pPr>
        <w:pStyle w:val="52"/>
        <w:spacing w:line="560" w:lineRule="exact"/>
        <w:ind w:left="3" w:right="3" w:firstLine="560"/>
        <w:rPr>
          <w:color w:val="auto"/>
        </w:rPr>
      </w:pPr>
      <w:r>
        <w:rPr>
          <w:color w:val="auto"/>
        </w:rPr>
        <w:t>（1）绩效自评指标体系</w:t>
      </w:r>
    </w:p>
    <w:p w14:paraId="60E4F58F">
      <w:pPr>
        <w:pStyle w:val="52"/>
        <w:spacing w:line="560" w:lineRule="exact"/>
        <w:ind w:left="3" w:right="3" w:firstLine="560"/>
        <w:rPr>
          <w:color w:val="auto"/>
        </w:rPr>
      </w:pPr>
      <w:r>
        <w:rPr>
          <w:color w:val="auto"/>
        </w:rPr>
        <w:t>按照《自治区财政专项扶贫资金绩效管理操作指南》（新财预〔2019〕170号）文件要求，并根据项目各项指标重要程度确定二级指标的分值，并对核心指标赋予更高的权重。其中：数量指标</w:t>
      </w:r>
      <w:r>
        <w:rPr>
          <w:rFonts w:hint="eastAsia"/>
          <w:color w:val="auto"/>
          <w:lang w:val="en-US" w:eastAsia="zh-CN"/>
        </w:rPr>
        <w:t>25</w:t>
      </w:r>
      <w:r>
        <w:rPr>
          <w:color w:val="auto"/>
        </w:rPr>
        <w:t>分、质量指标</w:t>
      </w:r>
      <w:r>
        <w:rPr>
          <w:rFonts w:hint="eastAsia"/>
          <w:color w:val="auto"/>
          <w:lang w:val="en-US" w:eastAsia="zh-CN"/>
        </w:rPr>
        <w:t>10</w:t>
      </w:r>
      <w:r>
        <w:rPr>
          <w:color w:val="auto"/>
        </w:rPr>
        <w:t>分，时效指标</w:t>
      </w:r>
      <w:r>
        <w:rPr>
          <w:rFonts w:hint="eastAsia"/>
          <w:color w:val="auto"/>
          <w:lang w:val="en-US" w:eastAsia="zh-CN"/>
        </w:rPr>
        <w:t>5</w:t>
      </w:r>
      <w:r>
        <w:rPr>
          <w:color w:val="auto"/>
        </w:rPr>
        <w:t>分、成本指标</w:t>
      </w:r>
      <w:r>
        <w:rPr>
          <w:rFonts w:hint="eastAsia"/>
          <w:color w:val="auto"/>
          <w:lang w:val="en-US" w:eastAsia="zh-CN"/>
        </w:rPr>
        <w:t>10</w:t>
      </w:r>
      <w:r>
        <w:rPr>
          <w:color w:val="auto"/>
        </w:rPr>
        <w:t>分、社会效益指标1</w:t>
      </w:r>
      <w:r>
        <w:rPr>
          <w:rFonts w:hint="eastAsia"/>
          <w:color w:val="auto"/>
          <w:lang w:val="en-US" w:eastAsia="zh-CN"/>
        </w:rPr>
        <w:t>5</w:t>
      </w:r>
      <w:r>
        <w:rPr>
          <w:color w:val="auto"/>
        </w:rPr>
        <w:t>分、可持续影响指标</w:t>
      </w:r>
      <w:r>
        <w:rPr>
          <w:rFonts w:hint="eastAsia"/>
          <w:color w:val="auto"/>
          <w:lang w:val="en-US" w:eastAsia="zh-CN"/>
        </w:rPr>
        <w:t>15</w:t>
      </w:r>
      <w:r>
        <w:rPr>
          <w:color w:val="auto"/>
        </w:rPr>
        <w:t>分、满意度指标10分、预算资金执行率10分，满分100分。</w:t>
      </w:r>
    </w:p>
    <w:p w14:paraId="6554C03A">
      <w:pPr>
        <w:pStyle w:val="52"/>
        <w:spacing w:line="560" w:lineRule="exact"/>
        <w:ind w:left="3" w:right="3" w:firstLine="560"/>
        <w:rPr>
          <w:color w:val="auto"/>
        </w:rPr>
      </w:pPr>
      <w:r>
        <w:rPr>
          <w:color w:val="auto"/>
        </w:rPr>
        <w:t>（2）绩效自评方法</w:t>
      </w:r>
    </w:p>
    <w:p w14:paraId="07BD1E7B">
      <w:pPr>
        <w:pStyle w:val="52"/>
        <w:spacing w:line="560" w:lineRule="exact"/>
        <w:ind w:left="3" w:right="3" w:firstLine="560"/>
        <w:rPr>
          <w:color w:val="auto"/>
        </w:rPr>
      </w:pPr>
      <w:r>
        <w:rPr>
          <w:color w:val="auto"/>
        </w:rPr>
        <w:t>本次绩效自评采用比较法和综合分析法对项目资金的使用管理、项目产出、综合效益等进行评价。</w:t>
      </w:r>
    </w:p>
    <w:p w14:paraId="054078EE">
      <w:pPr>
        <w:pStyle w:val="52"/>
        <w:spacing w:line="560" w:lineRule="exact"/>
        <w:ind w:left="3" w:right="3" w:firstLine="560"/>
        <w:rPr>
          <w:color w:val="auto"/>
        </w:rPr>
      </w:pPr>
      <w:r>
        <w:rPr>
          <w:color w:val="auto"/>
        </w:rPr>
        <w:t>（3）绩效自评标准</w:t>
      </w:r>
    </w:p>
    <w:p w14:paraId="55B53DC3">
      <w:pPr>
        <w:pStyle w:val="52"/>
        <w:spacing w:line="560" w:lineRule="exact"/>
        <w:ind w:left="3" w:right="3" w:firstLine="560"/>
        <w:rPr>
          <w:color w:val="auto"/>
        </w:rPr>
      </w:pPr>
      <w:r>
        <w:rPr>
          <w:color w:val="auto"/>
        </w:rPr>
        <w:t>绩效评价标准通常包括计划标准、行业标准、历史标准等，用于对绩效指标完成情况进行比较。本次评价主要采用了计划标准，以预先制定的目标、计划、预算、定额等作为评价标准，对比分析项目产出、效益的完成情况。</w:t>
      </w:r>
    </w:p>
    <w:p w14:paraId="088A9B87">
      <w:pPr>
        <w:pStyle w:val="52"/>
        <w:spacing w:line="560" w:lineRule="exact"/>
        <w:ind w:left="3" w:right="3" w:firstLine="560"/>
        <w:rPr>
          <w:color w:val="auto"/>
        </w:rPr>
      </w:pPr>
      <w:r>
        <w:rPr>
          <w:color w:val="auto"/>
        </w:rPr>
        <w:t>（4）绩效自评等级</w:t>
      </w:r>
    </w:p>
    <w:p w14:paraId="757BEBB2">
      <w:pPr>
        <w:pStyle w:val="52"/>
        <w:spacing w:line="560" w:lineRule="exact"/>
        <w:ind w:left="3" w:right="3" w:firstLine="560"/>
        <w:rPr>
          <w:color w:val="auto"/>
        </w:rPr>
      </w:pPr>
      <w:r>
        <w:rPr>
          <w:color w:val="auto"/>
        </w:rPr>
        <w:t>绩效自评总分值100分，根据评分结果，90（含）-100分为优、80（含）-90分为良、60（含）-80分为中、60分以下为差。</w:t>
      </w:r>
    </w:p>
    <w:p w14:paraId="24BBBE5E">
      <w:pPr>
        <w:pStyle w:val="29"/>
        <w:spacing w:before="120"/>
        <w:ind w:leftChars="0" w:right="3" w:firstLine="562" w:firstLineChars="200"/>
        <w:rPr>
          <w:color w:val="auto"/>
        </w:rPr>
      </w:pPr>
      <w:r>
        <w:rPr>
          <w:rFonts w:hint="eastAsia"/>
          <w:color w:val="auto"/>
        </w:rPr>
        <w:t>三、绩效目标自评完成情况分析</w:t>
      </w:r>
    </w:p>
    <w:p w14:paraId="5AF1EEF9">
      <w:pPr>
        <w:spacing w:line="560" w:lineRule="exact"/>
        <w:ind w:firstLine="546" w:firstLineChars="200"/>
        <w:rPr>
          <w:rStyle w:val="19"/>
          <w:rFonts w:ascii="楷体_GB2312" w:hAnsi="楷体" w:cs="Times New Roman"/>
          <w:spacing w:val="-4"/>
          <w:sz w:val="28"/>
          <w:szCs w:val="32"/>
        </w:rPr>
      </w:pPr>
      <w:r>
        <w:rPr>
          <w:rStyle w:val="19"/>
          <w:rFonts w:hint="eastAsia" w:ascii="楷体_GB2312" w:hAnsi="楷体" w:cs="Times New Roman"/>
          <w:spacing w:val="-4"/>
          <w:sz w:val="28"/>
          <w:szCs w:val="32"/>
        </w:rPr>
        <w:t>（一）资金投入情况分析</w:t>
      </w:r>
    </w:p>
    <w:p w14:paraId="4DE4BF0E">
      <w:pPr>
        <w:pStyle w:val="33"/>
        <w:rPr>
          <w:color w:val="auto"/>
        </w:rPr>
      </w:pPr>
      <w:r>
        <w:rPr>
          <w:rFonts w:hint="eastAsia"/>
          <w:color w:val="auto"/>
        </w:rPr>
        <w:t>1.项目资金到位情况分析</w:t>
      </w:r>
    </w:p>
    <w:p w14:paraId="29D45A95">
      <w:pPr>
        <w:pStyle w:val="52"/>
        <w:spacing w:line="560" w:lineRule="exact"/>
        <w:ind w:left="0" w:leftChars="0" w:right="3" w:firstLine="560"/>
        <w:rPr>
          <w:color w:val="auto"/>
        </w:rPr>
      </w:pPr>
      <w:r>
        <w:rPr>
          <w:rFonts w:hint="eastAsia" w:ascii="仿宋_GB2312"/>
          <w:color w:val="auto"/>
          <w:szCs w:val="32"/>
        </w:rPr>
        <w:t>于田县</w:t>
      </w:r>
      <w:r>
        <w:rPr>
          <w:rFonts w:hint="eastAsia" w:ascii="仿宋_GB2312"/>
          <w:color w:val="auto"/>
          <w:szCs w:val="32"/>
          <w:lang w:val="en-US" w:eastAsia="zh-CN"/>
        </w:rPr>
        <w:t>中药材交易市场建设项目</w:t>
      </w:r>
      <w:r>
        <w:rPr>
          <w:rFonts w:hint="eastAsia"/>
          <w:color w:val="auto"/>
        </w:rPr>
        <w:t>预算安排总额为</w:t>
      </w:r>
      <w:r>
        <w:rPr>
          <w:rFonts w:hint="eastAsia"/>
          <w:color w:val="auto"/>
          <w:lang w:val="en-US" w:eastAsia="zh-CN"/>
        </w:rPr>
        <w:t>400</w:t>
      </w:r>
      <w:r>
        <w:rPr>
          <w:rFonts w:hint="eastAsia"/>
          <w:color w:val="auto"/>
        </w:rPr>
        <w:t>.00万元，其中：</w:t>
      </w:r>
      <w:r>
        <w:rPr>
          <w:rFonts w:hint="eastAsia"/>
          <w:color w:val="auto"/>
          <w:lang w:val="en-US" w:eastAsia="zh-CN"/>
        </w:rPr>
        <w:t>乡村振兴衔接</w:t>
      </w:r>
      <w:r>
        <w:rPr>
          <w:rFonts w:hint="eastAsia"/>
          <w:color w:val="auto"/>
        </w:rPr>
        <w:t>资金</w:t>
      </w:r>
      <w:r>
        <w:rPr>
          <w:rFonts w:hint="eastAsia"/>
          <w:color w:val="auto"/>
          <w:lang w:val="en-US" w:eastAsia="zh-CN"/>
        </w:rPr>
        <w:t>400</w:t>
      </w:r>
      <w:r>
        <w:rPr>
          <w:rFonts w:hint="eastAsia"/>
          <w:color w:val="auto"/>
        </w:rPr>
        <w:t>.00万元。预算资金到位率为100.00%。</w:t>
      </w:r>
    </w:p>
    <w:p w14:paraId="07439823">
      <w:pPr>
        <w:pStyle w:val="52"/>
        <w:spacing w:line="560" w:lineRule="exact"/>
        <w:ind w:left="0" w:leftChars="0" w:right="3" w:firstLine="562"/>
        <w:rPr>
          <w:b/>
          <w:color w:val="auto"/>
        </w:rPr>
      </w:pPr>
      <w:r>
        <w:rPr>
          <w:rFonts w:hint="eastAsia"/>
          <w:b/>
          <w:color w:val="auto"/>
        </w:rPr>
        <w:t>2.项目资金执行情况分析</w:t>
      </w:r>
    </w:p>
    <w:p w14:paraId="0FFE651D">
      <w:pPr>
        <w:pStyle w:val="52"/>
        <w:spacing w:line="560" w:lineRule="exact"/>
        <w:ind w:left="0" w:leftChars="0" w:right="3" w:firstLine="560"/>
        <w:rPr>
          <w:rFonts w:hint="eastAsia"/>
          <w:color w:val="auto"/>
        </w:rPr>
      </w:pPr>
      <w:r>
        <w:rPr>
          <w:rFonts w:hint="eastAsia" w:ascii="仿宋_GB2312"/>
          <w:color w:val="auto"/>
          <w:szCs w:val="32"/>
        </w:rPr>
        <w:t>于田县</w:t>
      </w:r>
      <w:r>
        <w:rPr>
          <w:rFonts w:hint="eastAsia" w:ascii="仿宋_GB2312"/>
          <w:color w:val="auto"/>
          <w:szCs w:val="32"/>
          <w:lang w:val="en-US" w:eastAsia="zh-CN"/>
        </w:rPr>
        <w:t>中药材交易市场建设项目</w:t>
      </w:r>
      <w:r>
        <w:rPr>
          <w:rFonts w:hint="eastAsia"/>
          <w:color w:val="auto"/>
        </w:rPr>
        <w:t>预算投入资金</w:t>
      </w:r>
      <w:r>
        <w:rPr>
          <w:rFonts w:hint="eastAsia"/>
          <w:color w:val="auto"/>
          <w:lang w:val="en-US" w:eastAsia="zh-CN"/>
        </w:rPr>
        <w:t>400</w:t>
      </w:r>
      <w:r>
        <w:rPr>
          <w:rFonts w:hint="eastAsia"/>
          <w:color w:val="auto"/>
        </w:rPr>
        <w:t>万元，其中：</w:t>
      </w:r>
      <w:r>
        <w:rPr>
          <w:rFonts w:hint="eastAsia"/>
          <w:color w:val="auto"/>
          <w:lang w:val="en-US" w:eastAsia="zh-CN"/>
        </w:rPr>
        <w:t>工程建安费302.49万元，设备购置费用38万元，工程其他费40.46万元，工程基本预备费19.05方元。</w:t>
      </w:r>
      <w:r>
        <w:rPr>
          <w:rFonts w:hint="eastAsia"/>
          <w:color w:val="auto"/>
        </w:rPr>
        <w:t>截至202</w:t>
      </w:r>
      <w:r>
        <w:rPr>
          <w:rFonts w:hint="eastAsia"/>
          <w:color w:val="auto"/>
          <w:lang w:val="en-US" w:eastAsia="zh-CN"/>
        </w:rPr>
        <w:t>4</w:t>
      </w:r>
      <w:r>
        <w:rPr>
          <w:rFonts w:hint="eastAsia"/>
          <w:color w:val="auto"/>
        </w:rPr>
        <w:t>年12月3</w:t>
      </w:r>
      <w:r>
        <w:rPr>
          <w:rFonts w:hint="eastAsia"/>
          <w:color w:val="auto"/>
          <w:lang w:val="en-US" w:eastAsia="zh-CN"/>
        </w:rPr>
        <w:t>1</w:t>
      </w:r>
      <w:r>
        <w:rPr>
          <w:rFonts w:hint="eastAsia"/>
          <w:color w:val="auto"/>
        </w:rPr>
        <w:t>日，</w:t>
      </w:r>
      <w:r>
        <w:rPr>
          <w:rFonts w:hint="eastAsia"/>
          <w:color w:val="auto"/>
          <w:lang w:val="en-US" w:eastAsia="zh-CN"/>
        </w:rPr>
        <w:t>经财务决算审定，项目投资398.13万元，其中：建筑安装投资308.95万元，设备工具投资54.32万元，待摊投资34.85万元。</w:t>
      </w:r>
      <w:r>
        <w:rPr>
          <w:rFonts w:hint="eastAsia"/>
          <w:color w:val="auto"/>
        </w:rPr>
        <w:t>实际支出</w:t>
      </w:r>
      <w:r>
        <w:rPr>
          <w:rFonts w:hint="eastAsia"/>
          <w:color w:val="auto"/>
          <w:lang w:val="en-US" w:eastAsia="zh-CN"/>
        </w:rPr>
        <w:t>资金216.17</w:t>
      </w:r>
      <w:r>
        <w:rPr>
          <w:rFonts w:hint="eastAsia"/>
          <w:color w:val="auto"/>
        </w:rPr>
        <w:t>万元，</w:t>
      </w:r>
      <w:r>
        <w:rPr>
          <w:rFonts w:hint="eastAsia"/>
          <w:color w:val="auto"/>
          <w:lang w:val="en-US" w:eastAsia="zh-CN"/>
        </w:rPr>
        <w:t>剩余资金181.95万元待支付，</w:t>
      </w:r>
      <w:r>
        <w:rPr>
          <w:rFonts w:hint="eastAsia"/>
          <w:color w:val="auto"/>
        </w:rPr>
        <w:t>预算资金执行率</w:t>
      </w:r>
      <w:r>
        <w:rPr>
          <w:rFonts w:hint="eastAsia"/>
          <w:color w:val="auto"/>
          <w:lang w:val="en-US" w:eastAsia="zh-CN"/>
        </w:rPr>
        <w:t>54.04</w:t>
      </w:r>
      <w:r>
        <w:rPr>
          <w:rFonts w:hint="eastAsia"/>
          <w:color w:val="auto"/>
        </w:rPr>
        <w:t>%。</w:t>
      </w:r>
    </w:p>
    <w:p w14:paraId="0487E3AE">
      <w:pPr>
        <w:pStyle w:val="33"/>
        <w:rPr>
          <w:color w:val="auto"/>
        </w:rPr>
      </w:pPr>
      <w:r>
        <w:rPr>
          <w:rFonts w:hint="eastAsia"/>
          <w:color w:val="auto"/>
        </w:rPr>
        <w:t>3.项目资金管理情况分析</w:t>
      </w:r>
    </w:p>
    <w:p w14:paraId="75E20C5F">
      <w:pPr>
        <w:pStyle w:val="52"/>
        <w:spacing w:line="560" w:lineRule="exact"/>
        <w:ind w:left="0" w:leftChars="0" w:right="3" w:firstLine="560"/>
        <w:rPr>
          <w:color w:val="auto"/>
        </w:rPr>
      </w:pPr>
      <w:r>
        <w:rPr>
          <w:color w:val="auto"/>
        </w:rPr>
        <w:t>项目资金使用和管理按照关于印发《中央财政衔接推进乡村振兴补助资金管理办法》的通知（财农〔2021〕19号）、《新疆维吾尔自治区财政财政衔接推进乡村振兴补助资金管理办法》（新财规〔2021〕11号）等相关文件要求。项目实施单位依据项目计划，提出支付申请并提供相关真实、合规的证明材料，制定资金使用计划，经审核后按照国库集中支付管理制度的规定和程序及时支付资金。资金的拨付过程有完整的审批程序和手续，不存在截留、挤占、挪用等情况。</w:t>
      </w:r>
    </w:p>
    <w:p w14:paraId="69CCE700">
      <w:pPr>
        <w:pStyle w:val="52"/>
        <w:spacing w:line="560" w:lineRule="exact"/>
        <w:ind w:leftChars="0" w:right="3" w:firstLine="562"/>
        <w:rPr>
          <w:b/>
          <w:color w:val="auto"/>
        </w:rPr>
      </w:pPr>
      <w:r>
        <w:rPr>
          <w:rFonts w:hint="eastAsia"/>
          <w:b/>
          <w:color w:val="auto"/>
        </w:rPr>
        <w:t>4.项目管理情况分析</w:t>
      </w:r>
    </w:p>
    <w:p w14:paraId="1347116C">
      <w:pPr>
        <w:pStyle w:val="52"/>
        <w:spacing w:line="580" w:lineRule="exact"/>
        <w:ind w:left="0" w:leftChars="0" w:right="3" w:firstLine="560"/>
        <w:rPr>
          <w:color w:val="auto"/>
        </w:rPr>
      </w:pPr>
      <w:r>
        <w:rPr>
          <w:rFonts w:hint="eastAsia"/>
          <w:color w:val="auto"/>
        </w:rPr>
        <w:t>在项目实施中，于田县</w:t>
      </w:r>
      <w:r>
        <w:rPr>
          <w:rFonts w:hint="eastAsia"/>
          <w:color w:val="auto"/>
          <w:lang w:val="en-US" w:eastAsia="zh-CN"/>
        </w:rPr>
        <w:t>商工</w:t>
      </w:r>
      <w:r>
        <w:rPr>
          <w:rFonts w:hint="eastAsia"/>
          <w:color w:val="auto"/>
        </w:rPr>
        <w:t>局建立了项目管理制度，用以保障本项目的顺利实施。项目的实施遵守相关法律法规和业务管理规定，项目资料齐全并及时归档。已建立项目监督检查机制，不定期对项目进度情况进行督导检查，对检查过程中发现的问题及时督促整改，确保了项目按时保质完成。</w:t>
      </w:r>
    </w:p>
    <w:p w14:paraId="172E2E68">
      <w:pPr>
        <w:spacing w:line="580" w:lineRule="exact"/>
        <w:ind w:firstLine="546" w:firstLineChars="200"/>
        <w:rPr>
          <w:rStyle w:val="19"/>
          <w:rFonts w:ascii="楷体_GB2312" w:hAnsi="楷体" w:cs="Times New Roman"/>
          <w:spacing w:val="-4"/>
          <w:sz w:val="28"/>
          <w:szCs w:val="32"/>
        </w:rPr>
      </w:pPr>
      <w:r>
        <w:rPr>
          <w:rStyle w:val="19"/>
          <w:rFonts w:hint="eastAsia" w:ascii="楷体_GB2312" w:hAnsi="楷体" w:cs="Times New Roman"/>
          <w:spacing w:val="-4"/>
          <w:sz w:val="28"/>
          <w:szCs w:val="32"/>
        </w:rPr>
        <w:t>（二）绩效目标完成情况分析</w:t>
      </w:r>
    </w:p>
    <w:p w14:paraId="65007D43">
      <w:pPr>
        <w:pStyle w:val="52"/>
        <w:spacing w:line="580" w:lineRule="exact"/>
        <w:ind w:left="3" w:right="3" w:firstLine="560"/>
        <w:rPr>
          <w:color w:val="auto"/>
        </w:rPr>
      </w:pPr>
      <w:r>
        <w:rPr>
          <w:color w:val="auto"/>
        </w:rPr>
        <w:t>本项目</w:t>
      </w:r>
      <w:r>
        <w:rPr>
          <w:rFonts w:hint="eastAsia"/>
          <w:color w:val="auto"/>
        </w:rPr>
        <w:t>截止</w:t>
      </w:r>
      <w:r>
        <w:rPr>
          <w:color w:val="auto"/>
        </w:rPr>
        <w:t>202</w:t>
      </w:r>
      <w:r>
        <w:rPr>
          <w:rFonts w:hint="eastAsia"/>
          <w:color w:val="auto"/>
          <w:lang w:val="en-US" w:eastAsia="zh-CN"/>
        </w:rPr>
        <w:t>4</w:t>
      </w:r>
      <w:r>
        <w:rPr>
          <w:color w:val="auto"/>
        </w:rPr>
        <w:t>年</w:t>
      </w:r>
      <w:r>
        <w:rPr>
          <w:rFonts w:hint="eastAsia"/>
          <w:color w:val="auto"/>
        </w:rPr>
        <w:t>1</w:t>
      </w:r>
      <w:r>
        <w:rPr>
          <w:rFonts w:hint="eastAsia"/>
          <w:color w:val="auto"/>
          <w:lang w:val="en-US" w:eastAsia="zh-CN"/>
        </w:rPr>
        <w:t>2</w:t>
      </w:r>
      <w:r>
        <w:rPr>
          <w:rFonts w:hint="eastAsia"/>
          <w:color w:val="auto"/>
        </w:rPr>
        <w:t>月底，已完成新建d400污水重力管网(HDPE)1352.77米，φ1000 检查井25座，污水闸槽井1座，d200污水压力管(PE100)2592.65米，φ1200检查查井30座，一体化污水提升泵站(2.2米玻璃钢、85立方米/每小时)一座及其附属设施。有助于于田县中药材产业发展壮大</w:t>
      </w:r>
      <w:r>
        <w:rPr>
          <w:rFonts w:hint="eastAsia"/>
          <w:color w:val="auto"/>
          <w:lang w:eastAsia="zh-CN"/>
        </w:rPr>
        <w:t>，</w:t>
      </w:r>
      <w:r>
        <w:rPr>
          <w:rFonts w:hint="eastAsia"/>
          <w:color w:val="auto"/>
        </w:rPr>
        <w:t>完善了中药材交易市场的配套，促进县城中药材贸易的规范化和标准化。建设美丽宜居乡村为导向，着力解决了脏、乱、差问题，加大了乡村人居环境整治力度。</w:t>
      </w:r>
    </w:p>
    <w:p w14:paraId="34A8CE56">
      <w:pPr>
        <w:pStyle w:val="52"/>
        <w:ind w:left="0" w:leftChars="0" w:right="0" w:rightChars="0" w:firstLine="560"/>
        <w:rPr>
          <w:color w:val="auto"/>
        </w:rPr>
      </w:pPr>
      <w:r>
        <w:rPr>
          <w:color w:val="auto"/>
        </w:rPr>
        <w:t>本</w:t>
      </w:r>
      <w:r>
        <w:rPr>
          <w:rFonts w:hint="eastAsia"/>
          <w:color w:val="auto"/>
        </w:rPr>
        <w:t>项目共设置一级指标3个，二级指标</w:t>
      </w:r>
      <w:r>
        <w:rPr>
          <w:rFonts w:hint="eastAsia"/>
          <w:color w:val="auto"/>
          <w:lang w:val="en-US" w:eastAsia="zh-CN"/>
        </w:rPr>
        <w:t>7</w:t>
      </w:r>
      <w:r>
        <w:rPr>
          <w:rFonts w:hint="eastAsia"/>
          <w:color w:val="auto"/>
        </w:rPr>
        <w:t>个，三级指标1</w:t>
      </w:r>
      <w:r>
        <w:rPr>
          <w:rFonts w:hint="eastAsia"/>
          <w:color w:val="auto"/>
          <w:lang w:val="en-US" w:eastAsia="zh-CN"/>
        </w:rPr>
        <w:t>3</w:t>
      </w:r>
      <w:r>
        <w:rPr>
          <w:rFonts w:hint="eastAsia"/>
          <w:color w:val="auto"/>
        </w:rPr>
        <w:t>个，其中已完成三级指标</w:t>
      </w:r>
      <w:r>
        <w:rPr>
          <w:rFonts w:hint="eastAsia"/>
          <w:color w:val="auto"/>
          <w:lang w:val="en-US" w:eastAsia="zh-CN"/>
        </w:rPr>
        <w:t>8</w:t>
      </w:r>
      <w:r>
        <w:rPr>
          <w:rFonts w:hint="eastAsia"/>
          <w:color w:val="auto"/>
        </w:rPr>
        <w:t>个，指标完成率为</w:t>
      </w:r>
      <w:r>
        <w:rPr>
          <w:rFonts w:hint="eastAsia"/>
          <w:color w:val="auto"/>
          <w:lang w:val="en-US" w:eastAsia="zh-CN"/>
        </w:rPr>
        <w:t>61.53</w:t>
      </w:r>
      <w:r>
        <w:rPr>
          <w:rFonts w:hint="eastAsia"/>
          <w:color w:val="auto"/>
        </w:rPr>
        <w:t>%，指标完成情况分析如下：</w:t>
      </w:r>
    </w:p>
    <w:p w14:paraId="072F4B62">
      <w:pPr>
        <w:pStyle w:val="52"/>
        <w:spacing w:line="580" w:lineRule="exact"/>
        <w:ind w:left="0" w:leftChars="0" w:right="0" w:rightChars="0" w:firstLine="562"/>
        <w:rPr>
          <w:b/>
          <w:color w:val="auto"/>
        </w:rPr>
      </w:pPr>
      <w:r>
        <w:rPr>
          <w:rFonts w:hint="eastAsia"/>
          <w:b/>
          <w:color w:val="auto"/>
        </w:rPr>
        <w:t>1.产出指标完成情况分析</w:t>
      </w:r>
    </w:p>
    <w:p w14:paraId="202B4249">
      <w:pPr>
        <w:pStyle w:val="52"/>
        <w:spacing w:line="580" w:lineRule="exact"/>
        <w:ind w:left="0" w:leftChars="0" w:right="0" w:rightChars="0" w:firstLine="560"/>
        <w:rPr>
          <w:rFonts w:ascii="仿宋_GB2312"/>
          <w:color w:val="auto"/>
        </w:rPr>
      </w:pPr>
      <w:r>
        <w:rPr>
          <w:rFonts w:hint="eastAsia" w:ascii="仿宋_GB2312"/>
          <w:color w:val="auto"/>
        </w:rPr>
        <w:t>1.1项目完成数量</w:t>
      </w:r>
    </w:p>
    <w:p w14:paraId="4A393E59">
      <w:pPr>
        <w:pStyle w:val="52"/>
        <w:spacing w:line="560" w:lineRule="exact"/>
        <w:ind w:left="0" w:leftChars="0" w:right="0" w:rightChars="0" w:firstLine="560"/>
        <w:rPr>
          <w:rFonts w:hint="eastAsia"/>
          <w:color w:val="auto"/>
        </w:rPr>
      </w:pPr>
      <w:r>
        <w:rPr>
          <w:rFonts w:hint="eastAsia" w:ascii="仿宋_GB2312"/>
          <w:color w:val="auto"/>
          <w:lang w:eastAsia="zh-CN"/>
        </w:rPr>
        <w:t>“</w:t>
      </w:r>
      <w:r>
        <w:rPr>
          <w:rFonts w:hint="eastAsia" w:ascii="仿宋_GB2312"/>
          <w:color w:val="auto"/>
        </w:rPr>
        <w:t>新建d400污水重力管网(HDPE)长度</w:t>
      </w:r>
      <w:r>
        <w:rPr>
          <w:rFonts w:hint="eastAsia" w:ascii="仿宋_GB2312"/>
          <w:color w:val="auto"/>
          <w:lang w:eastAsia="zh-CN"/>
        </w:rPr>
        <w:t>”</w:t>
      </w:r>
      <w:r>
        <w:rPr>
          <w:rFonts w:hint="eastAsia"/>
          <w:color w:val="auto"/>
        </w:rPr>
        <w:t>指标，预期指标值为</w:t>
      </w:r>
      <w:r>
        <w:rPr>
          <w:rFonts w:hint="eastAsia"/>
          <w:color w:val="auto"/>
          <w:lang w:eastAsia="zh-CN"/>
        </w:rPr>
        <w:t>大于等于</w:t>
      </w:r>
      <w:r>
        <w:rPr>
          <w:rFonts w:hint="eastAsia"/>
          <w:color w:val="auto"/>
          <w:lang w:val="en-US" w:eastAsia="zh-CN"/>
        </w:rPr>
        <w:t>2002米</w:t>
      </w:r>
      <w:r>
        <w:rPr>
          <w:rFonts w:hint="eastAsia"/>
          <w:color w:val="auto"/>
        </w:rPr>
        <w:t>,全年实际值为</w:t>
      </w:r>
      <w:r>
        <w:rPr>
          <w:rFonts w:hint="eastAsia"/>
          <w:color w:val="auto"/>
          <w:lang w:val="en-US" w:eastAsia="zh-CN"/>
        </w:rPr>
        <w:t>1352.77米</w:t>
      </w:r>
      <w:r>
        <w:rPr>
          <w:rFonts w:hint="eastAsia"/>
          <w:color w:val="auto"/>
        </w:rPr>
        <w:t>，指标完成率为</w:t>
      </w:r>
      <w:r>
        <w:rPr>
          <w:rFonts w:hint="eastAsia"/>
          <w:color w:val="auto"/>
          <w:lang w:val="en-US" w:eastAsia="zh-CN"/>
        </w:rPr>
        <w:t>67.57</w:t>
      </w:r>
      <w:r>
        <w:rPr>
          <w:rFonts w:hint="eastAsia"/>
          <w:color w:val="auto"/>
        </w:rPr>
        <w:t>%。所设分值</w:t>
      </w:r>
      <w:r>
        <w:rPr>
          <w:rFonts w:hint="eastAsia"/>
          <w:color w:val="auto"/>
          <w:lang w:val="en-US" w:eastAsia="zh-CN"/>
        </w:rPr>
        <w:t>5</w:t>
      </w:r>
      <w:r>
        <w:rPr>
          <w:rFonts w:hint="eastAsia"/>
          <w:color w:val="auto"/>
        </w:rPr>
        <w:t>分，实际得分</w:t>
      </w:r>
      <w:r>
        <w:rPr>
          <w:rFonts w:hint="eastAsia"/>
          <w:color w:val="auto"/>
          <w:lang w:val="en-US" w:eastAsia="zh-CN"/>
        </w:rPr>
        <w:t>3.37</w:t>
      </w:r>
      <w:r>
        <w:rPr>
          <w:rFonts w:hint="eastAsia"/>
          <w:color w:val="auto"/>
        </w:rPr>
        <w:t>分。偏差原因：项目根据实际施工需求实施，数量减少。改进措施；加强项目管理。</w:t>
      </w:r>
    </w:p>
    <w:p w14:paraId="66CC49FE">
      <w:pPr>
        <w:pStyle w:val="52"/>
        <w:spacing w:line="560" w:lineRule="exact"/>
        <w:ind w:left="0" w:leftChars="0" w:right="0" w:rightChars="0" w:firstLine="560"/>
        <w:rPr>
          <w:rFonts w:hint="eastAsia"/>
          <w:color w:val="auto"/>
        </w:rPr>
      </w:pPr>
      <w:r>
        <w:rPr>
          <w:rFonts w:hint="eastAsia" w:ascii="仿宋_GB2312"/>
          <w:color w:val="auto"/>
          <w:lang w:eastAsia="zh-CN"/>
        </w:rPr>
        <w:t>“</w:t>
      </w:r>
      <w:r>
        <w:rPr>
          <w:rFonts w:hint="eastAsia" w:ascii="仿宋_GB2312"/>
          <w:color w:val="auto"/>
        </w:rPr>
        <w:t>新建φ1000检查井数量</w:t>
      </w:r>
      <w:r>
        <w:rPr>
          <w:rFonts w:hint="eastAsia" w:ascii="仿宋_GB2312"/>
          <w:color w:val="auto"/>
          <w:lang w:eastAsia="zh-CN"/>
        </w:rPr>
        <w:t>”</w:t>
      </w:r>
      <w:r>
        <w:rPr>
          <w:rFonts w:hint="eastAsia"/>
          <w:color w:val="auto"/>
        </w:rPr>
        <w:t>指标，预期指标值为</w:t>
      </w:r>
      <w:r>
        <w:rPr>
          <w:rFonts w:hint="eastAsia"/>
          <w:color w:val="auto"/>
          <w:lang w:eastAsia="zh-CN"/>
        </w:rPr>
        <w:t>大于等于</w:t>
      </w:r>
      <w:r>
        <w:rPr>
          <w:rFonts w:hint="eastAsia"/>
          <w:color w:val="auto"/>
          <w:lang w:val="en-US" w:eastAsia="zh-CN"/>
        </w:rPr>
        <w:t>40座</w:t>
      </w:r>
      <w:r>
        <w:rPr>
          <w:rFonts w:hint="eastAsia"/>
          <w:color w:val="auto"/>
        </w:rPr>
        <w:t>,全年实际值为</w:t>
      </w:r>
      <w:r>
        <w:rPr>
          <w:rFonts w:hint="eastAsia"/>
          <w:color w:val="auto"/>
          <w:lang w:val="en-US" w:eastAsia="zh-CN"/>
        </w:rPr>
        <w:t>25座</w:t>
      </w:r>
      <w:r>
        <w:rPr>
          <w:rFonts w:hint="eastAsia"/>
          <w:color w:val="auto"/>
        </w:rPr>
        <w:t>，指标完成率为</w:t>
      </w:r>
      <w:r>
        <w:rPr>
          <w:rFonts w:hint="eastAsia"/>
          <w:color w:val="auto"/>
          <w:lang w:val="en-US" w:eastAsia="zh-CN"/>
        </w:rPr>
        <w:t>62.5</w:t>
      </w:r>
      <w:r>
        <w:rPr>
          <w:rFonts w:hint="eastAsia"/>
          <w:color w:val="auto"/>
        </w:rPr>
        <w:t>%。所设分值</w:t>
      </w:r>
      <w:r>
        <w:rPr>
          <w:rFonts w:hint="eastAsia"/>
          <w:color w:val="auto"/>
          <w:lang w:val="en-US" w:eastAsia="zh-CN"/>
        </w:rPr>
        <w:t>5</w:t>
      </w:r>
      <w:r>
        <w:rPr>
          <w:rFonts w:hint="eastAsia"/>
          <w:color w:val="auto"/>
        </w:rPr>
        <w:t>分，实际得分</w:t>
      </w:r>
      <w:r>
        <w:rPr>
          <w:rFonts w:hint="eastAsia"/>
          <w:color w:val="auto"/>
          <w:lang w:val="en-US" w:eastAsia="zh-CN"/>
        </w:rPr>
        <w:t>3.13</w:t>
      </w:r>
      <w:r>
        <w:rPr>
          <w:rFonts w:hint="eastAsia"/>
          <w:color w:val="auto"/>
        </w:rPr>
        <w:t>分。偏差原因：项目根据实际施工需求实施，数量减少。改进措施；加强项目管理。</w:t>
      </w:r>
    </w:p>
    <w:p w14:paraId="227EA8D5">
      <w:pPr>
        <w:pStyle w:val="52"/>
        <w:spacing w:line="560" w:lineRule="exact"/>
        <w:ind w:left="0" w:leftChars="0" w:right="0" w:rightChars="0" w:firstLine="560"/>
        <w:rPr>
          <w:rFonts w:hint="eastAsia"/>
          <w:color w:val="auto"/>
        </w:rPr>
      </w:pPr>
      <w:r>
        <w:rPr>
          <w:rFonts w:hint="eastAsia" w:ascii="仿宋_GB2312"/>
          <w:color w:val="auto"/>
          <w:lang w:eastAsia="zh-CN"/>
        </w:rPr>
        <w:t>“</w:t>
      </w:r>
      <w:r>
        <w:rPr>
          <w:rFonts w:hint="eastAsia" w:ascii="仿宋_GB2312"/>
          <w:color w:val="auto"/>
        </w:rPr>
        <w:t>新建污水闸槽井数量</w:t>
      </w:r>
      <w:r>
        <w:rPr>
          <w:rFonts w:hint="eastAsia" w:ascii="仿宋_GB2312"/>
          <w:color w:val="auto"/>
          <w:lang w:eastAsia="zh-CN"/>
        </w:rPr>
        <w:t>”</w:t>
      </w:r>
      <w:r>
        <w:rPr>
          <w:rFonts w:hint="eastAsia"/>
          <w:color w:val="auto"/>
        </w:rPr>
        <w:t>指标，预期指标值为</w:t>
      </w:r>
      <w:r>
        <w:rPr>
          <w:rFonts w:hint="eastAsia"/>
          <w:color w:val="auto"/>
          <w:lang w:eastAsia="zh-CN"/>
        </w:rPr>
        <w:t>大于等于</w:t>
      </w:r>
      <w:r>
        <w:rPr>
          <w:rFonts w:hint="eastAsia"/>
          <w:color w:val="auto"/>
          <w:lang w:val="en-US" w:eastAsia="zh-CN"/>
        </w:rPr>
        <w:t>1座</w:t>
      </w:r>
      <w:r>
        <w:rPr>
          <w:rFonts w:hint="eastAsia"/>
          <w:color w:val="auto"/>
        </w:rPr>
        <w:t>,全年实际值为</w:t>
      </w:r>
      <w:r>
        <w:rPr>
          <w:rFonts w:hint="eastAsia"/>
          <w:color w:val="auto"/>
          <w:lang w:val="en-US" w:eastAsia="zh-CN"/>
        </w:rPr>
        <w:t>1座</w:t>
      </w:r>
      <w:r>
        <w:rPr>
          <w:rFonts w:hint="eastAsia"/>
          <w:color w:val="auto"/>
        </w:rPr>
        <w:t>，指标完成率为100.00%。所设分值</w:t>
      </w:r>
      <w:r>
        <w:rPr>
          <w:rFonts w:hint="eastAsia"/>
          <w:color w:val="auto"/>
          <w:lang w:val="en-US" w:eastAsia="zh-CN"/>
        </w:rPr>
        <w:t>5</w:t>
      </w:r>
      <w:r>
        <w:rPr>
          <w:rFonts w:hint="eastAsia"/>
          <w:color w:val="auto"/>
        </w:rPr>
        <w:t>分，实际得分</w:t>
      </w:r>
      <w:r>
        <w:rPr>
          <w:rFonts w:hint="eastAsia"/>
          <w:color w:val="auto"/>
          <w:lang w:val="en-US" w:eastAsia="zh-CN"/>
        </w:rPr>
        <w:t>5</w:t>
      </w:r>
      <w:r>
        <w:rPr>
          <w:rFonts w:hint="eastAsia"/>
          <w:color w:val="auto"/>
        </w:rPr>
        <w:t>分。</w:t>
      </w:r>
    </w:p>
    <w:p w14:paraId="0F2AA83A">
      <w:pPr>
        <w:pStyle w:val="52"/>
        <w:spacing w:line="560" w:lineRule="exact"/>
        <w:ind w:left="0" w:leftChars="0" w:right="0" w:rightChars="0" w:firstLine="560"/>
        <w:rPr>
          <w:rFonts w:hint="eastAsia"/>
          <w:color w:val="auto"/>
        </w:rPr>
      </w:pPr>
      <w:r>
        <w:rPr>
          <w:rFonts w:hint="eastAsia" w:ascii="仿宋_GB2312"/>
          <w:color w:val="auto"/>
          <w:lang w:eastAsia="zh-CN"/>
        </w:rPr>
        <w:t>“</w:t>
      </w:r>
      <w:r>
        <w:rPr>
          <w:rFonts w:hint="eastAsia" w:ascii="仿宋_GB2312"/>
          <w:color w:val="auto"/>
        </w:rPr>
        <w:t>新建d200污水压力管(PE100)长度</w:t>
      </w:r>
      <w:r>
        <w:rPr>
          <w:rFonts w:hint="eastAsia" w:ascii="仿宋_GB2312"/>
          <w:color w:val="auto"/>
          <w:lang w:eastAsia="zh-CN"/>
        </w:rPr>
        <w:t>”</w:t>
      </w:r>
      <w:r>
        <w:rPr>
          <w:rFonts w:hint="eastAsia"/>
          <w:color w:val="auto"/>
        </w:rPr>
        <w:t>指标，预期指标值为</w:t>
      </w:r>
      <w:r>
        <w:rPr>
          <w:rFonts w:hint="eastAsia"/>
          <w:color w:val="auto"/>
          <w:lang w:eastAsia="zh-CN"/>
        </w:rPr>
        <w:t>大于等于</w:t>
      </w:r>
      <w:r>
        <w:rPr>
          <w:rFonts w:hint="eastAsia"/>
          <w:color w:val="auto"/>
        </w:rPr>
        <w:t>2505米平方米,全年实际值为2592.65米，指标完成率为</w:t>
      </w:r>
      <w:r>
        <w:rPr>
          <w:rFonts w:hint="eastAsia"/>
          <w:color w:val="auto"/>
          <w:lang w:val="en-US" w:eastAsia="zh-CN"/>
        </w:rPr>
        <w:t>100</w:t>
      </w:r>
      <w:r>
        <w:rPr>
          <w:rFonts w:hint="eastAsia"/>
          <w:color w:val="auto"/>
        </w:rPr>
        <w:t>%。所设分值</w:t>
      </w:r>
      <w:r>
        <w:rPr>
          <w:rFonts w:hint="eastAsia"/>
          <w:color w:val="auto"/>
          <w:lang w:val="en-US" w:eastAsia="zh-CN"/>
        </w:rPr>
        <w:t>5</w:t>
      </w:r>
      <w:r>
        <w:rPr>
          <w:rFonts w:hint="eastAsia"/>
          <w:color w:val="auto"/>
        </w:rPr>
        <w:t>分，实际得分</w:t>
      </w:r>
      <w:r>
        <w:rPr>
          <w:rFonts w:hint="eastAsia"/>
          <w:color w:val="auto"/>
          <w:lang w:val="en-US" w:eastAsia="zh-CN"/>
        </w:rPr>
        <w:t>5</w:t>
      </w:r>
      <w:r>
        <w:rPr>
          <w:rFonts w:hint="eastAsia"/>
          <w:color w:val="auto"/>
        </w:rPr>
        <w:t>分。</w:t>
      </w:r>
    </w:p>
    <w:p w14:paraId="0FA21D85">
      <w:pPr>
        <w:pStyle w:val="52"/>
        <w:spacing w:line="560" w:lineRule="exact"/>
        <w:ind w:left="0" w:leftChars="0" w:right="0" w:rightChars="0" w:firstLine="560"/>
        <w:rPr>
          <w:rFonts w:hint="eastAsia"/>
          <w:color w:val="auto"/>
        </w:rPr>
      </w:pPr>
      <w:r>
        <w:rPr>
          <w:rFonts w:hint="eastAsia" w:ascii="仿宋_GB2312"/>
          <w:color w:val="auto"/>
          <w:lang w:eastAsia="zh-CN"/>
        </w:rPr>
        <w:t>“</w:t>
      </w:r>
      <w:r>
        <w:rPr>
          <w:rFonts w:hint="eastAsia" w:ascii="仿宋_GB2312"/>
          <w:color w:val="auto"/>
        </w:rPr>
        <w:t>新建φ1200检查查井数量</w:t>
      </w:r>
      <w:r>
        <w:rPr>
          <w:rFonts w:hint="eastAsia" w:ascii="仿宋_GB2312"/>
          <w:color w:val="auto"/>
          <w:lang w:eastAsia="zh-CN"/>
        </w:rPr>
        <w:t>”</w:t>
      </w:r>
      <w:r>
        <w:rPr>
          <w:rFonts w:hint="eastAsia"/>
          <w:color w:val="auto"/>
        </w:rPr>
        <w:t>指标，预期指标值为</w:t>
      </w:r>
      <w:r>
        <w:rPr>
          <w:rFonts w:hint="eastAsia"/>
          <w:color w:val="auto"/>
          <w:lang w:eastAsia="zh-CN"/>
        </w:rPr>
        <w:t>大于等于</w:t>
      </w:r>
      <w:r>
        <w:rPr>
          <w:rFonts w:hint="eastAsia"/>
          <w:color w:val="auto"/>
        </w:rPr>
        <w:t>30座,全年实际值为30座，指标完成率为100.00%。所设分值</w:t>
      </w:r>
      <w:r>
        <w:rPr>
          <w:rFonts w:hint="eastAsia"/>
          <w:color w:val="auto"/>
          <w:lang w:val="en-US" w:eastAsia="zh-CN"/>
        </w:rPr>
        <w:t>5</w:t>
      </w:r>
      <w:r>
        <w:rPr>
          <w:rFonts w:hint="eastAsia"/>
          <w:color w:val="auto"/>
        </w:rPr>
        <w:t>分，实际得分</w:t>
      </w:r>
      <w:r>
        <w:rPr>
          <w:rFonts w:hint="eastAsia"/>
          <w:color w:val="auto"/>
          <w:lang w:val="en-US" w:eastAsia="zh-CN"/>
        </w:rPr>
        <w:t>5</w:t>
      </w:r>
      <w:r>
        <w:rPr>
          <w:rFonts w:hint="eastAsia"/>
          <w:color w:val="auto"/>
        </w:rPr>
        <w:t>分。</w:t>
      </w:r>
    </w:p>
    <w:p w14:paraId="0645773C">
      <w:pPr>
        <w:pStyle w:val="52"/>
        <w:spacing w:line="560" w:lineRule="exact"/>
        <w:ind w:left="0" w:leftChars="0" w:right="0" w:rightChars="0" w:firstLine="560"/>
        <w:rPr>
          <w:color w:val="auto"/>
        </w:rPr>
      </w:pPr>
      <w:r>
        <w:rPr>
          <w:rFonts w:ascii="仿宋_GB2312"/>
          <w:color w:val="auto"/>
        </w:rPr>
        <w:t>1.2项目完成质量</w:t>
      </w:r>
    </w:p>
    <w:p w14:paraId="3D9C565C">
      <w:pPr>
        <w:pStyle w:val="52"/>
        <w:spacing w:line="560" w:lineRule="exact"/>
        <w:ind w:left="0" w:leftChars="0" w:right="0" w:rightChars="0" w:firstLine="560"/>
        <w:rPr>
          <w:rFonts w:hint="eastAsia"/>
          <w:color w:val="auto"/>
        </w:rPr>
      </w:pPr>
      <w:r>
        <w:rPr>
          <w:rFonts w:hint="eastAsia"/>
          <w:color w:val="auto"/>
        </w:rPr>
        <w:t>“项目（工程）验收合格率”指标，预期指标值为</w:t>
      </w:r>
      <w:r>
        <w:rPr>
          <w:rFonts w:hint="eastAsia"/>
          <w:color w:val="auto"/>
          <w:lang w:val="en-US" w:eastAsia="zh-CN"/>
        </w:rPr>
        <w:t>等于</w:t>
      </w:r>
      <w:r>
        <w:rPr>
          <w:rFonts w:hint="eastAsia"/>
          <w:color w:val="auto"/>
        </w:rPr>
        <w:t>100.00%,全年实际值为100.00%，指标完成率为100.00%。所设分值</w:t>
      </w:r>
      <w:r>
        <w:rPr>
          <w:rFonts w:hint="eastAsia"/>
          <w:color w:val="auto"/>
          <w:lang w:val="en-US" w:eastAsia="zh-CN"/>
        </w:rPr>
        <w:t>5</w:t>
      </w:r>
      <w:r>
        <w:rPr>
          <w:rFonts w:hint="eastAsia"/>
          <w:color w:val="auto"/>
        </w:rPr>
        <w:t>分，实际得分</w:t>
      </w:r>
      <w:r>
        <w:rPr>
          <w:rFonts w:hint="eastAsia"/>
          <w:color w:val="auto"/>
          <w:lang w:val="en-US" w:eastAsia="zh-CN"/>
        </w:rPr>
        <w:t>5</w:t>
      </w:r>
      <w:r>
        <w:rPr>
          <w:rFonts w:hint="eastAsia"/>
          <w:color w:val="auto"/>
        </w:rPr>
        <w:t>分。</w:t>
      </w:r>
    </w:p>
    <w:p w14:paraId="7F1DD022">
      <w:pPr>
        <w:pStyle w:val="52"/>
        <w:spacing w:line="560" w:lineRule="exact"/>
        <w:ind w:left="0" w:leftChars="0" w:right="0" w:rightChars="0" w:firstLine="560"/>
        <w:rPr>
          <w:color w:val="auto"/>
        </w:rPr>
      </w:pPr>
      <w:r>
        <w:rPr>
          <w:rFonts w:hint="eastAsia"/>
          <w:color w:val="auto"/>
        </w:rPr>
        <w:t>“资金支付合规率”指标，预期指标值为</w:t>
      </w:r>
      <w:r>
        <w:rPr>
          <w:rFonts w:hint="eastAsia"/>
          <w:color w:val="auto"/>
          <w:lang w:val="en-US" w:eastAsia="zh-CN"/>
        </w:rPr>
        <w:t>等于</w:t>
      </w:r>
      <w:r>
        <w:rPr>
          <w:rFonts w:hint="eastAsia"/>
          <w:color w:val="auto"/>
        </w:rPr>
        <w:t>100.00%,全年实际值为100.00%，指标完成率为100.00%。所设分值</w:t>
      </w:r>
      <w:r>
        <w:rPr>
          <w:rFonts w:hint="eastAsia"/>
          <w:color w:val="auto"/>
          <w:lang w:val="en-US" w:eastAsia="zh-CN"/>
        </w:rPr>
        <w:t>5</w:t>
      </w:r>
      <w:r>
        <w:rPr>
          <w:rFonts w:hint="eastAsia"/>
          <w:color w:val="auto"/>
        </w:rPr>
        <w:t>分，实际得分</w:t>
      </w:r>
      <w:r>
        <w:rPr>
          <w:rFonts w:hint="eastAsia"/>
          <w:color w:val="auto"/>
          <w:lang w:val="en-US" w:eastAsia="zh-CN"/>
        </w:rPr>
        <w:t>5</w:t>
      </w:r>
      <w:r>
        <w:rPr>
          <w:rFonts w:hint="eastAsia"/>
          <w:color w:val="auto"/>
        </w:rPr>
        <w:t>分。</w:t>
      </w:r>
    </w:p>
    <w:p w14:paraId="4B707360">
      <w:pPr>
        <w:pStyle w:val="52"/>
        <w:spacing w:line="560" w:lineRule="exact"/>
        <w:ind w:left="0" w:leftChars="0" w:right="0" w:rightChars="0" w:firstLine="560"/>
        <w:rPr>
          <w:color w:val="auto"/>
        </w:rPr>
      </w:pPr>
      <w:r>
        <w:rPr>
          <w:color w:val="auto"/>
        </w:rPr>
        <w:t>1.3项目完成时效</w:t>
      </w:r>
    </w:p>
    <w:p w14:paraId="70D1E1BF">
      <w:pPr>
        <w:pStyle w:val="52"/>
        <w:spacing w:line="560" w:lineRule="exact"/>
        <w:ind w:left="0" w:leftChars="0" w:right="0" w:rightChars="0" w:firstLine="560"/>
        <w:rPr>
          <w:rFonts w:hint="eastAsia"/>
          <w:color w:val="auto"/>
        </w:rPr>
      </w:pPr>
      <w:r>
        <w:rPr>
          <w:rFonts w:hint="eastAsia"/>
          <w:color w:val="auto"/>
        </w:rPr>
        <w:t>“资金支付及时率”指标，预期指标值为</w:t>
      </w:r>
      <w:r>
        <w:rPr>
          <w:rFonts w:hint="eastAsia"/>
          <w:color w:val="auto"/>
          <w:lang w:val="en-US" w:eastAsia="zh-CN"/>
        </w:rPr>
        <w:t>等于</w:t>
      </w:r>
      <w:r>
        <w:rPr>
          <w:rFonts w:hint="eastAsia"/>
          <w:color w:val="auto"/>
        </w:rPr>
        <w:t>100.00%,全年实际值为</w:t>
      </w:r>
      <w:r>
        <w:rPr>
          <w:rFonts w:hint="eastAsia"/>
          <w:color w:val="auto"/>
          <w:lang w:val="en-US" w:eastAsia="zh-CN"/>
        </w:rPr>
        <w:t>54</w:t>
      </w:r>
      <w:r>
        <w:rPr>
          <w:rFonts w:hint="eastAsia"/>
          <w:color w:val="auto"/>
        </w:rPr>
        <w:t>.00%，指标完成率为</w:t>
      </w:r>
      <w:r>
        <w:rPr>
          <w:rFonts w:hint="eastAsia"/>
          <w:color w:val="auto"/>
          <w:lang w:val="en-US" w:eastAsia="zh-CN"/>
        </w:rPr>
        <w:t>54</w:t>
      </w:r>
      <w:r>
        <w:rPr>
          <w:rFonts w:hint="eastAsia"/>
          <w:color w:val="auto"/>
        </w:rPr>
        <w:t>.0</w:t>
      </w:r>
      <w:r>
        <w:rPr>
          <w:rFonts w:hint="eastAsia"/>
          <w:color w:val="auto"/>
          <w:lang w:val="en-US" w:eastAsia="zh-CN"/>
        </w:rPr>
        <w:t>4</w:t>
      </w:r>
      <w:r>
        <w:rPr>
          <w:rFonts w:hint="eastAsia"/>
          <w:color w:val="auto"/>
        </w:rPr>
        <w:t>%。所设分值</w:t>
      </w:r>
      <w:r>
        <w:rPr>
          <w:rFonts w:hint="eastAsia"/>
          <w:color w:val="auto"/>
          <w:lang w:val="en-US" w:eastAsia="zh-CN"/>
        </w:rPr>
        <w:t>5</w:t>
      </w:r>
      <w:r>
        <w:rPr>
          <w:rFonts w:hint="eastAsia"/>
          <w:color w:val="auto"/>
        </w:rPr>
        <w:t>分，实际得分</w:t>
      </w:r>
      <w:r>
        <w:rPr>
          <w:rFonts w:hint="eastAsia"/>
          <w:color w:val="auto"/>
          <w:lang w:val="en-US" w:eastAsia="zh-CN"/>
        </w:rPr>
        <w:t>2.7</w:t>
      </w:r>
      <w:r>
        <w:rPr>
          <w:rFonts w:hint="eastAsia"/>
          <w:color w:val="auto"/>
        </w:rPr>
        <w:t>分。</w:t>
      </w:r>
    </w:p>
    <w:p w14:paraId="1F3C9482">
      <w:pPr>
        <w:pStyle w:val="52"/>
        <w:spacing w:line="560" w:lineRule="exact"/>
        <w:ind w:left="0" w:leftChars="0" w:right="0" w:rightChars="0" w:firstLine="560"/>
        <w:rPr>
          <w:rFonts w:hint="default" w:eastAsia="仿宋_GB2312"/>
          <w:color w:val="auto"/>
          <w:lang w:val="en-US" w:eastAsia="zh-CN"/>
        </w:rPr>
      </w:pPr>
      <w:r>
        <w:rPr>
          <w:rFonts w:hint="eastAsia"/>
          <w:color w:val="auto"/>
          <w:lang w:val="en-US" w:eastAsia="zh-CN"/>
        </w:rPr>
        <w:t>偏差原因：项目按合同约定支付，剩余资金正在审批中。改进措施：严格按照项目预算管理，加强项目管控。</w:t>
      </w:r>
    </w:p>
    <w:p w14:paraId="3EF16D38">
      <w:pPr>
        <w:pStyle w:val="52"/>
        <w:spacing w:line="560" w:lineRule="exact"/>
        <w:ind w:left="0" w:leftChars="0" w:right="0" w:rightChars="0" w:firstLine="560"/>
        <w:rPr>
          <w:color w:val="auto"/>
        </w:rPr>
      </w:pPr>
      <w:r>
        <w:rPr>
          <w:color w:val="auto"/>
        </w:rPr>
        <w:t>1.4项目成本节约情况</w:t>
      </w:r>
    </w:p>
    <w:p w14:paraId="3F6D8AD8">
      <w:pPr>
        <w:pStyle w:val="52"/>
        <w:spacing w:line="560" w:lineRule="exact"/>
        <w:ind w:left="0" w:leftChars="0" w:right="0" w:rightChars="0" w:firstLine="560"/>
        <w:rPr>
          <w:color w:val="auto"/>
        </w:rPr>
      </w:pPr>
      <w:r>
        <w:rPr>
          <w:rFonts w:hint="eastAsia"/>
          <w:color w:val="auto"/>
        </w:rPr>
        <w:t>为有效控制项目实施成本，我单位在实施项目前就该项目设定了成本控制指标，实施过程中我单位通过公开招标的方式有效降低了项目执行成本，具体指标设置及完成情况如下：</w:t>
      </w:r>
    </w:p>
    <w:p w14:paraId="4AE48255">
      <w:pPr>
        <w:pStyle w:val="33"/>
        <w:ind w:firstLine="560"/>
        <w:rPr>
          <w:rFonts w:hint="eastAsia"/>
          <w:b w:val="0"/>
          <w:color w:val="auto"/>
        </w:rPr>
      </w:pPr>
      <w:bookmarkStart w:id="0" w:name="OLE_LINK1"/>
      <w:r>
        <w:rPr>
          <w:rFonts w:hint="eastAsia"/>
          <w:b w:val="0"/>
          <w:color w:val="auto"/>
        </w:rPr>
        <w:t>“工程成本”指标，预期指标值为</w:t>
      </w:r>
      <w:r>
        <w:rPr>
          <w:rFonts w:hint="eastAsia"/>
          <w:b w:val="0"/>
          <w:color w:val="auto"/>
          <w:lang w:eastAsia="zh-CN"/>
        </w:rPr>
        <w:t>小于等于</w:t>
      </w:r>
      <w:r>
        <w:rPr>
          <w:rFonts w:hint="eastAsia"/>
          <w:b w:val="0"/>
          <w:color w:val="auto"/>
        </w:rPr>
        <w:t>340.49万元,全年实际值为</w:t>
      </w:r>
      <w:r>
        <w:rPr>
          <w:rFonts w:hint="eastAsia"/>
          <w:b w:val="0"/>
          <w:color w:val="auto"/>
          <w:lang w:val="en-US" w:eastAsia="zh-CN"/>
        </w:rPr>
        <w:t>204</w:t>
      </w:r>
      <w:r>
        <w:rPr>
          <w:rFonts w:hint="eastAsia"/>
          <w:b w:val="0"/>
          <w:color w:val="auto"/>
        </w:rPr>
        <w:t>万元，指标完成率为</w:t>
      </w:r>
      <w:r>
        <w:rPr>
          <w:rFonts w:hint="eastAsia"/>
          <w:b w:val="0"/>
          <w:color w:val="auto"/>
          <w:lang w:val="en-US" w:eastAsia="zh-CN"/>
        </w:rPr>
        <w:t>59.91</w:t>
      </w:r>
      <w:r>
        <w:rPr>
          <w:rFonts w:hint="eastAsia"/>
          <w:b w:val="0"/>
          <w:color w:val="auto"/>
        </w:rPr>
        <w:t>%。所设分值</w:t>
      </w:r>
      <w:r>
        <w:rPr>
          <w:rFonts w:hint="eastAsia"/>
          <w:b w:val="0"/>
          <w:color w:val="auto"/>
          <w:lang w:val="en-US" w:eastAsia="zh-CN"/>
        </w:rPr>
        <w:t>5</w:t>
      </w:r>
      <w:r>
        <w:rPr>
          <w:rFonts w:hint="eastAsia"/>
          <w:b w:val="0"/>
          <w:color w:val="auto"/>
        </w:rPr>
        <w:t>分，实际得分</w:t>
      </w:r>
      <w:r>
        <w:rPr>
          <w:rFonts w:hint="eastAsia"/>
          <w:b w:val="0"/>
          <w:color w:val="auto"/>
          <w:lang w:val="en-US" w:eastAsia="zh-CN"/>
        </w:rPr>
        <w:t>3</w:t>
      </w:r>
      <w:r>
        <w:rPr>
          <w:rFonts w:hint="eastAsia"/>
          <w:b w:val="0"/>
          <w:color w:val="auto"/>
        </w:rPr>
        <w:t>分。</w:t>
      </w:r>
    </w:p>
    <w:p w14:paraId="7B8083BD">
      <w:pPr>
        <w:pStyle w:val="33"/>
        <w:ind w:firstLine="560"/>
        <w:jc w:val="both"/>
        <w:rPr>
          <w:rFonts w:hint="eastAsia"/>
          <w:b w:val="0"/>
          <w:color w:val="auto"/>
        </w:rPr>
      </w:pPr>
      <w:r>
        <w:rPr>
          <w:rFonts w:hint="eastAsia"/>
          <w:b w:val="0"/>
          <w:color w:val="auto"/>
        </w:rPr>
        <w:t>偏差原因：项目已完工，经相关决算审定，工程审定价为398.12万元，其中已支付216.17万元，尚有应付款为181.95万元，剩余资金相关支付手续正在审批中。改进措施：加强项目建设资金管理。</w:t>
      </w:r>
    </w:p>
    <w:p w14:paraId="79C76141">
      <w:pPr>
        <w:pStyle w:val="33"/>
        <w:ind w:firstLine="560"/>
        <w:jc w:val="both"/>
        <w:rPr>
          <w:rFonts w:hint="eastAsia"/>
          <w:b w:val="0"/>
          <w:color w:val="auto"/>
        </w:rPr>
      </w:pPr>
      <w:r>
        <w:rPr>
          <w:rFonts w:hint="eastAsia"/>
          <w:b w:val="0"/>
          <w:color w:val="auto"/>
        </w:rPr>
        <w:t>“其他</w:t>
      </w:r>
      <w:r>
        <w:rPr>
          <w:rFonts w:hint="eastAsia"/>
          <w:b w:val="0"/>
          <w:color w:val="auto"/>
          <w:lang w:val="en-US" w:eastAsia="zh-CN"/>
        </w:rPr>
        <w:t>成本</w:t>
      </w:r>
      <w:r>
        <w:rPr>
          <w:rFonts w:hint="eastAsia"/>
          <w:b w:val="0"/>
          <w:color w:val="auto"/>
        </w:rPr>
        <w:t>”指标，预期指标值为</w:t>
      </w:r>
      <w:r>
        <w:rPr>
          <w:rFonts w:hint="eastAsia"/>
          <w:b w:val="0"/>
          <w:color w:val="auto"/>
          <w:lang w:eastAsia="zh-CN"/>
        </w:rPr>
        <w:t>小于等于</w:t>
      </w:r>
      <w:r>
        <w:rPr>
          <w:rFonts w:hint="eastAsia"/>
          <w:b w:val="0"/>
          <w:color w:val="auto"/>
        </w:rPr>
        <w:t>59.51万元,全年实际值为</w:t>
      </w:r>
      <w:r>
        <w:rPr>
          <w:rFonts w:hint="eastAsia"/>
          <w:b w:val="0"/>
          <w:color w:val="auto"/>
          <w:lang w:val="en-US" w:eastAsia="zh-CN"/>
        </w:rPr>
        <w:t>12.17</w:t>
      </w:r>
      <w:r>
        <w:rPr>
          <w:rFonts w:hint="eastAsia"/>
          <w:b w:val="0"/>
          <w:color w:val="auto"/>
        </w:rPr>
        <w:t>万元，指标完成率为</w:t>
      </w:r>
      <w:r>
        <w:rPr>
          <w:rFonts w:hint="eastAsia"/>
          <w:b w:val="0"/>
          <w:color w:val="auto"/>
          <w:lang w:val="en-US" w:eastAsia="zh-CN"/>
        </w:rPr>
        <w:t>20.45</w:t>
      </w:r>
      <w:r>
        <w:rPr>
          <w:rFonts w:hint="eastAsia"/>
          <w:b w:val="0"/>
          <w:color w:val="auto"/>
        </w:rPr>
        <w:t>%。所设分值</w:t>
      </w:r>
      <w:r>
        <w:rPr>
          <w:rFonts w:hint="eastAsia"/>
          <w:b w:val="0"/>
          <w:color w:val="auto"/>
          <w:lang w:val="en-US" w:eastAsia="zh-CN"/>
        </w:rPr>
        <w:t>5</w:t>
      </w:r>
      <w:r>
        <w:rPr>
          <w:rFonts w:hint="eastAsia"/>
          <w:b w:val="0"/>
          <w:color w:val="auto"/>
        </w:rPr>
        <w:t>分，实际得分</w:t>
      </w:r>
      <w:r>
        <w:rPr>
          <w:rFonts w:hint="eastAsia"/>
          <w:b w:val="0"/>
          <w:color w:val="auto"/>
          <w:lang w:val="en-US" w:eastAsia="zh-CN"/>
        </w:rPr>
        <w:t>1.02</w:t>
      </w:r>
      <w:r>
        <w:rPr>
          <w:rFonts w:hint="eastAsia"/>
          <w:b w:val="0"/>
          <w:color w:val="auto"/>
        </w:rPr>
        <w:t>分。</w:t>
      </w:r>
    </w:p>
    <w:p w14:paraId="27A3E57F">
      <w:pPr>
        <w:pStyle w:val="33"/>
        <w:rPr>
          <w:rFonts w:hint="eastAsia"/>
          <w:b w:val="0"/>
          <w:color w:val="auto"/>
        </w:rPr>
      </w:pPr>
      <w:r>
        <w:rPr>
          <w:rFonts w:hint="eastAsia"/>
          <w:b w:val="0"/>
          <w:color w:val="auto"/>
        </w:rPr>
        <w:t>偏差原因：项目已完工，经相关决算审定，工程审定价为398.12万元，其中已支付216.17万元，尚有应付款为181.95万元，剩余资金相关支付手续正在审批中。改进措施：加强项目建设资金管理。</w:t>
      </w:r>
      <w:bookmarkEnd w:id="0"/>
    </w:p>
    <w:p w14:paraId="51B1D277">
      <w:pPr>
        <w:pStyle w:val="33"/>
        <w:rPr>
          <w:color w:val="auto"/>
        </w:rPr>
      </w:pPr>
      <w:r>
        <w:rPr>
          <w:rFonts w:hint="eastAsia"/>
          <w:color w:val="auto"/>
        </w:rPr>
        <w:t>2.效益指标完成情况分析</w:t>
      </w:r>
    </w:p>
    <w:p w14:paraId="59563F34">
      <w:pPr>
        <w:pStyle w:val="52"/>
        <w:spacing w:line="560" w:lineRule="exact"/>
        <w:ind w:left="0" w:leftChars="0" w:right="0" w:rightChars="0" w:firstLine="560"/>
        <w:rPr>
          <w:color w:val="auto"/>
        </w:rPr>
      </w:pPr>
      <w:r>
        <w:rPr>
          <w:color w:val="auto"/>
        </w:rPr>
        <w:t>2.1项目实施的社会效益分析</w:t>
      </w:r>
    </w:p>
    <w:p w14:paraId="0AB3A211">
      <w:pPr>
        <w:pStyle w:val="52"/>
        <w:spacing w:line="560" w:lineRule="exact"/>
        <w:ind w:left="0" w:leftChars="0" w:right="0" w:rightChars="0" w:firstLine="560"/>
        <w:rPr>
          <w:color w:val="auto"/>
        </w:rPr>
      </w:pPr>
      <w:r>
        <w:rPr>
          <w:rFonts w:hint="eastAsia"/>
          <w:color w:val="auto"/>
        </w:rPr>
        <w:t>“有助于于田县中药材产业发展壮大”指标，指标预期值为有效促进，实际完成值为</w:t>
      </w:r>
      <w:r>
        <w:rPr>
          <w:rFonts w:hint="eastAsia"/>
          <w:color w:val="auto"/>
          <w:lang w:val="en-US" w:eastAsia="zh-CN"/>
        </w:rPr>
        <w:t>有效促进</w:t>
      </w:r>
      <w:r>
        <w:rPr>
          <w:rFonts w:hint="eastAsia"/>
          <w:color w:val="auto"/>
        </w:rPr>
        <w:t>，指标完成率为</w:t>
      </w:r>
      <w:r>
        <w:rPr>
          <w:color w:val="auto"/>
        </w:rPr>
        <w:t>100</w:t>
      </w:r>
      <w:r>
        <w:rPr>
          <w:rFonts w:hint="eastAsia"/>
          <w:color w:val="auto"/>
        </w:rPr>
        <w:t>%。所设分值</w:t>
      </w:r>
      <w:r>
        <w:rPr>
          <w:rFonts w:hint="eastAsia"/>
          <w:color w:val="auto"/>
          <w:lang w:val="en-US" w:eastAsia="zh-CN"/>
        </w:rPr>
        <w:t>15</w:t>
      </w:r>
      <w:r>
        <w:rPr>
          <w:rFonts w:hint="eastAsia"/>
          <w:color w:val="auto"/>
        </w:rPr>
        <w:t>分，实际得分</w:t>
      </w:r>
      <w:r>
        <w:rPr>
          <w:rFonts w:hint="eastAsia"/>
          <w:color w:val="auto"/>
          <w:lang w:val="en-US" w:eastAsia="zh-CN"/>
        </w:rPr>
        <w:t>15</w:t>
      </w:r>
      <w:r>
        <w:rPr>
          <w:rFonts w:hint="eastAsia"/>
          <w:color w:val="auto"/>
        </w:rPr>
        <w:t>分。</w:t>
      </w:r>
    </w:p>
    <w:p w14:paraId="3C26D9DD">
      <w:pPr>
        <w:pStyle w:val="52"/>
        <w:spacing w:line="560" w:lineRule="exact"/>
        <w:ind w:left="0" w:leftChars="0" w:right="0" w:rightChars="0" w:firstLine="560"/>
        <w:rPr>
          <w:color w:val="auto"/>
        </w:rPr>
      </w:pPr>
      <w:r>
        <w:rPr>
          <w:color w:val="auto"/>
        </w:rPr>
        <w:t>2.</w:t>
      </w:r>
      <w:r>
        <w:rPr>
          <w:rFonts w:hint="eastAsia"/>
          <w:color w:val="auto"/>
          <w:lang w:val="en-US" w:eastAsia="zh-CN"/>
        </w:rPr>
        <w:t>2</w:t>
      </w:r>
      <w:r>
        <w:rPr>
          <w:color w:val="auto"/>
        </w:rPr>
        <w:t>项目实施的可持续影响分析</w:t>
      </w:r>
    </w:p>
    <w:p w14:paraId="1308C676">
      <w:pPr>
        <w:pStyle w:val="33"/>
        <w:ind w:firstLine="560"/>
        <w:rPr>
          <w:b w:val="0"/>
          <w:color w:val="auto"/>
        </w:rPr>
      </w:pPr>
      <w:r>
        <w:rPr>
          <w:rFonts w:hint="eastAsia"/>
          <w:b w:val="0"/>
          <w:color w:val="auto"/>
        </w:rPr>
        <w:t>“保障于田县中药材市场正常运行”指标，指标预期值为</w:t>
      </w:r>
      <w:r>
        <w:rPr>
          <w:rFonts w:hint="eastAsia"/>
          <w:b w:val="0"/>
          <w:color w:val="auto"/>
          <w:lang w:val="en-US" w:eastAsia="zh-CN"/>
        </w:rPr>
        <w:t>有效保障</w:t>
      </w:r>
      <w:r>
        <w:rPr>
          <w:rFonts w:hint="eastAsia"/>
          <w:b w:val="0"/>
          <w:color w:val="auto"/>
        </w:rPr>
        <w:t>，实际完成值为</w:t>
      </w:r>
      <w:r>
        <w:rPr>
          <w:rFonts w:hint="eastAsia"/>
          <w:b w:val="0"/>
          <w:color w:val="auto"/>
          <w:lang w:val="en-US" w:eastAsia="zh-CN"/>
        </w:rPr>
        <w:t>有效保障</w:t>
      </w:r>
      <w:r>
        <w:rPr>
          <w:rFonts w:hint="eastAsia"/>
          <w:b w:val="0"/>
          <w:color w:val="auto"/>
        </w:rPr>
        <w:t>，指标完成率为100.00%。所设分值</w:t>
      </w:r>
      <w:r>
        <w:rPr>
          <w:rFonts w:hint="eastAsia"/>
          <w:b w:val="0"/>
          <w:color w:val="auto"/>
          <w:lang w:val="en-US" w:eastAsia="zh-CN"/>
        </w:rPr>
        <w:t>15</w:t>
      </w:r>
      <w:r>
        <w:rPr>
          <w:rFonts w:hint="eastAsia"/>
          <w:b w:val="0"/>
          <w:color w:val="auto"/>
        </w:rPr>
        <w:t>分，实际得分</w:t>
      </w:r>
      <w:r>
        <w:rPr>
          <w:rFonts w:hint="eastAsia"/>
          <w:b w:val="0"/>
          <w:color w:val="auto"/>
          <w:lang w:val="en-US" w:eastAsia="zh-CN"/>
        </w:rPr>
        <w:t>15</w:t>
      </w:r>
      <w:r>
        <w:rPr>
          <w:rFonts w:hint="eastAsia"/>
          <w:b w:val="0"/>
          <w:color w:val="auto"/>
        </w:rPr>
        <w:t>分。</w:t>
      </w:r>
    </w:p>
    <w:p w14:paraId="38FBA6A2">
      <w:pPr>
        <w:pStyle w:val="33"/>
        <w:rPr>
          <w:color w:val="auto"/>
        </w:rPr>
      </w:pPr>
      <w:r>
        <w:rPr>
          <w:rFonts w:hint="eastAsia"/>
          <w:color w:val="auto"/>
        </w:rPr>
        <w:t>3.满意度指标完成情况分析</w:t>
      </w:r>
    </w:p>
    <w:p w14:paraId="6B87D136">
      <w:pPr>
        <w:spacing w:line="560" w:lineRule="exact"/>
        <w:ind w:firstLine="544" w:firstLineChars="200"/>
        <w:rPr>
          <w:rFonts w:ascii="仿宋_GB2312" w:hAnsi="Times New Roman" w:eastAsia="仿宋_GB2312" w:cs="Times New Roman"/>
          <w:bCs/>
          <w:spacing w:val="-4"/>
          <w:sz w:val="28"/>
          <w:szCs w:val="28"/>
        </w:rPr>
      </w:pPr>
      <w:r>
        <w:rPr>
          <w:rFonts w:hint="eastAsia" w:ascii="仿宋_GB2312" w:hAnsi="Times New Roman" w:eastAsia="仿宋_GB2312" w:cs="Times New Roman"/>
          <w:bCs/>
          <w:spacing w:val="-4"/>
          <w:sz w:val="28"/>
          <w:szCs w:val="28"/>
        </w:rPr>
        <w:t>“被服务对象满意度”指标，指标预期指标值为</w:t>
      </w:r>
      <w:r>
        <w:rPr>
          <w:rFonts w:hint="eastAsia" w:ascii="仿宋_GB2312" w:hAnsi="Times New Roman" w:eastAsia="仿宋_GB2312" w:cs="Times New Roman"/>
          <w:bCs/>
          <w:spacing w:val="-4"/>
          <w:sz w:val="28"/>
          <w:szCs w:val="28"/>
          <w:lang w:eastAsia="zh-CN"/>
        </w:rPr>
        <w:t>大于等于</w:t>
      </w:r>
      <w:r>
        <w:rPr>
          <w:rFonts w:hint="eastAsia" w:ascii="仿宋_GB2312" w:hAnsi="Times New Roman" w:eastAsia="仿宋_GB2312" w:cs="Times New Roman"/>
          <w:bCs/>
          <w:spacing w:val="-4"/>
          <w:sz w:val="28"/>
          <w:szCs w:val="28"/>
        </w:rPr>
        <w:t>95%，实际完成值为95%，指标完成率为100.00%。所设分值10分，实际得分10分。</w:t>
      </w:r>
    </w:p>
    <w:p w14:paraId="39D67FAA">
      <w:pPr>
        <w:pStyle w:val="29"/>
        <w:spacing w:beforeLines="0" w:line="560" w:lineRule="exact"/>
        <w:ind w:left="0" w:leftChars="0" w:right="0" w:rightChars="0" w:firstLine="544" w:firstLineChars="200"/>
        <w:rPr>
          <w:rFonts w:ascii="仿宋_GB2312" w:hAnsi="Times New Roman" w:eastAsia="仿宋_GB2312" w:cs="Times New Roman"/>
          <w:b w:val="0"/>
          <w:color w:val="auto"/>
          <w:spacing w:val="-4"/>
          <w:szCs w:val="28"/>
        </w:rPr>
      </w:pPr>
      <w:r>
        <w:rPr>
          <w:rFonts w:hint="eastAsia" w:ascii="仿宋_GB2312" w:hAnsi="Times New Roman" w:eastAsia="仿宋_GB2312" w:cs="Times New Roman"/>
          <w:b w:val="0"/>
          <w:color w:val="auto"/>
          <w:spacing w:val="-4"/>
          <w:szCs w:val="28"/>
        </w:rPr>
        <w:t>项目实施完成后我单位就该项目的满意度采取抽样发放调查问卷的方式开展调查，通过对调查问卷的梳理和统计，满意度指标综合满意率为95.00%。</w:t>
      </w:r>
    </w:p>
    <w:p w14:paraId="703E8E63">
      <w:pPr>
        <w:pStyle w:val="29"/>
        <w:spacing w:before="120"/>
        <w:ind w:left="0" w:leftChars="0" w:right="3" w:firstLine="562" w:firstLineChars="200"/>
        <w:rPr>
          <w:color w:val="auto"/>
        </w:rPr>
      </w:pPr>
      <w:r>
        <w:rPr>
          <w:rFonts w:hint="eastAsia"/>
          <w:color w:val="auto"/>
        </w:rPr>
        <w:t>四、偏离绩效目标的原因和下一步改进措施</w:t>
      </w:r>
    </w:p>
    <w:p w14:paraId="41E18EAE">
      <w:pPr>
        <w:pStyle w:val="33"/>
        <w:ind w:firstLine="560"/>
        <w:rPr>
          <w:rFonts w:hint="eastAsia"/>
          <w:b w:val="0"/>
          <w:color w:val="auto"/>
        </w:rPr>
      </w:pPr>
      <w:r>
        <w:rPr>
          <w:rFonts w:hint="eastAsia"/>
          <w:b w:val="0"/>
          <w:color w:val="auto"/>
          <w:lang w:val="en-US" w:eastAsia="zh-CN"/>
        </w:rPr>
        <w:t>1.成本指标-</w:t>
      </w:r>
      <w:r>
        <w:rPr>
          <w:rFonts w:hint="eastAsia"/>
          <w:b w:val="0"/>
          <w:color w:val="auto"/>
        </w:rPr>
        <w:t>“工程成本”指标，预期指标值为</w:t>
      </w:r>
      <w:r>
        <w:rPr>
          <w:rFonts w:hint="eastAsia"/>
          <w:b w:val="0"/>
          <w:color w:val="auto"/>
          <w:lang w:eastAsia="zh-CN"/>
        </w:rPr>
        <w:t>小于等于</w:t>
      </w:r>
      <w:r>
        <w:rPr>
          <w:rFonts w:hint="eastAsia"/>
          <w:b w:val="0"/>
          <w:color w:val="auto"/>
        </w:rPr>
        <w:t>340.49万元,全年实际值为</w:t>
      </w:r>
      <w:r>
        <w:rPr>
          <w:rFonts w:hint="eastAsia"/>
          <w:b w:val="0"/>
          <w:color w:val="auto"/>
          <w:lang w:val="en-US" w:eastAsia="zh-CN"/>
        </w:rPr>
        <w:t>204</w:t>
      </w:r>
      <w:r>
        <w:rPr>
          <w:rFonts w:hint="eastAsia"/>
          <w:b w:val="0"/>
          <w:color w:val="auto"/>
        </w:rPr>
        <w:t>万元。</w:t>
      </w:r>
    </w:p>
    <w:p w14:paraId="09220929">
      <w:pPr>
        <w:pStyle w:val="33"/>
        <w:ind w:firstLine="560"/>
        <w:jc w:val="both"/>
        <w:rPr>
          <w:rFonts w:hint="eastAsia"/>
          <w:b w:val="0"/>
          <w:color w:val="auto"/>
        </w:rPr>
      </w:pPr>
      <w:r>
        <w:rPr>
          <w:rFonts w:hint="eastAsia"/>
          <w:b w:val="0"/>
          <w:color w:val="auto"/>
        </w:rPr>
        <w:t>偏差原因：项目已完工，经相关决算审定，工程审定价为398.12万元，其中已支付216.17万元，尚有应付款为181.95万元，剩余资金相关支付手续正在审批中。改进措施：加强项目建设资金管理。</w:t>
      </w:r>
    </w:p>
    <w:p w14:paraId="7AA72E11">
      <w:pPr>
        <w:pStyle w:val="33"/>
        <w:ind w:firstLine="560"/>
        <w:jc w:val="both"/>
        <w:rPr>
          <w:rFonts w:hint="eastAsia"/>
          <w:b w:val="0"/>
          <w:color w:val="auto"/>
        </w:rPr>
      </w:pPr>
      <w:r>
        <w:rPr>
          <w:rFonts w:hint="eastAsia"/>
          <w:b w:val="0"/>
          <w:color w:val="auto"/>
        </w:rPr>
        <w:t>“其他</w:t>
      </w:r>
      <w:r>
        <w:rPr>
          <w:rFonts w:hint="eastAsia"/>
          <w:b w:val="0"/>
          <w:color w:val="auto"/>
          <w:lang w:val="en-US" w:eastAsia="zh-CN"/>
        </w:rPr>
        <w:t>成本</w:t>
      </w:r>
      <w:r>
        <w:rPr>
          <w:rFonts w:hint="eastAsia"/>
          <w:b w:val="0"/>
          <w:color w:val="auto"/>
        </w:rPr>
        <w:t>”指标，预期指标值为</w:t>
      </w:r>
      <w:r>
        <w:rPr>
          <w:rFonts w:hint="eastAsia"/>
          <w:b w:val="0"/>
          <w:color w:val="auto"/>
          <w:lang w:eastAsia="zh-CN"/>
        </w:rPr>
        <w:t>小于等于</w:t>
      </w:r>
      <w:r>
        <w:rPr>
          <w:rFonts w:hint="eastAsia"/>
          <w:b w:val="0"/>
          <w:color w:val="auto"/>
        </w:rPr>
        <w:t>59.51万元,全年实际值为</w:t>
      </w:r>
      <w:r>
        <w:rPr>
          <w:rFonts w:hint="eastAsia"/>
          <w:b w:val="0"/>
          <w:color w:val="auto"/>
          <w:lang w:val="en-US" w:eastAsia="zh-CN"/>
        </w:rPr>
        <w:t>12.17</w:t>
      </w:r>
      <w:r>
        <w:rPr>
          <w:rFonts w:hint="eastAsia"/>
          <w:b w:val="0"/>
          <w:color w:val="auto"/>
        </w:rPr>
        <w:t>万元。</w:t>
      </w:r>
    </w:p>
    <w:p w14:paraId="2CE22B88">
      <w:pPr>
        <w:pStyle w:val="33"/>
        <w:rPr>
          <w:rFonts w:hint="eastAsia"/>
          <w:b w:val="0"/>
          <w:color w:val="auto"/>
        </w:rPr>
      </w:pPr>
      <w:r>
        <w:rPr>
          <w:rFonts w:hint="eastAsia"/>
          <w:b w:val="0"/>
          <w:color w:val="auto"/>
        </w:rPr>
        <w:t>偏差原因：项目已完工，经相关决算审定，工程审定价为398.12万元，其中已支付216.17万元，尚有应付款为181.95万元，剩余资金相关支付手续正在审批中。改进措施：加强项目建设资金管理。</w:t>
      </w:r>
    </w:p>
    <w:p w14:paraId="00F90CF0">
      <w:pPr>
        <w:pStyle w:val="29"/>
        <w:spacing w:before="120"/>
        <w:ind w:left="0" w:leftChars="0" w:right="3" w:firstLine="562" w:firstLineChars="200"/>
        <w:rPr>
          <w:color w:val="auto"/>
        </w:rPr>
      </w:pPr>
      <w:r>
        <w:rPr>
          <w:rFonts w:hint="eastAsia"/>
          <w:color w:val="auto"/>
        </w:rPr>
        <w:t>五、绩效自评结果拟应用和公开情况</w:t>
      </w:r>
    </w:p>
    <w:p w14:paraId="693EA160">
      <w:pPr>
        <w:pStyle w:val="52"/>
        <w:spacing w:line="560" w:lineRule="exact"/>
        <w:ind w:left="3" w:right="3" w:firstLine="560"/>
        <w:rPr>
          <w:rFonts w:ascii="仿宋_GB2312"/>
          <w:color w:val="auto"/>
        </w:rPr>
      </w:pPr>
      <w:r>
        <w:rPr>
          <w:rFonts w:hint="eastAsia" w:ascii="仿宋_GB2312"/>
          <w:color w:val="auto"/>
        </w:rPr>
        <w:t>项目本次评价通过文件研读、实地调研、数据采集、问卷调查方式下，全面了解</w:t>
      </w:r>
      <w:r>
        <w:rPr>
          <w:rFonts w:hint="eastAsia" w:ascii="仿宋_GB2312"/>
          <w:color w:val="auto"/>
          <w:szCs w:val="32"/>
        </w:rPr>
        <w:t>于田县</w:t>
      </w:r>
      <w:r>
        <w:rPr>
          <w:rFonts w:hint="eastAsia" w:ascii="仿宋_GB2312"/>
          <w:color w:val="auto"/>
          <w:szCs w:val="32"/>
          <w:lang w:val="en-US" w:eastAsia="zh-CN"/>
        </w:rPr>
        <w:t>中药材交易市场建设项目</w:t>
      </w:r>
      <w:r>
        <w:rPr>
          <w:rFonts w:hint="eastAsia" w:ascii="仿宋_GB2312"/>
          <w:color w:val="auto"/>
        </w:rPr>
        <w:t>资金的使用效率和效果，从而得出以下综合评价结论：在绩效目标方面，本项目共设置一级指标3个，二级指标</w:t>
      </w:r>
      <w:r>
        <w:rPr>
          <w:rFonts w:hint="eastAsia" w:ascii="仿宋_GB2312"/>
          <w:color w:val="auto"/>
          <w:lang w:val="en-US" w:eastAsia="zh-CN"/>
        </w:rPr>
        <w:t>7</w:t>
      </w:r>
      <w:r>
        <w:rPr>
          <w:rFonts w:hint="eastAsia" w:ascii="仿宋_GB2312"/>
          <w:color w:val="auto"/>
        </w:rPr>
        <w:t>个，三级指标1</w:t>
      </w:r>
      <w:r>
        <w:rPr>
          <w:rFonts w:hint="eastAsia" w:ascii="仿宋_GB2312"/>
          <w:color w:val="auto"/>
          <w:lang w:val="en-US" w:eastAsia="zh-CN"/>
        </w:rPr>
        <w:t>3</w:t>
      </w:r>
      <w:r>
        <w:rPr>
          <w:rFonts w:hint="eastAsia" w:ascii="仿宋_GB2312"/>
          <w:color w:val="auto"/>
        </w:rPr>
        <w:t>个，其中已完成三级指标</w:t>
      </w:r>
      <w:r>
        <w:rPr>
          <w:rFonts w:hint="eastAsia" w:ascii="仿宋_GB2312"/>
          <w:color w:val="auto"/>
          <w:lang w:val="en-US" w:eastAsia="zh-CN"/>
        </w:rPr>
        <w:t>8</w:t>
      </w:r>
      <w:r>
        <w:rPr>
          <w:rFonts w:hint="eastAsia" w:ascii="仿宋_GB2312"/>
          <w:color w:val="auto"/>
        </w:rPr>
        <w:t>个，指标完成率为</w:t>
      </w:r>
      <w:r>
        <w:rPr>
          <w:rFonts w:hint="eastAsia" w:ascii="仿宋_GB2312"/>
          <w:color w:val="auto"/>
          <w:lang w:val="en-US" w:eastAsia="zh-CN"/>
        </w:rPr>
        <w:t>61.53</w:t>
      </w:r>
      <w:r>
        <w:rPr>
          <w:rFonts w:hint="eastAsia" w:ascii="仿宋_GB2312"/>
          <w:color w:val="auto"/>
        </w:rPr>
        <w:t>%；在资金使用方面，严格按照《于田县</w:t>
      </w:r>
      <w:r>
        <w:rPr>
          <w:rFonts w:hint="eastAsia" w:ascii="仿宋_GB2312"/>
          <w:color w:val="auto"/>
          <w:lang w:val="en-US" w:eastAsia="zh-CN"/>
        </w:rPr>
        <w:t>衔接</w:t>
      </w:r>
      <w:r>
        <w:rPr>
          <w:rFonts w:hint="eastAsia" w:ascii="仿宋_GB2312"/>
          <w:color w:val="auto"/>
        </w:rPr>
        <w:t>资金财务管理制度》、《于田县</w:t>
      </w:r>
      <w:r>
        <w:rPr>
          <w:rFonts w:hint="eastAsia" w:ascii="仿宋_GB2312"/>
          <w:color w:val="auto"/>
          <w:lang w:val="en-US" w:eastAsia="zh-CN"/>
        </w:rPr>
        <w:t>商工</w:t>
      </w:r>
      <w:r>
        <w:rPr>
          <w:rFonts w:hint="eastAsia" w:ascii="仿宋_GB2312"/>
          <w:color w:val="auto"/>
        </w:rPr>
        <w:t>局财务管理制度》执行，保障了资金使用规范、安全，无挪用、截留资金的情况发生。在项目管理方面，制定了《</w:t>
      </w:r>
      <w:r>
        <w:rPr>
          <w:rFonts w:hint="eastAsia" w:ascii="Times New Roman" w:hAnsi="Times New Roman" w:eastAsia="仿宋_GB2312" w:cs="Times New Roman"/>
          <w:sz w:val="28"/>
        </w:rPr>
        <w:t>于田县</w:t>
      </w:r>
      <w:r>
        <w:rPr>
          <w:rFonts w:hint="eastAsia" w:ascii="Times New Roman" w:hAnsi="Times New Roman" w:eastAsia="仿宋_GB2312" w:cs="Times New Roman"/>
          <w:sz w:val="28"/>
          <w:lang w:val="en-US" w:eastAsia="zh-CN"/>
        </w:rPr>
        <w:t>中药材交易市场排水管网建设项目实施方案</w:t>
      </w:r>
      <w:r>
        <w:rPr>
          <w:rFonts w:hint="eastAsia" w:ascii="仿宋_GB2312"/>
          <w:color w:val="auto"/>
        </w:rPr>
        <w:t>》，建立了相关制度，提高了工作人员的监管水平，保质保量的完成了项目的实施工作。项目实施后，取得了一定社会效益；同时，通过开展自评价来总结经验和教训，为我单位今后类似项目的开展，提供可行性参考建议。</w:t>
      </w:r>
    </w:p>
    <w:p w14:paraId="67313BC4">
      <w:pPr>
        <w:pStyle w:val="52"/>
        <w:spacing w:line="560" w:lineRule="exact"/>
        <w:ind w:left="3" w:right="3" w:firstLine="560"/>
        <w:rPr>
          <w:rFonts w:ascii="仿宋_GB2312"/>
          <w:color w:val="auto"/>
        </w:rPr>
      </w:pPr>
      <w:r>
        <w:rPr>
          <w:rFonts w:hint="eastAsia" w:ascii="仿宋_GB2312"/>
          <w:color w:val="auto"/>
        </w:rPr>
        <w:t>项目最终得分为</w:t>
      </w:r>
      <w:r>
        <w:rPr>
          <w:rFonts w:hint="eastAsia" w:ascii="仿宋_GB2312"/>
          <w:color w:val="auto"/>
          <w:lang w:val="en-US" w:eastAsia="zh-CN"/>
        </w:rPr>
        <w:t>83.62</w:t>
      </w:r>
      <w:r>
        <w:rPr>
          <w:rFonts w:hint="eastAsia" w:ascii="仿宋_GB2312"/>
          <w:color w:val="auto"/>
        </w:rPr>
        <w:t>分，评价等级为</w:t>
      </w:r>
      <w:r>
        <w:rPr>
          <w:rFonts w:hint="eastAsia" w:ascii="仿宋_GB2312"/>
          <w:color w:val="auto"/>
          <w:lang w:val="en-US" w:eastAsia="zh-CN"/>
        </w:rPr>
        <w:t>良</w:t>
      </w:r>
      <w:r>
        <w:rPr>
          <w:rFonts w:hint="eastAsia" w:ascii="仿宋_GB2312"/>
          <w:color w:val="auto"/>
        </w:rPr>
        <w:t>。</w:t>
      </w:r>
    </w:p>
    <w:p w14:paraId="2557306B">
      <w:pPr>
        <w:pStyle w:val="52"/>
        <w:spacing w:line="560" w:lineRule="exact"/>
        <w:ind w:left="3" w:right="3" w:firstLine="554"/>
        <w:rPr>
          <w:rStyle w:val="19"/>
          <w:rFonts w:ascii="楷体_GB2312" w:hAnsi="楷体"/>
          <w:color w:val="auto"/>
          <w:spacing w:val="-4"/>
          <w:szCs w:val="32"/>
        </w:rPr>
      </w:pPr>
      <w:r>
        <w:rPr>
          <w:rStyle w:val="19"/>
          <w:rFonts w:hint="eastAsia" w:ascii="楷体_GB2312" w:hAnsi="楷体"/>
          <w:color w:val="auto"/>
          <w:spacing w:val="-4"/>
          <w:szCs w:val="32"/>
        </w:rPr>
        <w:t>（一）绩效自评结果拟应用情况</w:t>
      </w:r>
    </w:p>
    <w:p w14:paraId="69CCD031">
      <w:pPr>
        <w:pStyle w:val="52"/>
        <w:spacing w:line="560" w:lineRule="exact"/>
        <w:ind w:left="3" w:right="3" w:firstLine="560"/>
        <w:rPr>
          <w:rFonts w:ascii="仿宋_GB2312"/>
          <w:color w:val="auto"/>
        </w:rPr>
      </w:pPr>
      <w:r>
        <w:rPr>
          <w:rFonts w:hint="eastAsia" w:ascii="仿宋_GB2312"/>
          <w:color w:val="auto"/>
        </w:rPr>
        <w:t>本项目在实施过程中，严格按照关于印发《中央财政衔接推进乡村振兴补助资金管理办法》的通知（财农〔2021〕19号）及实施方案进行实施。本项目绩效自评结果将作为决策和分配财政资金的重要参考依据。对绩效自评发现的问题认真整改，总结经验、改进管理，不断提高项目实施水平。</w:t>
      </w:r>
    </w:p>
    <w:p w14:paraId="5A77682D">
      <w:pPr>
        <w:spacing w:line="560" w:lineRule="exact"/>
        <w:ind w:firstLine="546" w:firstLineChars="200"/>
        <w:rPr>
          <w:rStyle w:val="19"/>
          <w:rFonts w:ascii="楷体_GB2312" w:hAnsi="楷体" w:cs="Times New Roman"/>
          <w:spacing w:val="-4"/>
          <w:sz w:val="28"/>
          <w:szCs w:val="32"/>
        </w:rPr>
      </w:pPr>
      <w:r>
        <w:rPr>
          <w:rStyle w:val="19"/>
          <w:rFonts w:hint="eastAsia" w:ascii="楷体_GB2312" w:hAnsi="楷体" w:cs="Times New Roman"/>
          <w:spacing w:val="-4"/>
          <w:sz w:val="28"/>
          <w:szCs w:val="32"/>
        </w:rPr>
        <w:t>（二）指标佐证材料说明</w:t>
      </w:r>
    </w:p>
    <w:p w14:paraId="0B21E951">
      <w:pPr>
        <w:pStyle w:val="52"/>
        <w:spacing w:line="560" w:lineRule="exact"/>
        <w:ind w:left="3" w:right="3" w:firstLine="560"/>
        <w:rPr>
          <w:rFonts w:ascii="仿宋_GB2312"/>
          <w:color w:val="auto"/>
        </w:rPr>
      </w:pPr>
      <w:r>
        <w:rPr>
          <w:rFonts w:hint="eastAsia" w:ascii="仿宋_GB2312"/>
          <w:color w:val="auto"/>
        </w:rPr>
        <w:t>项目状况：由于田县</w:t>
      </w:r>
      <w:r>
        <w:rPr>
          <w:rFonts w:hint="eastAsia" w:ascii="仿宋_GB2312"/>
          <w:color w:val="auto"/>
          <w:lang w:val="en-US" w:eastAsia="zh-CN"/>
        </w:rPr>
        <w:t>商工局</w:t>
      </w:r>
      <w:r>
        <w:rPr>
          <w:rFonts w:hint="eastAsia" w:ascii="仿宋_GB2312"/>
          <w:color w:val="auto"/>
        </w:rPr>
        <w:t>负责项目的实施方案，并由</w:t>
      </w:r>
      <w:r>
        <w:rPr>
          <w:rFonts w:hint="eastAsia" w:ascii="Times New Roman" w:hAnsi="Times New Roman" w:eastAsia="仿宋_GB2312" w:cs="Times New Roman"/>
          <w:sz w:val="28"/>
        </w:rPr>
        <w:t>于田县</w:t>
      </w:r>
      <w:r>
        <w:rPr>
          <w:rFonts w:hint="eastAsia" w:ascii="Times New Roman" w:hAnsi="Times New Roman" w:eastAsia="仿宋_GB2312" w:cs="Times New Roman"/>
          <w:sz w:val="28"/>
          <w:lang w:val="en-US" w:eastAsia="zh-CN"/>
        </w:rPr>
        <w:t>发展和改革委员会</w:t>
      </w:r>
      <w:r>
        <w:rPr>
          <w:rFonts w:hint="eastAsia" w:ascii="Times New Roman" w:hAnsi="Times New Roman" w:eastAsia="仿宋_GB2312" w:cs="Times New Roman"/>
          <w:sz w:val="28"/>
        </w:rPr>
        <w:t>下发的《关于对于田县</w:t>
      </w:r>
      <w:r>
        <w:rPr>
          <w:rFonts w:hint="eastAsia" w:ascii="Times New Roman" w:hAnsi="Times New Roman" w:eastAsia="仿宋_GB2312" w:cs="Times New Roman"/>
          <w:sz w:val="28"/>
          <w:lang w:val="en-US" w:eastAsia="zh-CN"/>
        </w:rPr>
        <w:t>中药材交易市场排水管网建设项目实施方案</w:t>
      </w:r>
      <w:r>
        <w:rPr>
          <w:rFonts w:hint="eastAsia" w:ascii="Times New Roman" w:hAnsi="Times New Roman" w:eastAsia="仿宋_GB2312" w:cs="Times New Roman"/>
          <w:sz w:val="28"/>
        </w:rPr>
        <w:t>的批复》（于</w:t>
      </w:r>
      <w:r>
        <w:rPr>
          <w:rFonts w:hint="eastAsia" w:ascii="Times New Roman" w:hAnsi="Times New Roman" w:eastAsia="仿宋_GB2312" w:cs="Times New Roman"/>
          <w:sz w:val="28"/>
          <w:lang w:val="en-US" w:eastAsia="zh-CN"/>
        </w:rPr>
        <w:t>发该项目</w:t>
      </w:r>
      <w:r>
        <w:rPr>
          <w:rFonts w:hint="eastAsia" w:ascii="Times New Roman" w:hAnsi="Times New Roman" w:eastAsia="仿宋_GB2312" w:cs="Times New Roman"/>
          <w:sz w:val="28"/>
        </w:rPr>
        <w:t>〔202</w:t>
      </w:r>
      <w:r>
        <w:rPr>
          <w:rFonts w:hint="eastAsia" w:ascii="Times New Roman" w:hAnsi="Times New Roman" w:eastAsia="仿宋_GB2312" w:cs="Times New Roman"/>
          <w:sz w:val="28"/>
          <w:lang w:val="en-US" w:eastAsia="zh-CN"/>
        </w:rPr>
        <w:t>4</w:t>
      </w:r>
      <w:r>
        <w:rPr>
          <w:rFonts w:hint="eastAsia" w:ascii="Times New Roman" w:hAnsi="Times New Roman" w:eastAsia="仿宋_GB2312" w:cs="Times New Roman"/>
          <w:sz w:val="28"/>
        </w:rPr>
        <w:t>〕</w:t>
      </w:r>
      <w:r>
        <w:rPr>
          <w:rFonts w:hint="eastAsia" w:ascii="Times New Roman" w:hAnsi="Times New Roman" w:eastAsia="仿宋_GB2312" w:cs="Times New Roman"/>
          <w:sz w:val="28"/>
          <w:lang w:val="en-US" w:eastAsia="zh-CN"/>
        </w:rPr>
        <w:t>38</w:t>
      </w:r>
      <w:r>
        <w:rPr>
          <w:rFonts w:hint="eastAsia" w:ascii="Times New Roman" w:hAnsi="Times New Roman" w:eastAsia="仿宋_GB2312" w:cs="Times New Roman"/>
          <w:sz w:val="28"/>
        </w:rPr>
        <w:t>号）文</w:t>
      </w:r>
      <w:r>
        <w:rPr>
          <w:rFonts w:hint="eastAsia" w:ascii="Times New Roman" w:hAnsi="Times New Roman" w:eastAsia="仿宋_GB2312" w:cs="Times New Roman"/>
          <w:sz w:val="28"/>
          <w:lang w:val="en-US" w:eastAsia="zh-CN"/>
        </w:rPr>
        <w:t>件</w:t>
      </w:r>
      <w:r>
        <w:rPr>
          <w:rFonts w:hint="eastAsia" w:ascii="Times New Roman" w:hAnsi="Times New Roman" w:eastAsia="仿宋_GB2312" w:cs="Times New Roman"/>
          <w:sz w:val="28"/>
        </w:rPr>
        <w:t>批复实施</w:t>
      </w:r>
      <w:r>
        <w:rPr>
          <w:rFonts w:hint="eastAsia" w:ascii="仿宋_GB2312"/>
          <w:color w:val="auto"/>
        </w:rPr>
        <w:t>。</w:t>
      </w:r>
    </w:p>
    <w:p w14:paraId="10A8A977">
      <w:pPr>
        <w:pStyle w:val="52"/>
        <w:spacing w:line="560" w:lineRule="exact"/>
        <w:ind w:left="3" w:right="3" w:firstLine="560"/>
        <w:rPr>
          <w:rFonts w:ascii="仿宋_GB2312"/>
          <w:color w:val="auto"/>
        </w:rPr>
      </w:pPr>
      <w:r>
        <w:rPr>
          <w:rFonts w:hint="eastAsia" w:ascii="仿宋_GB2312"/>
          <w:color w:val="auto"/>
        </w:rPr>
        <w:t>资金状况：预算资金来源为</w:t>
      </w:r>
      <w:r>
        <w:rPr>
          <w:rFonts w:hint="eastAsia" w:ascii="仿宋_GB2312"/>
          <w:color w:val="auto"/>
          <w:lang w:val="en-US" w:eastAsia="zh-CN"/>
        </w:rPr>
        <w:t>乡村振兴衔接</w:t>
      </w:r>
      <w:r>
        <w:rPr>
          <w:rFonts w:hint="eastAsia" w:ascii="仿宋_GB2312"/>
          <w:color w:val="auto"/>
        </w:rPr>
        <w:t>资金，文件依据：</w:t>
      </w:r>
      <w:r>
        <w:rPr>
          <w:rFonts w:hint="eastAsia" w:ascii="Times New Roman" w:hAnsi="Times New Roman" w:eastAsia="仿宋_GB2312" w:cs="Times New Roman"/>
          <w:sz w:val="28"/>
        </w:rPr>
        <w:t>于田县</w:t>
      </w:r>
      <w:r>
        <w:rPr>
          <w:rFonts w:hint="eastAsia" w:ascii="Times New Roman" w:hAnsi="Times New Roman" w:eastAsia="仿宋_GB2312" w:cs="Times New Roman"/>
          <w:sz w:val="28"/>
          <w:lang w:val="en-US" w:eastAsia="zh-CN"/>
        </w:rPr>
        <w:t>发展和改革委员会</w:t>
      </w:r>
      <w:r>
        <w:rPr>
          <w:rFonts w:hint="eastAsia" w:ascii="Times New Roman" w:hAnsi="Times New Roman" w:eastAsia="仿宋_GB2312" w:cs="Times New Roman"/>
          <w:sz w:val="28"/>
        </w:rPr>
        <w:t>下发的《关于对于田县</w:t>
      </w:r>
      <w:r>
        <w:rPr>
          <w:rFonts w:hint="eastAsia" w:ascii="Times New Roman" w:hAnsi="Times New Roman" w:eastAsia="仿宋_GB2312" w:cs="Times New Roman"/>
          <w:sz w:val="28"/>
          <w:lang w:val="en-US" w:eastAsia="zh-CN"/>
        </w:rPr>
        <w:t>中药材交易市场排水管网建设项目实施方案</w:t>
      </w:r>
      <w:r>
        <w:rPr>
          <w:rFonts w:hint="eastAsia" w:ascii="Times New Roman" w:hAnsi="Times New Roman" w:eastAsia="仿宋_GB2312" w:cs="Times New Roman"/>
          <w:sz w:val="28"/>
        </w:rPr>
        <w:t>的批复》（于</w:t>
      </w:r>
      <w:r>
        <w:rPr>
          <w:rFonts w:hint="eastAsia" w:ascii="Times New Roman" w:hAnsi="Times New Roman" w:eastAsia="仿宋_GB2312" w:cs="Times New Roman"/>
          <w:sz w:val="28"/>
          <w:lang w:val="en-US" w:eastAsia="zh-CN"/>
        </w:rPr>
        <w:t>发该项目</w:t>
      </w:r>
      <w:r>
        <w:rPr>
          <w:rFonts w:hint="eastAsia" w:ascii="Times New Roman" w:hAnsi="Times New Roman" w:eastAsia="仿宋_GB2312" w:cs="Times New Roman"/>
          <w:sz w:val="28"/>
        </w:rPr>
        <w:t>〔202</w:t>
      </w:r>
      <w:r>
        <w:rPr>
          <w:rFonts w:hint="eastAsia" w:ascii="Times New Roman" w:hAnsi="Times New Roman" w:eastAsia="仿宋_GB2312" w:cs="Times New Roman"/>
          <w:sz w:val="28"/>
          <w:lang w:val="en-US" w:eastAsia="zh-CN"/>
        </w:rPr>
        <w:t>4</w:t>
      </w:r>
      <w:r>
        <w:rPr>
          <w:rFonts w:hint="eastAsia" w:ascii="Times New Roman" w:hAnsi="Times New Roman" w:eastAsia="仿宋_GB2312" w:cs="Times New Roman"/>
          <w:sz w:val="28"/>
        </w:rPr>
        <w:t>〕</w:t>
      </w:r>
      <w:r>
        <w:rPr>
          <w:rFonts w:hint="eastAsia" w:ascii="Times New Roman" w:hAnsi="Times New Roman" w:eastAsia="仿宋_GB2312" w:cs="Times New Roman"/>
          <w:sz w:val="28"/>
          <w:lang w:val="en-US" w:eastAsia="zh-CN"/>
        </w:rPr>
        <w:t>38</w:t>
      </w:r>
      <w:r>
        <w:rPr>
          <w:rFonts w:hint="eastAsia" w:ascii="Times New Roman" w:hAnsi="Times New Roman" w:eastAsia="仿宋_GB2312" w:cs="Times New Roman"/>
          <w:sz w:val="28"/>
        </w:rPr>
        <w:t>号）文</w:t>
      </w:r>
      <w:r>
        <w:rPr>
          <w:rFonts w:hint="eastAsia" w:ascii="Times New Roman" w:hAnsi="Times New Roman" w:eastAsia="仿宋_GB2312" w:cs="Times New Roman"/>
          <w:sz w:val="28"/>
          <w:lang w:val="en-US" w:eastAsia="zh-CN"/>
        </w:rPr>
        <w:t>件</w:t>
      </w:r>
      <w:r>
        <w:rPr>
          <w:rFonts w:hint="eastAsia" w:ascii="仿宋_GB2312"/>
          <w:color w:val="auto"/>
        </w:rPr>
        <w:t>。</w:t>
      </w:r>
    </w:p>
    <w:p w14:paraId="59FBD8BC">
      <w:pPr>
        <w:pStyle w:val="52"/>
        <w:spacing w:line="560" w:lineRule="exact"/>
        <w:ind w:left="3" w:right="3" w:firstLine="560"/>
        <w:rPr>
          <w:rFonts w:ascii="仿宋_GB2312"/>
          <w:color w:val="auto"/>
        </w:rPr>
      </w:pPr>
      <w:r>
        <w:rPr>
          <w:rFonts w:hint="eastAsia" w:ascii="仿宋_GB2312"/>
          <w:color w:val="auto"/>
        </w:rPr>
        <w:t>过程状况：该项目于202</w:t>
      </w:r>
      <w:r>
        <w:rPr>
          <w:rFonts w:hint="eastAsia" w:ascii="仿宋_GB2312"/>
          <w:color w:val="auto"/>
          <w:lang w:val="en-US" w:eastAsia="zh-CN"/>
        </w:rPr>
        <w:t>4</w:t>
      </w:r>
      <w:r>
        <w:rPr>
          <w:rFonts w:hint="eastAsia" w:ascii="仿宋_GB2312"/>
          <w:color w:val="auto"/>
        </w:rPr>
        <w:t>年</w:t>
      </w:r>
      <w:r>
        <w:rPr>
          <w:rFonts w:hint="eastAsia" w:ascii="仿宋_GB2312"/>
          <w:color w:val="auto"/>
          <w:lang w:val="en-US" w:eastAsia="zh-CN"/>
        </w:rPr>
        <w:t>2</w:t>
      </w:r>
      <w:r>
        <w:rPr>
          <w:rFonts w:hint="eastAsia" w:ascii="仿宋_GB2312"/>
          <w:color w:val="auto"/>
        </w:rPr>
        <w:t>月制订</w:t>
      </w:r>
      <w:r>
        <w:rPr>
          <w:rFonts w:hint="eastAsia" w:ascii="仿宋_GB2312"/>
          <w:color w:val="auto"/>
          <w:lang w:val="en-US" w:eastAsia="zh-CN"/>
        </w:rPr>
        <w:t>实施方案</w:t>
      </w:r>
      <w:r>
        <w:rPr>
          <w:rFonts w:hint="eastAsia" w:ascii="仿宋_GB2312"/>
          <w:color w:val="auto"/>
        </w:rPr>
        <w:t>并得到批复，202</w:t>
      </w:r>
      <w:r>
        <w:rPr>
          <w:rFonts w:hint="eastAsia" w:ascii="仿宋_GB2312"/>
          <w:color w:val="auto"/>
          <w:lang w:val="en-US" w:eastAsia="zh-CN"/>
        </w:rPr>
        <w:t>4</w:t>
      </w:r>
      <w:r>
        <w:rPr>
          <w:rFonts w:hint="eastAsia" w:ascii="仿宋_GB2312"/>
          <w:color w:val="auto"/>
        </w:rPr>
        <w:t>年</w:t>
      </w:r>
      <w:r>
        <w:rPr>
          <w:rFonts w:hint="eastAsia" w:ascii="仿宋_GB2312"/>
          <w:color w:val="auto"/>
          <w:lang w:val="en-US" w:eastAsia="zh-CN"/>
        </w:rPr>
        <w:t>2</w:t>
      </w:r>
      <w:r>
        <w:rPr>
          <w:rFonts w:hint="eastAsia" w:ascii="仿宋_GB2312"/>
          <w:color w:val="auto"/>
        </w:rPr>
        <w:t>月</w:t>
      </w:r>
      <w:r>
        <w:rPr>
          <w:rFonts w:hint="eastAsia" w:ascii="仿宋_GB2312"/>
          <w:color w:val="auto"/>
          <w:lang w:val="en-US" w:eastAsia="zh-CN"/>
        </w:rPr>
        <w:t>26</w:t>
      </w:r>
      <w:r>
        <w:rPr>
          <w:rFonts w:hint="eastAsia" w:ascii="仿宋_GB2312"/>
          <w:color w:val="auto"/>
        </w:rPr>
        <w:t>日明确施工单位；202</w:t>
      </w:r>
      <w:r>
        <w:rPr>
          <w:rFonts w:hint="eastAsia" w:ascii="仿宋_GB2312"/>
          <w:color w:val="auto"/>
          <w:lang w:val="en-US" w:eastAsia="zh-CN"/>
        </w:rPr>
        <w:t>4</w:t>
      </w:r>
      <w:r>
        <w:rPr>
          <w:rFonts w:hint="eastAsia" w:ascii="仿宋_GB2312"/>
          <w:color w:val="auto"/>
        </w:rPr>
        <w:t>年</w:t>
      </w:r>
      <w:r>
        <w:rPr>
          <w:rFonts w:hint="eastAsia" w:ascii="仿宋_GB2312"/>
          <w:color w:val="auto"/>
          <w:lang w:val="en-US" w:eastAsia="zh-CN"/>
        </w:rPr>
        <w:t>3</w:t>
      </w:r>
      <w:r>
        <w:rPr>
          <w:rFonts w:hint="eastAsia" w:ascii="仿宋_GB2312"/>
          <w:color w:val="auto"/>
        </w:rPr>
        <w:t>月</w:t>
      </w:r>
      <w:r>
        <w:rPr>
          <w:rFonts w:hint="eastAsia" w:ascii="仿宋_GB2312"/>
          <w:color w:val="auto"/>
          <w:lang w:val="en-US" w:eastAsia="zh-CN"/>
        </w:rPr>
        <w:t>1</w:t>
      </w:r>
      <w:r>
        <w:rPr>
          <w:rFonts w:hint="eastAsia" w:ascii="仿宋_GB2312"/>
          <w:color w:val="auto"/>
        </w:rPr>
        <w:t>日开工，202</w:t>
      </w:r>
      <w:r>
        <w:rPr>
          <w:rFonts w:hint="eastAsia" w:ascii="仿宋_GB2312"/>
          <w:color w:val="auto"/>
          <w:lang w:val="en-US" w:eastAsia="zh-CN"/>
        </w:rPr>
        <w:t>4</w:t>
      </w:r>
      <w:r>
        <w:rPr>
          <w:rFonts w:hint="eastAsia" w:ascii="仿宋_GB2312"/>
          <w:color w:val="auto"/>
        </w:rPr>
        <w:t>年</w:t>
      </w:r>
      <w:r>
        <w:rPr>
          <w:rFonts w:hint="eastAsia" w:ascii="仿宋_GB2312"/>
          <w:color w:val="auto"/>
          <w:lang w:val="en-US" w:eastAsia="zh-CN"/>
        </w:rPr>
        <w:t>11</w:t>
      </w:r>
      <w:r>
        <w:rPr>
          <w:rFonts w:hint="eastAsia" w:ascii="仿宋_GB2312"/>
          <w:color w:val="auto"/>
        </w:rPr>
        <w:t>月</w:t>
      </w:r>
      <w:r>
        <w:rPr>
          <w:rFonts w:hint="eastAsia" w:ascii="仿宋_GB2312"/>
          <w:color w:val="auto"/>
          <w:lang w:val="en-US" w:eastAsia="zh-CN"/>
        </w:rPr>
        <w:t>25</w:t>
      </w:r>
      <w:r>
        <w:rPr>
          <w:rFonts w:hint="eastAsia" w:ascii="仿宋_GB2312"/>
          <w:color w:val="auto"/>
        </w:rPr>
        <w:t>日完工。</w:t>
      </w:r>
    </w:p>
    <w:p w14:paraId="5961B5C6">
      <w:pPr>
        <w:pStyle w:val="52"/>
        <w:spacing w:line="560" w:lineRule="exact"/>
        <w:ind w:left="3" w:right="3" w:firstLine="560"/>
        <w:rPr>
          <w:rFonts w:ascii="仿宋_GB2312"/>
          <w:color w:val="auto"/>
        </w:rPr>
      </w:pPr>
      <w:r>
        <w:rPr>
          <w:rFonts w:hint="eastAsia" w:ascii="仿宋_GB2312"/>
          <w:color w:val="auto"/>
        </w:rPr>
        <w:t>结果状况：202</w:t>
      </w:r>
      <w:r>
        <w:rPr>
          <w:rFonts w:hint="eastAsia" w:ascii="仿宋_GB2312"/>
          <w:color w:val="auto"/>
          <w:lang w:val="en-US" w:eastAsia="zh-CN"/>
        </w:rPr>
        <w:t>4</w:t>
      </w:r>
      <w:r>
        <w:rPr>
          <w:rFonts w:hint="eastAsia" w:ascii="仿宋_GB2312"/>
          <w:color w:val="auto"/>
        </w:rPr>
        <w:t>年</w:t>
      </w:r>
      <w:r>
        <w:rPr>
          <w:rFonts w:hint="eastAsia" w:ascii="仿宋_GB2312"/>
          <w:color w:val="auto"/>
          <w:lang w:val="en-US" w:eastAsia="zh-CN"/>
        </w:rPr>
        <w:t>12</w:t>
      </w:r>
      <w:r>
        <w:rPr>
          <w:rFonts w:hint="eastAsia" w:ascii="仿宋_GB2312"/>
          <w:color w:val="auto"/>
        </w:rPr>
        <w:t>月</w:t>
      </w:r>
      <w:r>
        <w:rPr>
          <w:rFonts w:hint="eastAsia" w:ascii="仿宋_GB2312"/>
          <w:color w:val="auto"/>
          <w:lang w:val="en-US" w:eastAsia="zh-CN"/>
        </w:rPr>
        <w:t>25</w:t>
      </w:r>
      <w:r>
        <w:rPr>
          <w:rFonts w:hint="eastAsia" w:ascii="仿宋_GB2312"/>
          <w:color w:val="auto"/>
        </w:rPr>
        <w:t>日，由施工单位、监理单位、</w:t>
      </w:r>
      <w:r>
        <w:rPr>
          <w:rFonts w:hint="eastAsia" w:ascii="仿宋_GB2312"/>
          <w:color w:val="auto"/>
          <w:lang w:val="en-US" w:eastAsia="zh-CN"/>
        </w:rPr>
        <w:t>设计单位、勘察单位</w:t>
      </w:r>
      <w:r>
        <w:rPr>
          <w:rFonts w:hint="eastAsia" w:ascii="仿宋_GB2312"/>
          <w:color w:val="auto"/>
        </w:rPr>
        <w:t>、</w:t>
      </w:r>
      <w:r>
        <w:rPr>
          <w:rFonts w:hint="eastAsia" w:ascii="仿宋_GB2312"/>
          <w:color w:val="auto"/>
          <w:lang w:val="en-US" w:eastAsia="zh-CN"/>
        </w:rPr>
        <w:t>建设</w:t>
      </w:r>
      <w:r>
        <w:rPr>
          <w:rFonts w:hint="eastAsia" w:ascii="仿宋_GB2312"/>
          <w:color w:val="auto"/>
        </w:rPr>
        <w:t>单位联合开展工程验收，验收结果状况：合格。</w:t>
      </w:r>
    </w:p>
    <w:p w14:paraId="69924311">
      <w:pPr>
        <w:pStyle w:val="52"/>
        <w:spacing w:line="560" w:lineRule="exact"/>
        <w:ind w:left="3" w:right="3" w:firstLine="562"/>
        <w:rPr>
          <w:rStyle w:val="19"/>
          <w:rFonts w:ascii="楷体_GB2312"/>
          <w:color w:val="auto"/>
        </w:rPr>
      </w:pPr>
      <w:r>
        <w:rPr>
          <w:rStyle w:val="19"/>
          <w:rFonts w:hint="eastAsia" w:ascii="楷体_GB2312"/>
          <w:color w:val="auto"/>
        </w:rPr>
        <w:t>（三）主要经验及做法</w:t>
      </w:r>
    </w:p>
    <w:p w14:paraId="7AB39193">
      <w:pPr>
        <w:spacing w:line="560" w:lineRule="exact"/>
        <w:ind w:firstLine="560" w:firstLineChars="200"/>
        <w:rPr>
          <w:rFonts w:ascii="仿宋_GB2312" w:hAnsi="Times New Roman" w:eastAsia="仿宋_GB2312" w:cs="Times New Roman"/>
          <w:sz w:val="28"/>
        </w:rPr>
      </w:pPr>
      <w:r>
        <w:rPr>
          <w:rFonts w:hint="eastAsia" w:ascii="仿宋_GB2312" w:hAnsi="Times New Roman" w:eastAsia="仿宋_GB2312" w:cs="Times New Roman"/>
          <w:sz w:val="28"/>
        </w:rPr>
        <w:t>202</w:t>
      </w:r>
      <w:r>
        <w:rPr>
          <w:rFonts w:hint="eastAsia" w:ascii="仿宋_GB2312" w:hAnsi="Times New Roman" w:eastAsia="仿宋_GB2312" w:cs="Times New Roman"/>
          <w:sz w:val="28"/>
          <w:lang w:val="en-US" w:eastAsia="zh-CN"/>
        </w:rPr>
        <w:t>4</w:t>
      </w:r>
      <w:r>
        <w:rPr>
          <w:rFonts w:hint="eastAsia" w:ascii="仿宋_GB2312" w:hAnsi="Times New Roman" w:eastAsia="仿宋_GB2312" w:cs="Times New Roman"/>
          <w:sz w:val="28"/>
        </w:rPr>
        <w:t>年于田县</w:t>
      </w:r>
      <w:r>
        <w:rPr>
          <w:rFonts w:hint="eastAsia" w:ascii="Times New Roman" w:hAnsi="Times New Roman" w:eastAsia="仿宋_GB2312" w:cs="Times New Roman"/>
          <w:sz w:val="28"/>
          <w:lang w:val="en-US" w:eastAsia="zh-CN"/>
        </w:rPr>
        <w:t>中药材交易市场排水管网建设项目</w:t>
      </w:r>
      <w:r>
        <w:rPr>
          <w:rFonts w:hint="eastAsia" w:ascii="仿宋_GB2312" w:hAnsi="Times New Roman" w:eastAsia="仿宋_GB2312" w:cs="Times New Roman"/>
          <w:sz w:val="28"/>
        </w:rPr>
        <w:t>资金安排、使用过程中严格执行乡村振兴项目资金管理制度，确保乡村振兴项目正常运行为构建长效稳定奠定物质基础。</w:t>
      </w:r>
    </w:p>
    <w:p w14:paraId="38CF095E">
      <w:pPr>
        <w:spacing w:line="560" w:lineRule="exact"/>
        <w:ind w:firstLine="562" w:firstLineChars="200"/>
        <w:rPr>
          <w:rStyle w:val="19"/>
          <w:rFonts w:ascii="楷体_GB2312"/>
          <w:sz w:val="28"/>
        </w:rPr>
      </w:pPr>
      <w:r>
        <w:rPr>
          <w:rStyle w:val="19"/>
          <w:rFonts w:hint="eastAsia" w:ascii="楷体_GB2312"/>
          <w:sz w:val="28"/>
        </w:rPr>
        <w:t>（四）存在的问题</w:t>
      </w:r>
    </w:p>
    <w:p w14:paraId="446DDE10">
      <w:pPr>
        <w:spacing w:line="560" w:lineRule="exact"/>
        <w:ind w:firstLine="560" w:firstLineChars="200"/>
        <w:rPr>
          <w:rFonts w:ascii="仿宋_GB2312" w:hAnsi="Times New Roman" w:eastAsia="仿宋_GB2312" w:cs="Times New Roman"/>
          <w:sz w:val="28"/>
        </w:rPr>
      </w:pPr>
      <w:r>
        <w:rPr>
          <w:rFonts w:hint="eastAsia" w:ascii="仿宋_GB2312" w:hAnsi="Times New Roman" w:eastAsia="仿宋_GB2312" w:cs="Times New Roman"/>
          <w:sz w:val="28"/>
        </w:rPr>
        <w:t>202</w:t>
      </w:r>
      <w:r>
        <w:rPr>
          <w:rFonts w:hint="eastAsia" w:ascii="仿宋_GB2312" w:hAnsi="Times New Roman" w:eastAsia="仿宋_GB2312" w:cs="Times New Roman"/>
          <w:sz w:val="28"/>
          <w:lang w:val="en-US" w:eastAsia="zh-CN"/>
        </w:rPr>
        <w:t>4</w:t>
      </w:r>
      <w:r>
        <w:rPr>
          <w:rFonts w:hint="eastAsia" w:ascii="仿宋_GB2312" w:hAnsi="Times New Roman" w:eastAsia="仿宋_GB2312" w:cs="Times New Roman"/>
          <w:sz w:val="28"/>
        </w:rPr>
        <w:t>年于田县</w:t>
      </w:r>
      <w:r>
        <w:rPr>
          <w:rFonts w:hint="eastAsia" w:ascii="Times New Roman" w:hAnsi="Times New Roman" w:eastAsia="仿宋_GB2312" w:cs="Times New Roman"/>
          <w:sz w:val="28"/>
          <w:lang w:val="en-US" w:eastAsia="zh-CN"/>
        </w:rPr>
        <w:t>中药材交易市场排水管网建设项目</w:t>
      </w:r>
      <w:r>
        <w:rPr>
          <w:rFonts w:hint="eastAsia" w:ascii="仿宋_GB2312" w:hAnsi="Times New Roman" w:eastAsia="仿宋_GB2312" w:cs="Times New Roman"/>
          <w:sz w:val="28"/>
        </w:rPr>
        <w:t>资金安排、使用过程中存在一些问题，主要是资金申报，审批，发放过程中存在资金拨付缓慢问题。</w:t>
      </w:r>
    </w:p>
    <w:p w14:paraId="51436AD8">
      <w:pPr>
        <w:spacing w:line="560" w:lineRule="exact"/>
        <w:ind w:firstLine="562" w:firstLineChars="200"/>
        <w:rPr>
          <w:rStyle w:val="19"/>
          <w:rFonts w:ascii="楷体_GB2312"/>
          <w:sz w:val="28"/>
        </w:rPr>
      </w:pPr>
      <w:r>
        <w:rPr>
          <w:rStyle w:val="19"/>
          <w:rFonts w:hint="eastAsia" w:ascii="楷体_GB2312"/>
          <w:sz w:val="28"/>
        </w:rPr>
        <w:t>（五）建议</w:t>
      </w:r>
    </w:p>
    <w:p w14:paraId="61CD5577">
      <w:pPr>
        <w:spacing w:line="560" w:lineRule="exact"/>
        <w:ind w:firstLine="560" w:firstLineChars="200"/>
        <w:rPr>
          <w:rFonts w:ascii="仿宋_GB2312" w:hAnsi="Times New Roman" w:eastAsia="仿宋_GB2312" w:cs="Times New Roman"/>
          <w:sz w:val="28"/>
        </w:rPr>
      </w:pPr>
      <w:r>
        <w:rPr>
          <w:rFonts w:hint="eastAsia" w:ascii="仿宋_GB2312" w:hAnsi="Times New Roman" w:eastAsia="仿宋_GB2312" w:cs="Times New Roman"/>
          <w:sz w:val="28"/>
        </w:rPr>
        <w:t>后续要加强项目资金监督力度，严格执行乡村振兴项目资金管理制度，确保乡村振兴项目正常运行。建立健全资产管理体制和运行机制，持续发挥资产扶持效益，确保资产运行安全，管理高效；为构建长效稳定的乡村振兴环境奠定物质基础。</w:t>
      </w:r>
    </w:p>
    <w:p w14:paraId="00FD5FD6">
      <w:pPr>
        <w:spacing w:line="560" w:lineRule="exact"/>
        <w:ind w:firstLine="562" w:firstLineChars="200"/>
        <w:rPr>
          <w:rStyle w:val="19"/>
          <w:rFonts w:ascii="楷体_GB2312"/>
          <w:sz w:val="28"/>
        </w:rPr>
      </w:pPr>
      <w:r>
        <w:rPr>
          <w:rStyle w:val="19"/>
          <w:rFonts w:hint="eastAsia" w:ascii="楷体_GB2312"/>
          <w:sz w:val="28"/>
        </w:rPr>
        <w:t>（六）项目绩效公告公示情况</w:t>
      </w:r>
    </w:p>
    <w:p w14:paraId="33D7D967">
      <w:pPr>
        <w:pStyle w:val="52"/>
        <w:spacing w:line="560" w:lineRule="exact"/>
        <w:ind w:left="3" w:right="3" w:firstLine="560"/>
        <w:rPr>
          <w:color w:val="auto"/>
        </w:rPr>
      </w:pPr>
      <w:r>
        <w:rPr>
          <w:rFonts w:hint="eastAsia" w:ascii="仿宋_GB2312"/>
          <w:color w:val="auto"/>
        </w:rPr>
        <w:t>项目按照项目公告公示规定要求，完成项目前期公开、项目建设期公开，项目竣工后公开，通过张榜公示向社会公开，接受社会监督。</w:t>
      </w:r>
    </w:p>
    <w:sectPr>
      <w:headerReference r:id="rId3" w:type="default"/>
      <w:footerReference r:id="rId4" w:type="default"/>
      <w:pgSz w:w="11906" w:h="16838"/>
      <w:pgMar w:top="1985" w:right="1134" w:bottom="1134" w:left="1701" w:header="737" w:footer="737" w:gutter="0"/>
      <w:pgNumType w:start="0"/>
      <w:cols w:space="425"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方正大标宋简体">
    <w:altName w:val="微软雅黑"/>
    <w:panose1 w:val="02010601030101010101"/>
    <w:charset w:val="86"/>
    <w:family w:val="auto"/>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43567469"/>
    </w:sdtPr>
    <w:sdtContent>
      <w:p w14:paraId="08517C00">
        <w:pPr>
          <w:pStyle w:val="13"/>
          <w:jc w:val="center"/>
        </w:pPr>
        <w:r>
          <w:fldChar w:fldCharType="begin"/>
        </w:r>
        <w:r>
          <w:instrText xml:space="preserve">PAGE   \* MERGEFORMAT</w:instrText>
        </w:r>
        <w:r>
          <w:fldChar w:fldCharType="separate"/>
        </w:r>
        <w:r>
          <w:rPr>
            <w:lang w:val="zh-CN"/>
          </w:rPr>
          <w:t>8</w:t>
        </w:r>
        <w:r>
          <w:fldChar w:fldCharType="end"/>
        </w:r>
      </w:p>
    </w:sdtContent>
  </w:sdt>
  <w:p w14:paraId="44FA190E">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8827A9">
    <w:pPr>
      <w:pStyle w:val="1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SnapToGridInCell/>
    <w:doNotWrapTextWithPunct/>
    <w:doNotUseEastAsianBreakRules/>
    <w:growAutofit/>
    <w:useFELayout/>
    <w:doNotUseIndentAsNumberingTabStop/>
    <w:useAltKinsokuLineBreakRules/>
    <w:compatSetting w:name="compatibilityMode" w:uri="http://schemas.microsoft.com/office/word" w:val="14"/>
  </w:compat>
  <w:docVars>
    <w:docVar w:name="commondata" w:val="eyJoZGlkIjoiY2RlOGExMTJjOWFmYjNiZTJjMWUwNDM2NWFmZTM5NmEifQ=="/>
  </w:docVars>
  <w:rsids>
    <w:rsidRoot w:val="00B312FC"/>
    <w:rsid w:val="00005A8B"/>
    <w:rsid w:val="000260F1"/>
    <w:rsid w:val="00026982"/>
    <w:rsid w:val="00044E24"/>
    <w:rsid w:val="00051FB1"/>
    <w:rsid w:val="00054312"/>
    <w:rsid w:val="00071ED9"/>
    <w:rsid w:val="00080041"/>
    <w:rsid w:val="00083077"/>
    <w:rsid w:val="00091C2E"/>
    <w:rsid w:val="000970E2"/>
    <w:rsid w:val="000A3F8B"/>
    <w:rsid w:val="000B68C8"/>
    <w:rsid w:val="000E0477"/>
    <w:rsid w:val="000F003D"/>
    <w:rsid w:val="000F5BA4"/>
    <w:rsid w:val="00101C31"/>
    <w:rsid w:val="001302C1"/>
    <w:rsid w:val="001529B8"/>
    <w:rsid w:val="001C12C9"/>
    <w:rsid w:val="001C5A74"/>
    <w:rsid w:val="001D0046"/>
    <w:rsid w:val="001D7871"/>
    <w:rsid w:val="001F0A88"/>
    <w:rsid w:val="002073D6"/>
    <w:rsid w:val="00216DCD"/>
    <w:rsid w:val="002356F3"/>
    <w:rsid w:val="00237DAC"/>
    <w:rsid w:val="00243713"/>
    <w:rsid w:val="0025219B"/>
    <w:rsid w:val="00266194"/>
    <w:rsid w:val="002661C0"/>
    <w:rsid w:val="002746C2"/>
    <w:rsid w:val="0028360D"/>
    <w:rsid w:val="00294612"/>
    <w:rsid w:val="002A49E9"/>
    <w:rsid w:val="002B362C"/>
    <w:rsid w:val="002C1B5A"/>
    <w:rsid w:val="002C6622"/>
    <w:rsid w:val="00303872"/>
    <w:rsid w:val="003219C9"/>
    <w:rsid w:val="00343C8B"/>
    <w:rsid w:val="0035619D"/>
    <w:rsid w:val="0036579B"/>
    <w:rsid w:val="0037545E"/>
    <w:rsid w:val="003B103E"/>
    <w:rsid w:val="003B2066"/>
    <w:rsid w:val="003B45C2"/>
    <w:rsid w:val="003D6089"/>
    <w:rsid w:val="003F7CD3"/>
    <w:rsid w:val="00407329"/>
    <w:rsid w:val="0042774A"/>
    <w:rsid w:val="00433105"/>
    <w:rsid w:val="0043529B"/>
    <w:rsid w:val="00441918"/>
    <w:rsid w:val="004447F6"/>
    <w:rsid w:val="00452A7B"/>
    <w:rsid w:val="004765F9"/>
    <w:rsid w:val="00485516"/>
    <w:rsid w:val="004A4B34"/>
    <w:rsid w:val="004D19E3"/>
    <w:rsid w:val="004E156F"/>
    <w:rsid w:val="004F278C"/>
    <w:rsid w:val="004F71F5"/>
    <w:rsid w:val="00502531"/>
    <w:rsid w:val="005033D8"/>
    <w:rsid w:val="00545496"/>
    <w:rsid w:val="005469CF"/>
    <w:rsid w:val="00561ADC"/>
    <w:rsid w:val="005B4348"/>
    <w:rsid w:val="005B7749"/>
    <w:rsid w:val="005D7C18"/>
    <w:rsid w:val="005F7D5D"/>
    <w:rsid w:val="00600873"/>
    <w:rsid w:val="00601C6E"/>
    <w:rsid w:val="00601E6C"/>
    <w:rsid w:val="00607547"/>
    <w:rsid w:val="00642C18"/>
    <w:rsid w:val="00692E8F"/>
    <w:rsid w:val="00696A43"/>
    <w:rsid w:val="006C2EB3"/>
    <w:rsid w:val="006D0E3E"/>
    <w:rsid w:val="006F23BE"/>
    <w:rsid w:val="006F2813"/>
    <w:rsid w:val="00704F2C"/>
    <w:rsid w:val="00713A95"/>
    <w:rsid w:val="007658DB"/>
    <w:rsid w:val="007F690F"/>
    <w:rsid w:val="0080022F"/>
    <w:rsid w:val="00807B3F"/>
    <w:rsid w:val="0081784A"/>
    <w:rsid w:val="00844F4D"/>
    <w:rsid w:val="008703E2"/>
    <w:rsid w:val="00897839"/>
    <w:rsid w:val="008A3305"/>
    <w:rsid w:val="008A49C0"/>
    <w:rsid w:val="008B044F"/>
    <w:rsid w:val="008B4230"/>
    <w:rsid w:val="008B6B8E"/>
    <w:rsid w:val="008C3F3B"/>
    <w:rsid w:val="008E2F50"/>
    <w:rsid w:val="008F2DBD"/>
    <w:rsid w:val="0091422D"/>
    <w:rsid w:val="0093300C"/>
    <w:rsid w:val="00941946"/>
    <w:rsid w:val="0094736A"/>
    <w:rsid w:val="00953ED0"/>
    <w:rsid w:val="00965656"/>
    <w:rsid w:val="009C105D"/>
    <w:rsid w:val="009C2529"/>
    <w:rsid w:val="009D11ED"/>
    <w:rsid w:val="00A1755C"/>
    <w:rsid w:val="00A20A41"/>
    <w:rsid w:val="00A233B8"/>
    <w:rsid w:val="00A2767E"/>
    <w:rsid w:val="00A2793F"/>
    <w:rsid w:val="00A33D48"/>
    <w:rsid w:val="00A416AC"/>
    <w:rsid w:val="00A52A00"/>
    <w:rsid w:val="00A71644"/>
    <w:rsid w:val="00A75331"/>
    <w:rsid w:val="00AA0053"/>
    <w:rsid w:val="00AB4406"/>
    <w:rsid w:val="00AC566E"/>
    <w:rsid w:val="00AD2994"/>
    <w:rsid w:val="00B312FC"/>
    <w:rsid w:val="00B322F0"/>
    <w:rsid w:val="00B455F6"/>
    <w:rsid w:val="00B516E9"/>
    <w:rsid w:val="00B606E1"/>
    <w:rsid w:val="00B73EDA"/>
    <w:rsid w:val="00B77438"/>
    <w:rsid w:val="00B8520F"/>
    <w:rsid w:val="00B94447"/>
    <w:rsid w:val="00BB1ADD"/>
    <w:rsid w:val="00BC59F8"/>
    <w:rsid w:val="00BD5077"/>
    <w:rsid w:val="00BF0294"/>
    <w:rsid w:val="00C36832"/>
    <w:rsid w:val="00C36FD3"/>
    <w:rsid w:val="00C47EDA"/>
    <w:rsid w:val="00C5126D"/>
    <w:rsid w:val="00C5141C"/>
    <w:rsid w:val="00C5653E"/>
    <w:rsid w:val="00CA0AB1"/>
    <w:rsid w:val="00CB6770"/>
    <w:rsid w:val="00CD3679"/>
    <w:rsid w:val="00CF170A"/>
    <w:rsid w:val="00CF20B9"/>
    <w:rsid w:val="00D0177C"/>
    <w:rsid w:val="00D026EF"/>
    <w:rsid w:val="00D144AC"/>
    <w:rsid w:val="00D157F5"/>
    <w:rsid w:val="00D30D3D"/>
    <w:rsid w:val="00D5216E"/>
    <w:rsid w:val="00D631FB"/>
    <w:rsid w:val="00D67F10"/>
    <w:rsid w:val="00D738DA"/>
    <w:rsid w:val="00D775A1"/>
    <w:rsid w:val="00DB1673"/>
    <w:rsid w:val="00DC00CB"/>
    <w:rsid w:val="00DE5C9F"/>
    <w:rsid w:val="00DF035E"/>
    <w:rsid w:val="00E14FB0"/>
    <w:rsid w:val="00E20066"/>
    <w:rsid w:val="00E215D5"/>
    <w:rsid w:val="00E231E6"/>
    <w:rsid w:val="00E35D4C"/>
    <w:rsid w:val="00E36AF4"/>
    <w:rsid w:val="00E417AF"/>
    <w:rsid w:val="00E5760D"/>
    <w:rsid w:val="00E62F01"/>
    <w:rsid w:val="00E66C44"/>
    <w:rsid w:val="00E72FF5"/>
    <w:rsid w:val="00E952C7"/>
    <w:rsid w:val="00EB734B"/>
    <w:rsid w:val="00EE2F0B"/>
    <w:rsid w:val="00F4497B"/>
    <w:rsid w:val="00F52D23"/>
    <w:rsid w:val="00F66291"/>
    <w:rsid w:val="00F66C47"/>
    <w:rsid w:val="00F74F64"/>
    <w:rsid w:val="00F75FFF"/>
    <w:rsid w:val="00F83581"/>
    <w:rsid w:val="00FB3DE7"/>
    <w:rsid w:val="00FB7553"/>
    <w:rsid w:val="00FD470D"/>
    <w:rsid w:val="00FD4E1C"/>
    <w:rsid w:val="00FD65BA"/>
    <w:rsid w:val="00FE1B50"/>
    <w:rsid w:val="00FF1109"/>
    <w:rsid w:val="0A5A4355"/>
    <w:rsid w:val="1290025F"/>
    <w:rsid w:val="1B4C7EFD"/>
    <w:rsid w:val="1ECF1C7F"/>
    <w:rsid w:val="21F85143"/>
    <w:rsid w:val="2274076A"/>
    <w:rsid w:val="27F22D71"/>
    <w:rsid w:val="27FA5098"/>
    <w:rsid w:val="28671AD2"/>
    <w:rsid w:val="28CB5AB0"/>
    <w:rsid w:val="358F2A1F"/>
    <w:rsid w:val="36E37D20"/>
    <w:rsid w:val="36E53025"/>
    <w:rsid w:val="37001C59"/>
    <w:rsid w:val="422170E7"/>
    <w:rsid w:val="43EB1A9A"/>
    <w:rsid w:val="44462A02"/>
    <w:rsid w:val="49877823"/>
    <w:rsid w:val="49A679C2"/>
    <w:rsid w:val="49F204F1"/>
    <w:rsid w:val="4AEA2EF6"/>
    <w:rsid w:val="4C7738C5"/>
    <w:rsid w:val="4CC850A8"/>
    <w:rsid w:val="4F9F7923"/>
    <w:rsid w:val="504B0D9B"/>
    <w:rsid w:val="528E634C"/>
    <w:rsid w:val="535B4AEB"/>
    <w:rsid w:val="55970F48"/>
    <w:rsid w:val="592C08F6"/>
    <w:rsid w:val="5B4A0670"/>
    <w:rsid w:val="699D2E72"/>
    <w:rsid w:val="758F6589"/>
    <w:rsid w:val="7D555B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eastAsia="楷体_GB2312" w:asciiTheme="minorHAnsi" w:hAnsiTheme="minorHAnsi" w:cstheme="minorBidi"/>
      <w:kern w:val="2"/>
      <w:sz w:val="32"/>
      <w:szCs w:val="22"/>
      <w:lang w:val="en-US" w:eastAsia="zh-CN" w:bidi="ar-SA"/>
    </w:rPr>
  </w:style>
  <w:style w:type="paragraph" w:styleId="3">
    <w:name w:val="heading 1"/>
    <w:basedOn w:val="1"/>
    <w:next w:val="1"/>
    <w:link w:val="21"/>
    <w:qFormat/>
    <w:uiPriority w:val="9"/>
    <w:pPr>
      <w:keepNext/>
      <w:keepLines/>
      <w:spacing w:before="340" w:after="330" w:line="576" w:lineRule="auto"/>
      <w:outlineLvl w:val="0"/>
    </w:pPr>
    <w:rPr>
      <w:rFonts w:cs="宋体"/>
      <w:b/>
      <w:bCs/>
      <w:kern w:val="44"/>
      <w:sz w:val="44"/>
      <w:szCs w:val="44"/>
    </w:rPr>
  </w:style>
  <w:style w:type="paragraph" w:styleId="4">
    <w:name w:val="heading 2"/>
    <w:basedOn w:val="1"/>
    <w:next w:val="1"/>
    <w:link w:val="22"/>
    <w:qFormat/>
    <w:uiPriority w:val="9"/>
    <w:pPr>
      <w:keepNext/>
      <w:keepLines/>
      <w:spacing w:before="260" w:after="260" w:line="415" w:lineRule="auto"/>
      <w:outlineLvl w:val="1"/>
    </w:pPr>
    <w:rPr>
      <w:rFonts w:asciiTheme="majorHAnsi" w:hAnsiTheme="majorHAnsi" w:eastAsiaTheme="majorEastAsia" w:cstheme="majorBidi"/>
      <w:b/>
      <w:bCs/>
      <w:szCs w:val="32"/>
    </w:rPr>
  </w:style>
  <w:style w:type="paragraph" w:styleId="2">
    <w:name w:val="heading 3"/>
    <w:basedOn w:val="1"/>
    <w:next w:val="1"/>
    <w:link w:val="23"/>
    <w:qFormat/>
    <w:uiPriority w:val="9"/>
    <w:pPr>
      <w:keepNext/>
      <w:keepLines/>
      <w:spacing w:before="260" w:after="260" w:line="415" w:lineRule="auto"/>
      <w:outlineLvl w:val="2"/>
    </w:pPr>
    <w:rPr>
      <w:rFonts w:cs="宋体"/>
      <w:b/>
      <w:bCs/>
      <w:szCs w:val="32"/>
    </w:rPr>
  </w:style>
  <w:style w:type="paragraph" w:styleId="5">
    <w:name w:val="heading 4"/>
    <w:basedOn w:val="1"/>
    <w:next w:val="1"/>
    <w:link w:val="24"/>
    <w:qFormat/>
    <w:uiPriority w:val="9"/>
    <w:pPr>
      <w:keepNext/>
      <w:keepLines/>
      <w:spacing w:before="280" w:after="290" w:line="374" w:lineRule="auto"/>
      <w:outlineLvl w:val="3"/>
    </w:pPr>
    <w:rPr>
      <w:rFonts w:asciiTheme="majorHAnsi" w:hAnsiTheme="majorHAnsi" w:eastAsiaTheme="majorEastAsia" w:cstheme="majorBidi"/>
      <w:b/>
      <w:bCs/>
      <w:sz w:val="28"/>
      <w:szCs w:val="28"/>
    </w:rPr>
  </w:style>
  <w:style w:type="paragraph" w:styleId="6">
    <w:name w:val="heading 5"/>
    <w:basedOn w:val="1"/>
    <w:next w:val="1"/>
    <w:link w:val="25"/>
    <w:qFormat/>
    <w:uiPriority w:val="9"/>
    <w:pPr>
      <w:keepNext/>
      <w:keepLines/>
      <w:spacing w:before="280" w:after="290" w:line="374" w:lineRule="auto"/>
      <w:outlineLvl w:val="4"/>
    </w:pPr>
    <w:rPr>
      <w:rFonts w:cs="宋体"/>
      <w:b/>
      <w:bCs/>
      <w:sz w:val="28"/>
      <w:szCs w:val="28"/>
    </w:rPr>
  </w:style>
  <w:style w:type="paragraph" w:styleId="7">
    <w:name w:val="heading 6"/>
    <w:basedOn w:val="1"/>
    <w:next w:val="1"/>
    <w:link w:val="36"/>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62"/>
    <w:qFormat/>
    <w:uiPriority w:val="9"/>
    <w:pPr>
      <w:keepNext/>
      <w:keepLines/>
      <w:spacing w:before="240" w:after="64" w:line="320" w:lineRule="auto"/>
      <w:outlineLvl w:val="6"/>
    </w:pPr>
    <w:rPr>
      <w:b/>
      <w:bCs/>
      <w:sz w:val="24"/>
      <w:szCs w:val="24"/>
    </w:rPr>
  </w:style>
  <w:style w:type="paragraph" w:styleId="9">
    <w:name w:val="heading 8"/>
    <w:basedOn w:val="1"/>
    <w:next w:val="1"/>
    <w:link w:val="63"/>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paragraph" w:styleId="10">
    <w:name w:val="heading 9"/>
    <w:basedOn w:val="1"/>
    <w:next w:val="1"/>
    <w:link w:val="64"/>
    <w:qFormat/>
    <w:uiPriority w:val="9"/>
    <w:pPr>
      <w:keepNext/>
      <w:keepLines/>
      <w:spacing w:before="240" w:after="64" w:line="320" w:lineRule="auto"/>
      <w:outlineLvl w:val="8"/>
    </w:pPr>
    <w:rPr>
      <w:rFonts w:asciiTheme="majorHAnsi" w:hAnsiTheme="majorHAnsi" w:eastAsiaTheme="majorEastAsia" w:cstheme="majorBidi"/>
      <w:szCs w:val="21"/>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67"/>
    <w:semiHidden/>
    <w:unhideWhenUsed/>
    <w:qFormat/>
    <w:uiPriority w:val="99"/>
    <w:pPr>
      <w:jc w:val="left"/>
    </w:pPr>
  </w:style>
  <w:style w:type="paragraph" w:styleId="12">
    <w:name w:val="Balloon Text"/>
    <w:basedOn w:val="1"/>
    <w:link w:val="69"/>
    <w:semiHidden/>
    <w:unhideWhenUsed/>
    <w:qFormat/>
    <w:uiPriority w:val="99"/>
    <w:rPr>
      <w:sz w:val="18"/>
      <w:szCs w:val="18"/>
    </w:rPr>
  </w:style>
  <w:style w:type="paragraph" w:styleId="13">
    <w:name w:val="footer"/>
    <w:basedOn w:val="1"/>
    <w:link w:val="66"/>
    <w:unhideWhenUsed/>
    <w:qFormat/>
    <w:uiPriority w:val="99"/>
    <w:pPr>
      <w:tabs>
        <w:tab w:val="center" w:pos="4153"/>
        <w:tab w:val="right" w:pos="8306"/>
      </w:tabs>
      <w:snapToGrid w:val="0"/>
      <w:jc w:val="left"/>
    </w:pPr>
    <w:rPr>
      <w:sz w:val="18"/>
      <w:szCs w:val="18"/>
    </w:rPr>
  </w:style>
  <w:style w:type="paragraph" w:styleId="14">
    <w:name w:val="header"/>
    <w:basedOn w:val="1"/>
    <w:link w:val="65"/>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6">
    <w:name w:val="annotation subject"/>
    <w:basedOn w:val="11"/>
    <w:next w:val="11"/>
    <w:link w:val="68"/>
    <w:semiHidden/>
    <w:unhideWhenUsed/>
    <w:qFormat/>
    <w:uiPriority w:val="99"/>
    <w:rPr>
      <w:b/>
      <w:bCs/>
    </w:rPr>
  </w:style>
  <w:style w:type="character" w:styleId="19">
    <w:name w:val="Strong"/>
    <w:basedOn w:val="18"/>
    <w:qFormat/>
    <w:uiPriority w:val="0"/>
    <w:rPr>
      <w:b/>
      <w:bCs/>
    </w:rPr>
  </w:style>
  <w:style w:type="character" w:styleId="20">
    <w:name w:val="annotation reference"/>
    <w:basedOn w:val="18"/>
    <w:semiHidden/>
    <w:unhideWhenUsed/>
    <w:qFormat/>
    <w:uiPriority w:val="99"/>
    <w:rPr>
      <w:sz w:val="21"/>
      <w:szCs w:val="21"/>
    </w:rPr>
  </w:style>
  <w:style w:type="character" w:customStyle="1" w:styleId="21">
    <w:name w:val="标题 1 Char"/>
    <w:basedOn w:val="18"/>
    <w:link w:val="3"/>
    <w:qFormat/>
    <w:locked/>
    <w:uiPriority w:val="9"/>
    <w:rPr>
      <w:b/>
      <w:bCs/>
      <w:kern w:val="44"/>
      <w:sz w:val="44"/>
      <w:szCs w:val="44"/>
    </w:rPr>
  </w:style>
  <w:style w:type="character" w:customStyle="1" w:styleId="22">
    <w:name w:val="标题 2 Char"/>
    <w:basedOn w:val="18"/>
    <w:link w:val="4"/>
    <w:semiHidden/>
    <w:qFormat/>
    <w:locked/>
    <w:uiPriority w:val="9"/>
    <w:rPr>
      <w:rFonts w:hint="eastAsia" w:asciiTheme="majorHAnsi" w:hAnsiTheme="majorHAnsi" w:eastAsiaTheme="majorEastAsia" w:cstheme="majorBidi"/>
      <w:b/>
      <w:bCs/>
      <w:sz w:val="32"/>
      <w:szCs w:val="32"/>
    </w:rPr>
  </w:style>
  <w:style w:type="character" w:customStyle="1" w:styleId="23">
    <w:name w:val="标题 3 Char"/>
    <w:basedOn w:val="18"/>
    <w:link w:val="2"/>
    <w:semiHidden/>
    <w:qFormat/>
    <w:locked/>
    <w:uiPriority w:val="9"/>
    <w:rPr>
      <w:b/>
      <w:bCs/>
      <w:sz w:val="32"/>
      <w:szCs w:val="32"/>
    </w:rPr>
  </w:style>
  <w:style w:type="character" w:customStyle="1" w:styleId="24">
    <w:name w:val="标题 4 Char"/>
    <w:basedOn w:val="18"/>
    <w:link w:val="5"/>
    <w:semiHidden/>
    <w:qFormat/>
    <w:locked/>
    <w:uiPriority w:val="9"/>
    <w:rPr>
      <w:rFonts w:hint="eastAsia" w:asciiTheme="majorHAnsi" w:hAnsiTheme="majorHAnsi" w:eastAsiaTheme="majorEastAsia" w:cstheme="majorBidi"/>
      <w:b/>
      <w:bCs/>
      <w:sz w:val="28"/>
      <w:szCs w:val="28"/>
    </w:rPr>
  </w:style>
  <w:style w:type="character" w:customStyle="1" w:styleId="25">
    <w:name w:val="标题 5 Char"/>
    <w:basedOn w:val="18"/>
    <w:link w:val="6"/>
    <w:semiHidden/>
    <w:qFormat/>
    <w:locked/>
    <w:uiPriority w:val="9"/>
    <w:rPr>
      <w:b/>
      <w:bCs/>
      <w:sz w:val="28"/>
      <w:szCs w:val="28"/>
    </w:rPr>
  </w:style>
  <w:style w:type="character" w:customStyle="1" w:styleId="26">
    <w:name w:val="FZ标题1 字符"/>
    <w:basedOn w:val="18"/>
    <w:link w:val="27"/>
    <w:qFormat/>
    <w:locked/>
    <w:uiPriority w:val="0"/>
    <w:rPr>
      <w:rFonts w:hint="eastAsia" w:ascii="宋体" w:hAnsi="宋体" w:eastAsia="宋体"/>
      <w:b/>
      <w:color w:val="000000"/>
      <w:sz w:val="32"/>
    </w:rPr>
  </w:style>
  <w:style w:type="paragraph" w:customStyle="1" w:styleId="27">
    <w:name w:val="FZ标题1"/>
    <w:basedOn w:val="3"/>
    <w:link w:val="26"/>
    <w:qFormat/>
    <w:uiPriority w:val="0"/>
    <w:pPr>
      <w:keepNext w:val="0"/>
      <w:keepLines w:val="0"/>
      <w:snapToGrid w:val="0"/>
      <w:spacing w:before="0" w:after="0" w:line="360" w:lineRule="auto"/>
      <w:ind w:left="1" w:leftChars="1" w:right="1" w:rightChars="1" w:firstLine="1" w:firstLineChars="1"/>
      <w:jc w:val="center"/>
    </w:pPr>
    <w:rPr>
      <w:rFonts w:ascii="宋体" w:hAnsi="宋体" w:eastAsia="宋体" w:cstheme="minorBidi"/>
      <w:bCs w:val="0"/>
      <w:color w:val="000000"/>
      <w:kern w:val="2"/>
      <w:sz w:val="32"/>
      <w:szCs w:val="22"/>
    </w:rPr>
  </w:style>
  <w:style w:type="character" w:customStyle="1" w:styleId="28">
    <w:name w:val="FZ标题2 字符"/>
    <w:basedOn w:val="18"/>
    <w:link w:val="29"/>
    <w:qFormat/>
    <w:locked/>
    <w:uiPriority w:val="0"/>
    <w:rPr>
      <w:rFonts w:eastAsia="黑体"/>
      <w:b/>
      <w:bCs/>
      <w:color w:val="000000"/>
      <w:kern w:val="2"/>
      <w:sz w:val="28"/>
      <w:szCs w:val="44"/>
    </w:rPr>
  </w:style>
  <w:style w:type="paragraph" w:customStyle="1" w:styleId="29">
    <w:name w:val="FZ标题2"/>
    <w:basedOn w:val="4"/>
    <w:link w:val="28"/>
    <w:qFormat/>
    <w:uiPriority w:val="0"/>
    <w:pPr>
      <w:keepNext w:val="0"/>
      <w:keepLines w:val="0"/>
      <w:snapToGrid w:val="0"/>
      <w:spacing w:before="0" w:beforeLines="50" w:after="0" w:line="360" w:lineRule="auto"/>
      <w:ind w:left="1" w:leftChars="1" w:right="1" w:rightChars="1" w:firstLine="1" w:firstLineChars="1"/>
      <w:jc w:val="left"/>
    </w:pPr>
    <w:rPr>
      <w:rFonts w:ascii="宋体" w:hAnsi="宋体" w:eastAsia="黑体" w:cstheme="minorBidi"/>
      <w:color w:val="000000"/>
      <w:sz w:val="28"/>
      <w:szCs w:val="44"/>
    </w:rPr>
  </w:style>
  <w:style w:type="character" w:customStyle="1" w:styleId="30">
    <w:name w:val="FZ标题3 字符"/>
    <w:basedOn w:val="18"/>
    <w:link w:val="31"/>
    <w:qFormat/>
    <w:locked/>
    <w:uiPriority w:val="0"/>
    <w:rPr>
      <w:rFonts w:eastAsia="仿宋_GB2312" w:cstheme="majorBidi"/>
      <w:b/>
      <w:bCs/>
      <w:color w:val="000000"/>
      <w:kern w:val="2"/>
      <w:sz w:val="28"/>
      <w:szCs w:val="32"/>
    </w:rPr>
  </w:style>
  <w:style w:type="paragraph" w:customStyle="1" w:styleId="31">
    <w:name w:val="FZ标题3"/>
    <w:basedOn w:val="2"/>
    <w:link w:val="30"/>
    <w:qFormat/>
    <w:uiPriority w:val="0"/>
    <w:pPr>
      <w:keepNext w:val="0"/>
      <w:keepLines w:val="0"/>
      <w:snapToGrid w:val="0"/>
      <w:spacing w:before="120" w:beforeLines="50" w:after="0" w:line="360" w:lineRule="auto"/>
      <w:ind w:right="3" w:rightChars="1" w:firstLine="281" w:firstLineChars="100"/>
    </w:pPr>
    <w:rPr>
      <w:rFonts w:ascii="宋体" w:hAnsi="宋体" w:eastAsia="仿宋_GB2312" w:cstheme="majorBidi"/>
      <w:color w:val="000000"/>
      <w:sz w:val="28"/>
    </w:rPr>
  </w:style>
  <w:style w:type="character" w:customStyle="1" w:styleId="32">
    <w:name w:val="FZ标题4 字符"/>
    <w:basedOn w:val="18"/>
    <w:link w:val="33"/>
    <w:qFormat/>
    <w:locked/>
    <w:uiPriority w:val="0"/>
    <w:rPr>
      <w:rFonts w:ascii="仿宋_GB2312" w:eastAsia="仿宋_GB2312"/>
      <w:b/>
      <w:bCs/>
      <w:color w:val="000000"/>
      <w:kern w:val="2"/>
      <w:sz w:val="28"/>
      <w:szCs w:val="32"/>
    </w:rPr>
  </w:style>
  <w:style w:type="paragraph" w:customStyle="1" w:styleId="33">
    <w:name w:val="FZ标题4"/>
    <w:basedOn w:val="5"/>
    <w:link w:val="32"/>
    <w:qFormat/>
    <w:uiPriority w:val="0"/>
    <w:pPr>
      <w:keepNext w:val="0"/>
      <w:keepLines w:val="0"/>
      <w:snapToGrid w:val="0"/>
      <w:spacing w:before="120" w:beforeLines="50" w:after="0" w:line="560" w:lineRule="exact"/>
      <w:ind w:firstLine="562" w:firstLineChars="200"/>
      <w:jc w:val="left"/>
    </w:pPr>
    <w:rPr>
      <w:rFonts w:ascii="仿宋_GB2312" w:hAnsi="宋体" w:eastAsia="仿宋_GB2312" w:cstheme="minorBidi"/>
      <w:color w:val="000000"/>
      <w:szCs w:val="32"/>
    </w:rPr>
  </w:style>
  <w:style w:type="character" w:customStyle="1" w:styleId="34">
    <w:name w:val="FZ标题5 字符"/>
    <w:basedOn w:val="18"/>
    <w:link w:val="35"/>
    <w:qFormat/>
    <w:locked/>
    <w:uiPriority w:val="0"/>
    <w:rPr>
      <w:rFonts w:hint="eastAsia" w:ascii="宋体" w:hAnsi="宋体" w:eastAsia="宋体" w:cstheme="majorBidi"/>
      <w:bCs/>
      <w:color w:val="000000"/>
      <w:szCs w:val="28"/>
    </w:rPr>
  </w:style>
  <w:style w:type="paragraph" w:customStyle="1" w:styleId="35">
    <w:name w:val="FZ标题5"/>
    <w:basedOn w:val="6"/>
    <w:link w:val="34"/>
    <w:qFormat/>
    <w:uiPriority w:val="0"/>
    <w:pPr>
      <w:keepNext w:val="0"/>
      <w:keepLines w:val="0"/>
      <w:snapToGrid w:val="0"/>
      <w:spacing w:before="0" w:beforeLines="50" w:after="0" w:line="360" w:lineRule="auto"/>
      <w:ind w:left="1" w:leftChars="1" w:right="1" w:rightChars="1" w:firstLine="200" w:firstLineChars="200"/>
      <w:jc w:val="left"/>
    </w:pPr>
    <w:rPr>
      <w:rFonts w:ascii="宋体" w:hAnsi="宋体" w:eastAsia="宋体" w:cstheme="majorBidi"/>
      <w:b w:val="0"/>
      <w:color w:val="000000"/>
      <w:sz w:val="21"/>
    </w:rPr>
  </w:style>
  <w:style w:type="character" w:customStyle="1" w:styleId="36">
    <w:name w:val="标题 6 Char"/>
    <w:basedOn w:val="18"/>
    <w:link w:val="7"/>
    <w:semiHidden/>
    <w:qFormat/>
    <w:uiPriority w:val="9"/>
    <w:rPr>
      <w:rFonts w:asciiTheme="majorHAnsi" w:hAnsiTheme="majorHAnsi" w:eastAsiaTheme="majorEastAsia" w:cstheme="majorBidi"/>
      <w:b/>
      <w:bCs/>
      <w:kern w:val="2"/>
      <w:sz w:val="24"/>
      <w:szCs w:val="24"/>
    </w:rPr>
  </w:style>
  <w:style w:type="character" w:customStyle="1" w:styleId="37">
    <w:name w:val="FZ标题6 字符"/>
    <w:basedOn w:val="18"/>
    <w:link w:val="38"/>
    <w:qFormat/>
    <w:locked/>
    <w:uiPriority w:val="0"/>
    <w:rPr>
      <w:rFonts w:hint="eastAsia" w:ascii="宋体" w:hAnsi="宋体" w:eastAsia="宋体"/>
      <w:bCs/>
      <w:color w:val="000000"/>
      <w:szCs w:val="28"/>
    </w:rPr>
  </w:style>
  <w:style w:type="paragraph" w:customStyle="1" w:styleId="38">
    <w:name w:val="FZ标题6"/>
    <w:basedOn w:val="7"/>
    <w:link w:val="37"/>
    <w:qFormat/>
    <w:uiPriority w:val="0"/>
    <w:pPr>
      <w:keepNext w:val="0"/>
      <w:keepLines w:val="0"/>
      <w:snapToGrid w:val="0"/>
      <w:spacing w:before="0" w:beforeLines="50" w:after="0" w:line="360" w:lineRule="auto"/>
      <w:ind w:left="1" w:leftChars="1" w:right="1" w:rightChars="1" w:firstLine="200" w:firstLineChars="200"/>
      <w:jc w:val="left"/>
    </w:pPr>
    <w:rPr>
      <w:rFonts w:ascii="宋体" w:hAnsi="宋体" w:eastAsia="宋体" w:cstheme="minorBidi"/>
      <w:b w:val="0"/>
      <w:color w:val="000000"/>
      <w:sz w:val="21"/>
      <w:szCs w:val="28"/>
    </w:rPr>
  </w:style>
  <w:style w:type="character" w:customStyle="1" w:styleId="39">
    <w:name w:val="FZ表格标题行首列 字符"/>
    <w:basedOn w:val="18"/>
    <w:link w:val="40"/>
    <w:qFormat/>
    <w:locked/>
    <w:uiPriority w:val="0"/>
    <w:rPr>
      <w:rFonts w:hint="eastAsia" w:ascii="宋体" w:hAnsi="宋体" w:eastAsia="宋体"/>
      <w:color w:val="000000"/>
      <w:sz w:val="18"/>
    </w:rPr>
  </w:style>
  <w:style w:type="paragraph" w:customStyle="1" w:styleId="40">
    <w:name w:val="FZ表格标题行首列"/>
    <w:basedOn w:val="1"/>
    <w:link w:val="39"/>
    <w:qFormat/>
    <w:uiPriority w:val="0"/>
    <w:pPr>
      <w:snapToGrid w:val="0"/>
      <w:spacing w:before="10" w:after="10"/>
      <w:ind w:left="1" w:leftChars="1" w:right="1" w:rightChars="1" w:firstLine="74" w:firstLineChars="50"/>
      <w:jc w:val="left"/>
    </w:pPr>
    <w:rPr>
      <w:rFonts w:ascii="宋体" w:hAnsi="宋体" w:eastAsia="宋体"/>
      <w:color w:val="000000"/>
      <w:sz w:val="18"/>
    </w:rPr>
  </w:style>
  <w:style w:type="character" w:customStyle="1" w:styleId="41">
    <w:name w:val="FZ表格标题行 字符"/>
    <w:basedOn w:val="18"/>
    <w:link w:val="42"/>
    <w:qFormat/>
    <w:locked/>
    <w:uiPriority w:val="0"/>
    <w:rPr>
      <w:rFonts w:hint="eastAsia" w:ascii="宋体" w:hAnsi="宋体" w:eastAsia="宋体"/>
      <w:color w:val="000000"/>
      <w:sz w:val="18"/>
    </w:rPr>
  </w:style>
  <w:style w:type="paragraph" w:customStyle="1" w:styleId="42">
    <w:name w:val="FZ表格标题行"/>
    <w:basedOn w:val="1"/>
    <w:link w:val="41"/>
    <w:qFormat/>
    <w:uiPriority w:val="0"/>
    <w:pPr>
      <w:snapToGrid w:val="0"/>
      <w:spacing w:before="10" w:after="10"/>
      <w:ind w:left="1" w:leftChars="1" w:right="1" w:rightChars="1" w:firstLine="74" w:firstLineChars="74"/>
      <w:jc w:val="center"/>
    </w:pPr>
    <w:rPr>
      <w:rFonts w:ascii="宋体" w:hAnsi="宋体" w:eastAsia="宋体"/>
      <w:color w:val="000000"/>
      <w:sz w:val="18"/>
    </w:rPr>
  </w:style>
  <w:style w:type="character" w:customStyle="1" w:styleId="43">
    <w:name w:val="FZ表格正文行首列 字符"/>
    <w:basedOn w:val="18"/>
    <w:link w:val="44"/>
    <w:qFormat/>
    <w:locked/>
    <w:uiPriority w:val="0"/>
    <w:rPr>
      <w:rFonts w:hint="eastAsia" w:ascii="宋体" w:hAnsi="宋体" w:eastAsia="宋体"/>
      <w:color w:val="000000"/>
      <w:sz w:val="18"/>
    </w:rPr>
  </w:style>
  <w:style w:type="paragraph" w:customStyle="1" w:styleId="44">
    <w:name w:val="FZ表格正文行首列"/>
    <w:basedOn w:val="1"/>
    <w:link w:val="43"/>
    <w:qFormat/>
    <w:uiPriority w:val="0"/>
    <w:pPr>
      <w:snapToGrid w:val="0"/>
      <w:spacing w:before="10" w:after="10"/>
      <w:ind w:left="1" w:leftChars="1" w:right="1" w:rightChars="1" w:firstLine="50" w:firstLineChars="50"/>
      <w:jc w:val="left"/>
    </w:pPr>
    <w:rPr>
      <w:rFonts w:ascii="宋体" w:hAnsi="宋体" w:eastAsia="宋体"/>
      <w:color w:val="000000"/>
      <w:sz w:val="18"/>
    </w:rPr>
  </w:style>
  <w:style w:type="character" w:customStyle="1" w:styleId="45">
    <w:name w:val="FZ表格正文行 字符"/>
    <w:basedOn w:val="18"/>
    <w:link w:val="46"/>
    <w:qFormat/>
    <w:locked/>
    <w:uiPriority w:val="0"/>
    <w:rPr>
      <w:rFonts w:hint="eastAsia" w:ascii="宋体" w:hAnsi="宋体" w:eastAsia="宋体"/>
      <w:color w:val="000000"/>
      <w:sz w:val="18"/>
    </w:rPr>
  </w:style>
  <w:style w:type="paragraph" w:customStyle="1" w:styleId="46">
    <w:name w:val="FZ表格正文行"/>
    <w:basedOn w:val="1"/>
    <w:link w:val="45"/>
    <w:qFormat/>
    <w:uiPriority w:val="0"/>
    <w:pPr>
      <w:snapToGrid w:val="0"/>
      <w:spacing w:before="10" w:after="10"/>
      <w:ind w:left="1" w:leftChars="1" w:right="1" w:rightChars="50" w:firstLine="74" w:firstLineChars="50"/>
      <w:jc w:val="right"/>
    </w:pPr>
    <w:rPr>
      <w:rFonts w:ascii="Times New Roman" w:hAnsi="Times New Roman" w:eastAsia="宋体"/>
      <w:color w:val="000000"/>
      <w:sz w:val="18"/>
    </w:rPr>
  </w:style>
  <w:style w:type="character" w:customStyle="1" w:styleId="47">
    <w:name w:val="FZ表格合计行首列 字符"/>
    <w:basedOn w:val="18"/>
    <w:link w:val="48"/>
    <w:qFormat/>
    <w:locked/>
    <w:uiPriority w:val="0"/>
    <w:rPr>
      <w:rFonts w:hint="eastAsia" w:ascii="宋体" w:hAnsi="宋体" w:eastAsia="宋体"/>
      <w:color w:val="000000"/>
      <w:sz w:val="18"/>
    </w:rPr>
  </w:style>
  <w:style w:type="paragraph" w:customStyle="1" w:styleId="48">
    <w:name w:val="FZ表格合计行首列"/>
    <w:basedOn w:val="1"/>
    <w:link w:val="47"/>
    <w:qFormat/>
    <w:uiPriority w:val="0"/>
    <w:pPr>
      <w:snapToGrid w:val="0"/>
      <w:spacing w:before="10" w:after="10"/>
      <w:ind w:left="1" w:leftChars="1" w:right="1" w:rightChars="1" w:firstLine="74" w:firstLineChars="74"/>
      <w:jc w:val="center"/>
    </w:pPr>
    <w:rPr>
      <w:rFonts w:ascii="宋体" w:hAnsi="宋体" w:eastAsia="宋体"/>
      <w:color w:val="000000"/>
      <w:sz w:val="18"/>
    </w:rPr>
  </w:style>
  <w:style w:type="character" w:customStyle="1" w:styleId="49">
    <w:name w:val="FZ表格合计行 字符"/>
    <w:basedOn w:val="18"/>
    <w:link w:val="50"/>
    <w:qFormat/>
    <w:locked/>
    <w:uiPriority w:val="0"/>
    <w:rPr>
      <w:rFonts w:hint="eastAsia" w:ascii="宋体" w:hAnsi="宋体" w:eastAsia="宋体"/>
      <w:color w:val="000000"/>
      <w:sz w:val="18"/>
    </w:rPr>
  </w:style>
  <w:style w:type="paragraph" w:customStyle="1" w:styleId="50">
    <w:name w:val="FZ表格合计行"/>
    <w:basedOn w:val="1"/>
    <w:link w:val="49"/>
    <w:qFormat/>
    <w:uiPriority w:val="0"/>
    <w:pPr>
      <w:snapToGrid w:val="0"/>
      <w:spacing w:before="10" w:after="10"/>
      <w:ind w:left="1" w:leftChars="1" w:right="1" w:rightChars="1" w:firstLine="74"/>
      <w:jc w:val="right"/>
    </w:pPr>
    <w:rPr>
      <w:rFonts w:ascii="Times New Roman" w:hAnsi="Times New Roman" w:eastAsia="宋体"/>
      <w:color w:val="000000"/>
      <w:sz w:val="18"/>
    </w:rPr>
  </w:style>
  <w:style w:type="character" w:customStyle="1" w:styleId="51">
    <w:name w:val="FZ正文 字符"/>
    <w:basedOn w:val="18"/>
    <w:link w:val="52"/>
    <w:qFormat/>
    <w:locked/>
    <w:uiPriority w:val="0"/>
    <w:rPr>
      <w:rFonts w:ascii="Times New Roman" w:hAnsi="Times New Roman" w:eastAsia="仿宋_GB2312" w:cs="Times New Roman"/>
      <w:color w:val="000000"/>
      <w:kern w:val="2"/>
      <w:sz w:val="28"/>
      <w:szCs w:val="22"/>
    </w:rPr>
  </w:style>
  <w:style w:type="paragraph" w:customStyle="1" w:styleId="52">
    <w:name w:val="FZ正文"/>
    <w:basedOn w:val="1"/>
    <w:link w:val="51"/>
    <w:qFormat/>
    <w:uiPriority w:val="0"/>
    <w:pPr>
      <w:snapToGrid w:val="0"/>
      <w:spacing w:line="360" w:lineRule="auto"/>
      <w:ind w:left="1" w:leftChars="1" w:right="1" w:rightChars="1" w:firstLine="200" w:firstLineChars="200"/>
    </w:pPr>
    <w:rPr>
      <w:rFonts w:ascii="Times New Roman" w:hAnsi="Times New Roman" w:eastAsia="仿宋_GB2312" w:cs="Times New Roman"/>
      <w:color w:val="000000"/>
      <w:sz w:val="28"/>
    </w:rPr>
  </w:style>
  <w:style w:type="character" w:customStyle="1" w:styleId="53">
    <w:name w:val="FZ副标题 字符"/>
    <w:basedOn w:val="18"/>
    <w:link w:val="54"/>
    <w:qFormat/>
    <w:locked/>
    <w:uiPriority w:val="0"/>
    <w:rPr>
      <w:rFonts w:hint="eastAsia" w:ascii="宋体" w:hAnsi="宋体" w:eastAsia="宋体"/>
      <w:color w:val="000000"/>
    </w:rPr>
  </w:style>
  <w:style w:type="paragraph" w:customStyle="1" w:styleId="54">
    <w:name w:val="FZ副标题"/>
    <w:basedOn w:val="1"/>
    <w:link w:val="53"/>
    <w:qFormat/>
    <w:uiPriority w:val="0"/>
    <w:pPr>
      <w:snapToGrid w:val="0"/>
      <w:spacing w:beforeLines="50"/>
      <w:ind w:left="1" w:leftChars="1" w:right="1" w:rightChars="1" w:firstLine="1" w:firstLineChars="1"/>
      <w:jc w:val="center"/>
    </w:pPr>
    <w:rPr>
      <w:rFonts w:ascii="宋体" w:hAnsi="宋体" w:eastAsia="宋体"/>
      <w:color w:val="000000"/>
    </w:rPr>
  </w:style>
  <w:style w:type="character" w:customStyle="1" w:styleId="55">
    <w:name w:val="FZ落款 字符"/>
    <w:basedOn w:val="18"/>
    <w:link w:val="56"/>
    <w:qFormat/>
    <w:locked/>
    <w:uiPriority w:val="0"/>
    <w:rPr>
      <w:rFonts w:hint="eastAsia" w:ascii="宋体" w:hAnsi="宋体" w:eastAsia="宋体"/>
      <w:color w:val="000000"/>
    </w:rPr>
  </w:style>
  <w:style w:type="paragraph" w:customStyle="1" w:styleId="56">
    <w:name w:val="FZ落款"/>
    <w:basedOn w:val="1"/>
    <w:link w:val="55"/>
    <w:qFormat/>
    <w:uiPriority w:val="0"/>
    <w:pPr>
      <w:snapToGrid w:val="0"/>
      <w:spacing w:beforeLines="50" w:line="360" w:lineRule="auto"/>
      <w:ind w:left="1" w:leftChars="1" w:right="1" w:rightChars="1" w:firstLine="1500" w:firstLineChars="1500"/>
      <w:jc w:val="center"/>
    </w:pPr>
    <w:rPr>
      <w:rFonts w:ascii="宋体" w:hAnsi="宋体" w:eastAsia="宋体"/>
      <w:color w:val="000000"/>
    </w:rPr>
  </w:style>
  <w:style w:type="character" w:customStyle="1" w:styleId="57">
    <w:name w:val="FZ注释 字符"/>
    <w:basedOn w:val="18"/>
    <w:link w:val="58"/>
    <w:qFormat/>
    <w:locked/>
    <w:uiPriority w:val="0"/>
    <w:rPr>
      <w:rFonts w:hint="eastAsia" w:ascii="宋体" w:hAnsi="宋体" w:eastAsia="宋体"/>
      <w:color w:val="000000"/>
      <w:sz w:val="18"/>
    </w:rPr>
  </w:style>
  <w:style w:type="paragraph" w:customStyle="1" w:styleId="58">
    <w:name w:val="FZ注释"/>
    <w:basedOn w:val="1"/>
    <w:link w:val="57"/>
    <w:qFormat/>
    <w:uiPriority w:val="0"/>
    <w:pPr>
      <w:snapToGrid w:val="0"/>
      <w:spacing w:before="10" w:after="10"/>
      <w:ind w:left="1" w:leftChars="1" w:right="1" w:rightChars="1" w:firstLine="74" w:firstLineChars="74"/>
      <w:jc w:val="left"/>
    </w:pPr>
    <w:rPr>
      <w:rFonts w:ascii="宋体" w:hAnsi="宋体" w:eastAsia="宋体"/>
      <w:color w:val="000000"/>
      <w:sz w:val="18"/>
    </w:rPr>
  </w:style>
  <w:style w:type="character" w:customStyle="1" w:styleId="59">
    <w:name w:val="FZ小标题 字符"/>
    <w:basedOn w:val="18"/>
    <w:link w:val="60"/>
    <w:qFormat/>
    <w:locked/>
    <w:uiPriority w:val="0"/>
    <w:rPr>
      <w:rFonts w:hint="eastAsia" w:ascii="宋体" w:hAnsi="宋体" w:eastAsia="宋体"/>
      <w:color w:val="000000"/>
      <w:sz w:val="18"/>
    </w:rPr>
  </w:style>
  <w:style w:type="paragraph" w:customStyle="1" w:styleId="60">
    <w:name w:val="FZ小标题"/>
    <w:basedOn w:val="1"/>
    <w:link w:val="59"/>
    <w:qFormat/>
    <w:uiPriority w:val="0"/>
    <w:pPr>
      <w:snapToGrid w:val="0"/>
      <w:spacing w:before="10" w:after="10"/>
      <w:ind w:left="1" w:leftChars="1" w:right="1" w:rightChars="1" w:firstLine="74" w:firstLineChars="74"/>
      <w:jc w:val="left"/>
    </w:pPr>
    <w:rPr>
      <w:rFonts w:ascii="宋体" w:hAnsi="宋体" w:eastAsia="宋体"/>
      <w:color w:val="000000"/>
      <w:sz w:val="18"/>
    </w:rPr>
  </w:style>
  <w:style w:type="paragraph" w:customStyle="1" w:styleId="61">
    <w:name w:val="tbtd"/>
    <w:basedOn w:val="1"/>
    <w:qFormat/>
    <w:uiPriority w:val="0"/>
    <w:pPr>
      <w:widowControl/>
      <w:pBdr>
        <w:top w:val="single" w:color="000000" w:sz="4" w:space="0"/>
        <w:left w:val="single" w:color="000000" w:sz="4" w:space="0"/>
        <w:bottom w:val="single" w:color="000000" w:sz="4" w:space="0"/>
        <w:right w:val="single" w:color="000000" w:sz="4" w:space="0"/>
      </w:pBdr>
      <w:shd w:val="clear" w:color="auto" w:fill="FFFFFF"/>
      <w:spacing w:before="100" w:beforeAutospacing="1" w:after="100" w:afterAutospacing="1"/>
      <w:textAlignment w:val="center"/>
    </w:pPr>
    <w:rPr>
      <w:rFonts w:ascii="Times New Roman" w:hAnsi="Times New Roman" w:eastAsia="宋体" w:cs="Times New Roman"/>
      <w:color w:val="000000"/>
      <w:kern w:val="0"/>
      <w:sz w:val="18"/>
      <w:szCs w:val="18"/>
    </w:rPr>
  </w:style>
  <w:style w:type="character" w:customStyle="1" w:styleId="62">
    <w:name w:val="标题 7 Char"/>
    <w:basedOn w:val="18"/>
    <w:link w:val="8"/>
    <w:semiHidden/>
    <w:qFormat/>
    <w:uiPriority w:val="9"/>
    <w:rPr>
      <w:rFonts w:asciiTheme="minorHAnsi" w:hAnsiTheme="minorHAnsi" w:eastAsiaTheme="minorEastAsia"/>
      <w:b/>
      <w:bCs/>
      <w:kern w:val="2"/>
      <w:sz w:val="24"/>
      <w:szCs w:val="24"/>
    </w:rPr>
  </w:style>
  <w:style w:type="character" w:customStyle="1" w:styleId="63">
    <w:name w:val="标题 8 Char"/>
    <w:basedOn w:val="18"/>
    <w:link w:val="9"/>
    <w:semiHidden/>
    <w:qFormat/>
    <w:uiPriority w:val="9"/>
    <w:rPr>
      <w:rFonts w:asciiTheme="majorHAnsi" w:hAnsiTheme="majorHAnsi" w:eastAsiaTheme="majorEastAsia" w:cstheme="majorBidi"/>
      <w:kern w:val="2"/>
      <w:sz w:val="24"/>
      <w:szCs w:val="24"/>
    </w:rPr>
  </w:style>
  <w:style w:type="character" w:customStyle="1" w:styleId="64">
    <w:name w:val="标题 9 Char"/>
    <w:basedOn w:val="18"/>
    <w:link w:val="10"/>
    <w:semiHidden/>
    <w:qFormat/>
    <w:uiPriority w:val="9"/>
    <w:rPr>
      <w:rFonts w:asciiTheme="majorHAnsi" w:hAnsiTheme="majorHAnsi" w:eastAsiaTheme="majorEastAsia" w:cstheme="majorBidi"/>
      <w:kern w:val="2"/>
      <w:sz w:val="21"/>
      <w:szCs w:val="21"/>
    </w:rPr>
  </w:style>
  <w:style w:type="character" w:customStyle="1" w:styleId="65">
    <w:name w:val="页眉 Char"/>
    <w:basedOn w:val="18"/>
    <w:link w:val="14"/>
    <w:qFormat/>
    <w:uiPriority w:val="99"/>
    <w:rPr>
      <w:rFonts w:asciiTheme="minorHAnsi" w:hAnsiTheme="minorHAnsi" w:eastAsiaTheme="minorEastAsia"/>
      <w:kern w:val="2"/>
      <w:sz w:val="18"/>
      <w:szCs w:val="18"/>
    </w:rPr>
  </w:style>
  <w:style w:type="character" w:customStyle="1" w:styleId="66">
    <w:name w:val="页脚 Char"/>
    <w:basedOn w:val="18"/>
    <w:link w:val="13"/>
    <w:qFormat/>
    <w:uiPriority w:val="99"/>
    <w:rPr>
      <w:rFonts w:asciiTheme="minorHAnsi" w:hAnsiTheme="minorHAnsi" w:eastAsiaTheme="minorEastAsia"/>
      <w:kern w:val="2"/>
      <w:sz w:val="18"/>
      <w:szCs w:val="18"/>
    </w:rPr>
  </w:style>
  <w:style w:type="character" w:customStyle="1" w:styleId="67">
    <w:name w:val="批注文字 Char"/>
    <w:basedOn w:val="18"/>
    <w:link w:val="11"/>
    <w:semiHidden/>
    <w:qFormat/>
    <w:uiPriority w:val="99"/>
    <w:rPr>
      <w:rFonts w:asciiTheme="minorHAnsi" w:hAnsiTheme="minorHAnsi" w:eastAsiaTheme="minorEastAsia"/>
      <w:kern w:val="2"/>
      <w:sz w:val="21"/>
      <w:szCs w:val="22"/>
    </w:rPr>
  </w:style>
  <w:style w:type="character" w:customStyle="1" w:styleId="68">
    <w:name w:val="批注主题 Char"/>
    <w:basedOn w:val="67"/>
    <w:link w:val="16"/>
    <w:semiHidden/>
    <w:qFormat/>
    <w:uiPriority w:val="99"/>
    <w:rPr>
      <w:rFonts w:asciiTheme="minorHAnsi" w:hAnsiTheme="minorHAnsi" w:eastAsiaTheme="minorEastAsia"/>
      <w:b/>
      <w:bCs/>
      <w:kern w:val="2"/>
      <w:sz w:val="21"/>
      <w:szCs w:val="22"/>
    </w:rPr>
  </w:style>
  <w:style w:type="character" w:customStyle="1" w:styleId="69">
    <w:name w:val="批注框文本 Char"/>
    <w:basedOn w:val="18"/>
    <w:link w:val="12"/>
    <w:semiHidden/>
    <w:qFormat/>
    <w:uiPriority w:val="99"/>
    <w:rPr>
      <w:rFonts w:asciiTheme="minorHAnsi" w:hAnsiTheme="minorHAnsi" w:eastAsiaTheme="minorEastAsia"/>
      <w:kern w:val="2"/>
      <w:sz w:val="18"/>
      <w:szCs w:val="18"/>
    </w:rPr>
  </w:style>
  <w:style w:type="paragraph" w:customStyle="1" w:styleId="70">
    <w:name w:val="aaa正文h"/>
    <w:basedOn w:val="1"/>
    <w:qFormat/>
    <w:uiPriority w:val="0"/>
    <w:pPr>
      <w:autoSpaceDE w:val="0"/>
      <w:autoSpaceDN w:val="0"/>
      <w:adjustRightInd w:val="0"/>
      <w:snapToGrid w:val="0"/>
      <w:ind w:firstLine="20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D68CB7-A3E6-4A87-8C22-B593F67D46E5}">
  <ds:schemaRefs/>
</ds:datastoreItem>
</file>

<file path=docProps/app.xml><?xml version="1.0" encoding="utf-8"?>
<Properties xmlns="http://schemas.openxmlformats.org/officeDocument/2006/extended-properties" xmlns:vt="http://schemas.openxmlformats.org/officeDocument/2006/docPropsVTypes">
  <Template>Normal.dotm</Template>
  <Pages>12</Pages>
  <Words>5715</Words>
  <Characters>6313</Characters>
  <Lines>52</Lines>
  <Paragraphs>14</Paragraphs>
  <TotalTime>30</TotalTime>
  <ScaleCrop>false</ScaleCrop>
  <LinksUpToDate>false</LinksUpToDate>
  <CharactersWithSpaces>6633</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2022-11-19T08:47:00Z</dcterms:created>
  <dc:creator>Xueyang</dc:creator>
  <cp:lastModifiedBy>Administrator</cp:lastModifiedBy>
  <dcterms:modified xsi:type="dcterms:W3CDTF">2025-12-15T09:22:47Z</dcterms:modified>
  <dc:title>C:\Users\Xueyang\Desktop\170号自评报告\57.艾力西湖镇巴扎（10）村花卉生产基地配套建设项目绩效自评报告.xlsx</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00790B14DBB2487490D124B41D16BE88</vt:lpwstr>
  </property>
  <property fmtid="{D5CDD505-2E9C-101B-9397-08002B2CF9AE}" pid="4" name="KSOTemplateDocerSaveRecord">
    <vt:lpwstr>eyJoZGlkIjoiN2E4NjNmZTcwODVjODA2MTRhYmIxMzkyNzU2MzA0MDkiLCJ1c2VySWQiOiI5NzI1MDUxNTYifQ==</vt:lpwstr>
  </property>
</Properties>
</file>