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281" w:lineRule="auto"/>
        <w:rPr>
          <w:rFonts w:ascii="Arial"/>
          <w:sz w:val="21"/>
        </w:rPr>
      </w:pPr>
    </w:p>
    <w:p>
      <w:pPr>
        <w:spacing w:before="143" w:line="218" w:lineRule="auto"/>
        <w:ind w:left="946"/>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rPr>
        <w:t>政府信息公开工作年度报告编制说明</w:t>
      </w:r>
    </w:p>
    <w:p>
      <w:pPr>
        <w:spacing w:line="307" w:lineRule="auto"/>
        <w:rPr>
          <w:rFonts w:ascii="Arial"/>
          <w:sz w:val="21"/>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工作年度报告分为6部分，分别是：1.总体情况；2.主动公开政府信息情况；3.收到和处理政府信息公开申请情况；4.政府信息公开行政复议、行政诉讼情况；5.存在的主要问题及改进情况；6.其他需要报告的事项。</w:t>
      </w:r>
    </w:p>
    <w:p>
      <w:pPr>
        <w:keepNext w:val="0"/>
        <w:keepLines w:val="0"/>
        <w:pageBreakBefore w:val="0"/>
        <w:widowControl w:val="0"/>
        <w:kinsoku/>
        <w:overflowPunct/>
        <w:topLinePunct w:val="0"/>
        <w:autoSpaceDE/>
        <w:autoSpaceDN/>
        <w:bidi w:val="0"/>
        <w:adjustRightInd/>
        <w:snapToGrid/>
        <w:spacing w:line="560" w:lineRule="exact"/>
        <w:ind w:left="0"/>
        <w:textAlignment w:val="auto"/>
        <w:outlineLvl w:val="0"/>
        <w:rPr>
          <w:rFonts w:ascii="黑体" w:hAnsi="黑体" w:eastAsia="黑体" w:cs="黑体"/>
          <w:b w:val="0"/>
          <w:bCs w:val="0"/>
          <w:sz w:val="32"/>
          <w:szCs w:val="32"/>
        </w:rPr>
      </w:pPr>
      <w:r>
        <w:rPr>
          <w:rFonts w:hint="eastAsia" w:ascii="黑体" w:hAnsi="黑体" w:eastAsia="黑体" w:cs="黑体"/>
          <w:b w:val="0"/>
          <w:bCs w:val="0"/>
          <w:spacing w:val="3"/>
          <w:sz w:val="32"/>
          <w:szCs w:val="32"/>
          <w:lang w:val="en-US" w:eastAsia="zh-CN"/>
        </w:rPr>
        <w:t xml:space="preserve">    </w:t>
      </w:r>
      <w:r>
        <w:rPr>
          <w:rFonts w:ascii="黑体" w:hAnsi="黑体" w:eastAsia="黑体" w:cs="黑体"/>
          <w:b w:val="0"/>
          <w:bCs w:val="0"/>
          <w:spacing w:val="3"/>
          <w:sz w:val="32"/>
          <w:szCs w:val="32"/>
        </w:rPr>
        <w:t>一、总体情况</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该部分采用文字描述。</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一项主要报告本机关上一年度政府信息公开工作总体情况，对本机关贯彻落实《中华人民共和国政府信息公开条例》情况进行综述，主要包括5个方面：主动公开、依申请公开、政府信息管理、平台建设、监督保障（含《中华人民共和国政府信息公开条例》第五十条第四项规定的各级人民政府“工作考核、社会评议和责任追究结果情况”）等方面，重在聚焦主题、简明客观，该部分叙述篇幅原则上不超过1000字。</w:t>
      </w:r>
    </w:p>
    <w:p>
      <w:pPr>
        <w:keepNext w:val="0"/>
        <w:keepLines w:val="0"/>
        <w:pageBreakBefore w:val="0"/>
        <w:widowControl w:val="0"/>
        <w:kinsoku/>
        <w:wordWrap/>
        <w:overflowPunct/>
        <w:topLinePunct/>
        <w:autoSpaceDE/>
        <w:autoSpaceDN/>
        <w:bidi w:val="0"/>
        <w:adjustRightInd/>
        <w:snapToGrid/>
        <w:spacing w:line="560" w:lineRule="exact"/>
        <w:ind w:left="0" w:firstLine="652" w:firstLineChars="200"/>
        <w:textAlignment w:val="auto"/>
        <w:outlineLvl w:val="0"/>
        <w:rPr>
          <w:rFonts w:ascii="黑体" w:hAnsi="黑体" w:eastAsia="黑体" w:cs="黑体"/>
          <w:b w:val="0"/>
          <w:bCs w:val="0"/>
          <w:spacing w:val="3"/>
          <w:sz w:val="32"/>
          <w:szCs w:val="32"/>
        </w:rPr>
      </w:pPr>
      <w:r>
        <w:rPr>
          <w:rFonts w:ascii="黑体" w:hAnsi="黑体" w:eastAsia="黑体" w:cs="黑体"/>
          <w:b w:val="0"/>
          <w:bCs w:val="0"/>
          <w:spacing w:val="3"/>
          <w:sz w:val="32"/>
          <w:szCs w:val="32"/>
        </w:rPr>
        <w:t>二、主动公开政府信息情况</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ascii="宋体" w:hAnsi="宋体" w:eastAsia="宋体" w:cs="宋体"/>
          <w:sz w:val="32"/>
          <w:szCs w:val="32"/>
        </w:rPr>
      </w:pPr>
      <w:r>
        <w:rPr>
          <w:rFonts w:hint="eastAsia" w:ascii="仿宋_GB2312" w:hAnsi="仿宋_GB2312" w:eastAsia="仿宋_GB2312" w:cs="仿宋_GB2312"/>
          <w:sz w:val="32"/>
          <w:szCs w:val="32"/>
          <w:lang w:val="en-US" w:eastAsia="zh-CN"/>
        </w:rPr>
        <w:t>该部分以表格形式报告。</w:t>
      </w:r>
    </w:p>
    <w:p>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sz w:val="32"/>
          <w:szCs w:val="32"/>
        </w:rPr>
        <w:sectPr>
          <w:footerReference r:id="rId5" w:type="default"/>
          <w:pgSz w:w="11905" w:h="16838"/>
          <w:pgMar w:top="1701" w:right="1474" w:bottom="1531" w:left="1587" w:header="0" w:footer="1071" w:gutter="0"/>
          <w:pgNumType w:fmt="decimal"/>
          <w:cols w:space="0" w:num="1"/>
          <w:rtlGutter w:val="0"/>
          <w:docGrid w:linePitch="0" w:charSpace="0"/>
        </w:sectPr>
      </w:pPr>
      <w:r>
        <w:rPr>
          <w:rFonts w:hint="eastAsia" w:ascii="仿宋_GB2312" w:hAnsi="仿宋_GB2312" w:eastAsia="仿宋_GB2312" w:cs="仿宋_GB2312"/>
          <w:sz w:val="32"/>
          <w:szCs w:val="32"/>
          <w:lang w:val="en-US" w:eastAsia="zh-CN"/>
        </w:rPr>
        <w:t>表格如下：</w:t>
      </w:r>
    </w:p>
    <w:tbl>
      <w:tblPr>
        <w:tblStyle w:val="8"/>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0"/>
        <w:gridCol w:w="2041"/>
        <w:gridCol w:w="1932"/>
        <w:gridCol w:w="2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02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2041" w:type="dxa"/>
            <w:vAlign w:val="center"/>
          </w:tcPr>
          <w:p>
            <w:pPr>
              <w:pStyle w:val="9"/>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932" w:type="dxa"/>
            <w:vAlign w:val="center"/>
          </w:tcPr>
          <w:p>
            <w:pPr>
              <w:pStyle w:val="9"/>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2017" w:type="dxa"/>
            <w:vAlign w:val="center"/>
          </w:tcPr>
          <w:p>
            <w:pPr>
              <w:pStyle w:val="9"/>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2041" w:type="dxa"/>
            <w:vAlign w:val="center"/>
          </w:tcPr>
          <w:p>
            <w:pPr>
              <w:jc w:val="center"/>
              <w:rPr>
                <w:rFonts w:hint="eastAsia" w:ascii="仿宋_GB2312" w:hAnsi="仿宋_GB2312" w:eastAsia="仿宋_GB2312" w:cs="仿宋_GB2312"/>
                <w:sz w:val="21"/>
                <w:szCs w:val="21"/>
              </w:rPr>
            </w:pPr>
          </w:p>
        </w:tc>
        <w:tc>
          <w:tcPr>
            <w:tcW w:w="1932" w:type="dxa"/>
            <w:vAlign w:val="center"/>
          </w:tcPr>
          <w:p>
            <w:pPr>
              <w:jc w:val="center"/>
              <w:rPr>
                <w:rFonts w:hint="eastAsia" w:ascii="仿宋_GB2312" w:hAnsi="仿宋_GB2312" w:eastAsia="仿宋_GB2312" w:cs="仿宋_GB2312"/>
                <w:sz w:val="21"/>
                <w:szCs w:val="21"/>
              </w:rPr>
            </w:pPr>
          </w:p>
        </w:tc>
        <w:tc>
          <w:tcPr>
            <w:tcW w:w="2017" w:type="dxa"/>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2041" w:type="dxa"/>
            <w:vAlign w:val="center"/>
          </w:tcPr>
          <w:p>
            <w:pPr>
              <w:jc w:val="center"/>
              <w:rPr>
                <w:rFonts w:hint="eastAsia" w:ascii="仿宋_GB2312" w:hAnsi="仿宋_GB2312" w:eastAsia="仿宋_GB2312" w:cs="仿宋_GB2312"/>
                <w:sz w:val="21"/>
                <w:szCs w:val="21"/>
              </w:rPr>
            </w:pPr>
          </w:p>
        </w:tc>
        <w:tc>
          <w:tcPr>
            <w:tcW w:w="1932" w:type="dxa"/>
            <w:vAlign w:val="center"/>
          </w:tcPr>
          <w:p>
            <w:pPr>
              <w:jc w:val="center"/>
              <w:rPr>
                <w:rFonts w:hint="eastAsia" w:ascii="仿宋_GB2312" w:hAnsi="仿宋_GB2312" w:eastAsia="仿宋_GB2312" w:cs="仿宋_GB2312"/>
                <w:sz w:val="21"/>
                <w:szCs w:val="21"/>
              </w:rPr>
            </w:pPr>
          </w:p>
        </w:tc>
        <w:tc>
          <w:tcPr>
            <w:tcW w:w="2017" w:type="dxa"/>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020" w:type="dxa"/>
            <w:gridSpan w:val="4"/>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990" w:type="dxa"/>
            <w:gridSpan w:val="3"/>
            <w:vAlign w:val="center"/>
          </w:tcPr>
          <w:p>
            <w:pPr>
              <w:pStyle w:val="9"/>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990" w:type="dxa"/>
            <w:gridSpan w:val="3"/>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02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990" w:type="dxa"/>
            <w:gridSpan w:val="3"/>
            <w:vAlign w:val="center"/>
          </w:tcPr>
          <w:p>
            <w:pPr>
              <w:pStyle w:val="9"/>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990" w:type="dxa"/>
            <w:gridSpan w:val="3"/>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990" w:type="dxa"/>
            <w:gridSpan w:val="3"/>
            <w:vAlign w:val="center"/>
          </w:tcPr>
          <w:p>
            <w:pPr>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020" w:type="dxa"/>
            <w:gridSpan w:val="4"/>
            <w:vAlign w:val="center"/>
          </w:tcPr>
          <w:p>
            <w:pPr>
              <w:pStyle w:val="9"/>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990" w:type="dxa"/>
            <w:gridSpan w:val="3"/>
            <w:vAlign w:val="center"/>
          </w:tcPr>
          <w:p>
            <w:pPr>
              <w:pStyle w:val="9"/>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030" w:type="dxa"/>
            <w:vAlign w:val="center"/>
          </w:tcPr>
          <w:p>
            <w:pPr>
              <w:pStyle w:val="9"/>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990" w:type="dxa"/>
            <w:gridSpan w:val="3"/>
            <w:vAlign w:val="center"/>
          </w:tcPr>
          <w:p>
            <w:pPr>
              <w:jc w:val="center"/>
              <w:rPr>
                <w:rFonts w:hint="eastAsia" w:ascii="仿宋_GB2312" w:hAnsi="仿宋_GB2312" w:eastAsia="仿宋_GB2312" w:cs="仿宋_GB2312"/>
                <w:sz w:val="21"/>
                <w:szCs w:val="21"/>
              </w:rPr>
            </w:pPr>
          </w:p>
        </w:tc>
      </w:tr>
    </w:tbl>
    <w:p/>
    <w:p>
      <w:pPr>
        <w:spacing w:before="162" w:line="570" w:lineRule="exact"/>
        <w:ind w:left="834"/>
        <w:rPr>
          <w:rFonts w:ascii="楷体" w:hAnsi="楷体" w:eastAsia="楷体" w:cs="楷体"/>
          <w:sz w:val="32"/>
          <w:szCs w:val="32"/>
        </w:rPr>
      </w:pPr>
      <w:r>
        <w:rPr>
          <w:rFonts w:hint="eastAsia" w:ascii="楷体" w:hAnsi="楷体" w:eastAsia="楷体" w:cs="楷体"/>
          <w:b/>
          <w:bCs/>
          <w:spacing w:val="17"/>
          <w:position w:val="19"/>
          <w:sz w:val="32"/>
          <w:szCs w:val="32"/>
          <w:lang w:eastAsia="zh-CN"/>
        </w:rPr>
        <w:t>（</w:t>
      </w:r>
      <w:r>
        <w:rPr>
          <w:rFonts w:ascii="楷体" w:hAnsi="楷体" w:eastAsia="楷体" w:cs="楷体"/>
          <w:b/>
          <w:bCs/>
          <w:spacing w:val="17"/>
          <w:position w:val="19"/>
          <w:sz w:val="32"/>
          <w:szCs w:val="32"/>
        </w:rPr>
        <w:t>一</w:t>
      </w:r>
      <w:r>
        <w:rPr>
          <w:rFonts w:hint="eastAsia" w:ascii="楷体" w:hAnsi="楷体" w:eastAsia="楷体" w:cs="楷体"/>
          <w:b/>
          <w:bCs/>
          <w:spacing w:val="17"/>
          <w:position w:val="19"/>
          <w:sz w:val="32"/>
          <w:szCs w:val="32"/>
          <w:lang w:eastAsia="zh-CN"/>
        </w:rPr>
        <w:t>）</w:t>
      </w:r>
      <w:r>
        <w:rPr>
          <w:rFonts w:ascii="楷体" w:hAnsi="楷体" w:eastAsia="楷体" w:cs="楷体"/>
          <w:b/>
          <w:bCs/>
          <w:spacing w:val="17"/>
          <w:position w:val="19"/>
          <w:sz w:val="32"/>
          <w:szCs w:val="32"/>
        </w:rPr>
        <w:t>填表说明</w:t>
      </w:r>
    </w:p>
    <w:p>
      <w:pPr>
        <w:spacing w:before="1" w:line="218" w:lineRule="auto"/>
        <w:ind w:left="674"/>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规章</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《立法法》规定，省、自治区、直辖市和设区的市、自治州的人民政府，可以根据法律、行政法规和本省、自治区、直辖市的地方性法规，制定规章（</w:t>
      </w:r>
      <w:r>
        <w:rPr>
          <w:rFonts w:hint="eastAsia" w:ascii="仿宋_GB2312" w:hAnsi="仿宋_GB2312" w:eastAsia="仿宋_GB2312" w:cs="仿宋_GB2312"/>
          <w:spacing w:val="13"/>
          <w:sz w:val="32"/>
          <w:szCs w:val="32"/>
          <w:lang w:val="en-US" w:eastAsia="zh-CN"/>
        </w:rPr>
        <w:t>注：自治区政府部门起草的规章，最终以自治区政府名义印发，此处不计入本部门的统计数量</w:t>
      </w:r>
      <w:r>
        <w:rPr>
          <w:rFonts w:hint="eastAsia" w:ascii="仿宋_GB2312" w:hAnsi="仿宋_GB2312" w:eastAsia="仿宋_GB2312" w:cs="仿宋_GB2312"/>
          <w:sz w:val="32"/>
          <w:szCs w:val="32"/>
          <w:lang w:val="en-US" w:eastAsia="zh-CN"/>
        </w:rPr>
        <w:t>）。没有的填“0”,不得空白或者填入其他内容。各项数据核定时间点为20</w:t>
      </w:r>
      <w:bookmarkStart w:id="0" w:name="_GoBack"/>
      <w:bookmarkEnd w:id="0"/>
      <w:r>
        <w:rPr>
          <w:rFonts w:hint="eastAsia" w:ascii="仿宋_GB2312" w:hAnsi="仿宋_GB2312" w:eastAsia="仿宋_GB2312" w:cs="仿宋_GB2312"/>
          <w:sz w:val="32"/>
          <w:szCs w:val="32"/>
          <w:lang w:val="en-US" w:eastAsia="zh-CN"/>
        </w:rPr>
        <w:t>25年12月31日。</w:t>
      </w:r>
    </w:p>
    <w:p>
      <w:pPr>
        <w:keepNext w:val="0"/>
        <w:keepLines w:val="0"/>
        <w:pageBreakBefore w:val="0"/>
        <w:widowControl w:val="0"/>
        <w:numPr>
          <w:ilvl w:val="0"/>
          <w:numId w:val="0"/>
        </w:numPr>
        <w:kinsoku/>
        <w:overflowPunct/>
        <w:autoSpaceDE/>
        <w:autoSpaceDN/>
        <w:bidi w:val="0"/>
        <w:adjustRightInd/>
        <w:snapToGrid/>
        <w:spacing w:before="1" w:line="560" w:lineRule="exact"/>
        <w:ind w:firstLine="642"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规范性文件</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本年制发数量”,填报本年度（注：以文件印发日期为计算截止时点）以本机关名义（注：代政府起草的规范性文件，不计入起草部门的统计数量，下同）制作的行政规范性文件</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注</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3"/>
          <w:sz w:val="32"/>
          <w:szCs w:val="32"/>
        </w:rPr>
        <w:t>国办发〔2018〕37号规定，规范性文件是指除政府规章外，由</w:t>
      </w:r>
      <w:r>
        <w:rPr>
          <w:rFonts w:hint="eastAsia" w:ascii="仿宋_GB2312" w:hAnsi="仿宋_GB2312" w:eastAsia="仿宋_GB2312" w:cs="仿宋_GB2312"/>
          <w:spacing w:val="1"/>
          <w:sz w:val="32"/>
          <w:szCs w:val="32"/>
        </w:rPr>
        <w:t>行政机关或者经法律、法规授权的具有管理公共事务职能的组织</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
          <w:sz w:val="32"/>
          <w:szCs w:val="32"/>
        </w:rPr>
        <w:t>依照法定权限、程序制定并公开发布，涉及公民、法人和其他组</w:t>
      </w:r>
      <w:r>
        <w:rPr>
          <w:rFonts w:hint="eastAsia" w:ascii="仿宋_GB2312" w:hAnsi="仿宋_GB2312" w:eastAsia="仿宋_GB2312" w:cs="仿宋_GB2312"/>
          <w:spacing w:val="7"/>
          <w:sz w:val="32"/>
          <w:szCs w:val="32"/>
        </w:rPr>
        <w:t>织权利义务，具有普遍约束力，在一定期限内反复适用的公文</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9"/>
          <w:sz w:val="32"/>
          <w:szCs w:val="32"/>
        </w:rPr>
        <w:t>此处不统计其他类型的公文</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z w:val="32"/>
          <w:szCs w:val="32"/>
          <w:lang w:val="en-US" w:eastAsia="zh-CN"/>
        </w:rPr>
        <w:t>的数量，没有的填“0”,不得空白或者填入其他内容。各项数据核定时间点为2025年12月31日。</w:t>
      </w:r>
    </w:p>
    <w:p>
      <w:pPr>
        <w:keepNext w:val="0"/>
        <w:keepLines w:val="0"/>
        <w:pageBreakBefore w:val="0"/>
        <w:widowControl w:val="0"/>
        <w:numPr>
          <w:ilvl w:val="0"/>
          <w:numId w:val="0"/>
        </w:numPr>
        <w:kinsoku/>
        <w:overflowPunct/>
        <w:autoSpaceDE/>
        <w:autoSpaceDN/>
        <w:bidi w:val="0"/>
        <w:adjustRightInd/>
        <w:snapToGrid/>
        <w:spacing w:before="1"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行政许可</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74" w:firstLineChars="200"/>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b/>
          <w:bCs/>
          <w:spacing w:val="8"/>
          <w:sz w:val="32"/>
          <w:szCs w:val="32"/>
        </w:rPr>
        <w:t>“本年处理决定数量”</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lang w:val="en-US" w:eastAsia="zh-CN"/>
        </w:rPr>
        <w:t>填报本年度本机关作出的行政许可决定数量，没有的填“0”,不得空白或者填入其他内容</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
          <w:sz w:val="32"/>
          <w:szCs w:val="32"/>
        </w:rPr>
        <w:t>注</w:t>
      </w:r>
      <w:r>
        <w:rPr>
          <w:rFonts w:hint="eastAsia" w:ascii="仿宋_GB2312" w:hAnsi="仿宋_GB2312" w:eastAsia="仿宋_GB2312" w:cs="仿宋_GB2312"/>
          <w:spacing w:val="1"/>
          <w:sz w:val="32"/>
          <w:szCs w:val="32"/>
          <w:lang w:eastAsia="zh-CN"/>
        </w:rPr>
        <w:t>：</w:t>
      </w:r>
      <w:r>
        <w:rPr>
          <w:rFonts w:hint="eastAsia" w:ascii="东文宋体" w:hAnsi="东文宋体" w:eastAsia="东文宋体" w:cs="东文宋体"/>
          <w:spacing w:val="1"/>
          <w:sz w:val="32"/>
          <w:szCs w:val="32"/>
        </w:rPr>
        <w:t>①</w:t>
      </w:r>
      <w:r>
        <w:rPr>
          <w:rFonts w:hint="eastAsia" w:ascii="仿宋_GB2312" w:hAnsi="仿宋_GB2312" w:eastAsia="仿宋_GB2312" w:cs="仿宋_GB2312"/>
          <w:spacing w:val="1"/>
          <w:sz w:val="32"/>
          <w:szCs w:val="32"/>
        </w:rPr>
        <w:t>包括已公开和依法未公开的全部处理决定。</w:t>
      </w:r>
      <w:r>
        <w:rPr>
          <w:rFonts w:hint="eastAsia" w:ascii="东文宋体" w:hAnsi="东文宋体" w:eastAsia="东文宋体" w:cs="东文宋体"/>
          <w:spacing w:val="1"/>
          <w:sz w:val="32"/>
          <w:szCs w:val="32"/>
        </w:rPr>
        <w:t>②</w:t>
      </w:r>
      <w:r>
        <w:rPr>
          <w:rFonts w:hint="eastAsia" w:ascii="仿宋_GB2312" w:hAnsi="仿宋_GB2312" w:eastAsia="仿宋_GB2312" w:cs="仿宋_GB2312"/>
          <w:spacing w:val="1"/>
          <w:sz w:val="32"/>
          <w:szCs w:val="32"/>
        </w:rPr>
        <w:t>各项数据核定时间点为</w:t>
      </w:r>
      <w:r>
        <w:rPr>
          <w:rFonts w:hint="eastAsia" w:ascii="仿宋_GB2312" w:hAnsi="仿宋_GB2312" w:eastAsia="仿宋_GB2312" w:cs="仿宋_GB2312"/>
          <w:spacing w:val="1"/>
          <w:sz w:val="32"/>
          <w:szCs w:val="32"/>
          <w:lang w:eastAsia="zh-CN"/>
        </w:rPr>
        <w:t>2025年12月31日</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
          <w:sz w:val="32"/>
          <w:szCs w:val="32"/>
        </w:rPr>
        <w:t>。</w:t>
      </w:r>
    </w:p>
    <w:p>
      <w:pPr>
        <w:keepNext w:val="0"/>
        <w:keepLines w:val="0"/>
        <w:pageBreakBefore w:val="0"/>
        <w:widowControl w:val="0"/>
        <w:numPr>
          <w:ilvl w:val="0"/>
          <w:numId w:val="0"/>
        </w:numPr>
        <w:kinsoku/>
        <w:overflowPunct/>
        <w:autoSpaceDE/>
        <w:autoSpaceDN/>
        <w:bidi w:val="0"/>
        <w:adjustRightInd/>
        <w:snapToGrid/>
        <w:spacing w:before="1"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同“行政许可”。</w:t>
      </w:r>
    </w:p>
    <w:p>
      <w:pPr>
        <w:keepNext w:val="0"/>
        <w:keepLines w:val="0"/>
        <w:pageBreakBefore w:val="0"/>
        <w:widowControl w:val="0"/>
        <w:numPr>
          <w:ilvl w:val="0"/>
          <w:numId w:val="0"/>
        </w:numPr>
        <w:kinsoku/>
        <w:overflowPunct/>
        <w:autoSpaceDE/>
        <w:autoSpaceDN/>
        <w:bidi w:val="0"/>
        <w:adjustRightInd/>
        <w:snapToGrid/>
        <w:spacing w:before="1"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行政强制</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同“行政许可”。</w:t>
      </w:r>
    </w:p>
    <w:p>
      <w:pPr>
        <w:spacing w:before="161" w:line="224" w:lineRule="auto"/>
        <w:ind w:left="794"/>
        <w:rPr>
          <w:rFonts w:ascii="楷体" w:hAnsi="楷体" w:eastAsia="楷体" w:cs="楷体"/>
          <w:sz w:val="32"/>
          <w:szCs w:val="32"/>
        </w:rPr>
      </w:pPr>
      <w:r>
        <w:rPr>
          <w:rFonts w:hint="eastAsia" w:ascii="楷体" w:hAnsi="楷体" w:eastAsia="楷体" w:cs="楷体"/>
          <w:b/>
          <w:bCs/>
          <w:spacing w:val="26"/>
          <w:sz w:val="32"/>
          <w:szCs w:val="32"/>
          <w:lang w:eastAsia="zh-CN"/>
        </w:rPr>
        <w:t>（</w:t>
      </w:r>
      <w:r>
        <w:rPr>
          <w:rFonts w:ascii="楷体" w:hAnsi="楷体" w:eastAsia="楷体" w:cs="楷体"/>
          <w:b/>
          <w:bCs/>
          <w:spacing w:val="26"/>
          <w:sz w:val="32"/>
          <w:szCs w:val="32"/>
        </w:rPr>
        <w:t>二</w:t>
      </w:r>
      <w:r>
        <w:rPr>
          <w:rFonts w:hint="eastAsia" w:ascii="楷体" w:hAnsi="楷体" w:eastAsia="楷体" w:cs="楷体"/>
          <w:b/>
          <w:bCs/>
          <w:spacing w:val="26"/>
          <w:sz w:val="32"/>
          <w:szCs w:val="32"/>
          <w:lang w:eastAsia="zh-CN"/>
        </w:rPr>
        <w:t>）</w:t>
      </w:r>
      <w:r>
        <w:rPr>
          <w:rFonts w:ascii="楷体" w:hAnsi="楷体" w:eastAsia="楷体" w:cs="楷体"/>
          <w:b/>
          <w:bCs/>
          <w:spacing w:val="26"/>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各县市政府</w:t>
      </w:r>
      <w:r>
        <w:rPr>
          <w:rFonts w:hint="eastAsia" w:ascii="仿宋_GB2312" w:hAnsi="仿宋_GB2312" w:eastAsia="仿宋_GB2312" w:cs="仿宋_GB2312"/>
          <w:sz w:val="32"/>
          <w:szCs w:val="32"/>
          <w:lang w:val="en-US" w:eastAsia="zh-CN"/>
        </w:rPr>
        <w:t>信息公开工作年度报告中的“规范性文件”“本年处理决定数量”等数据，应对所属部门和乡镇政府信息公开工作年度报告的相关数据进行加总；“行政许可”“行政处罚”“行政强制”的“本年处理决定数量”，应根据行政权力清单、公共服务事项清单据实填报；“行政事业性收费”的“本年收费金额”，应根据财政部门发布的行政事业性收费项目清单据实填报，不宜直接对所属行政机关填报的数据进行简单汇总。</w:t>
      </w:r>
    </w:p>
    <w:p>
      <w:pPr>
        <w:spacing w:before="197" w:line="222" w:lineRule="auto"/>
        <w:ind w:left="869"/>
        <w:outlineLvl w:val="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该部分以表格形式报告。表格如下：</w:t>
      </w:r>
    </w:p>
    <w:p>
      <w:pPr>
        <w:keepNext w:val="0"/>
        <w:keepLines w:val="0"/>
        <w:pageBreakBefore w:val="0"/>
        <w:widowControl w:val="0"/>
        <w:numPr>
          <w:ilvl w:val="0"/>
          <w:numId w:val="0"/>
        </w:numPr>
        <w:kinsoku/>
        <w:wordWrap/>
        <w:overflowPunct/>
        <w:topLinePunct w:val="0"/>
        <w:autoSpaceDE/>
        <w:autoSpaceDN/>
        <w:bidi w:val="0"/>
        <w:adjustRightInd/>
        <w:snapToGrid/>
        <w:spacing w:before="1" w:line="560" w:lineRule="exact"/>
        <w:textAlignment w:val="auto"/>
        <w:rPr>
          <w:rFonts w:hint="eastAsia" w:ascii="仿宋_GB2312" w:hAnsi="仿宋_GB2312" w:eastAsia="仿宋_GB2312" w:cs="仿宋_GB2312"/>
          <w:sz w:val="32"/>
          <w:szCs w:val="32"/>
          <w:lang w:val="en-US" w:eastAsia="zh-CN"/>
        </w:rPr>
        <w:sectPr>
          <w:footerReference r:id="rId6" w:type="default"/>
          <w:pgSz w:w="11905" w:h="16838"/>
          <w:pgMar w:top="1701" w:right="1474" w:bottom="1531" w:left="1587" w:header="0" w:footer="1361" w:gutter="0"/>
          <w:pgNumType w:fmt="decimal"/>
          <w:cols w:space="0" w:num="1"/>
          <w:rtlGutter w:val="0"/>
          <w:docGrid w:linePitch="0" w:charSpace="0"/>
        </w:sectPr>
      </w:pPr>
    </w:p>
    <w:tbl>
      <w:tblPr>
        <w:tblStyle w:val="8"/>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799"/>
        <w:gridCol w:w="3084"/>
        <w:gridCol w:w="490"/>
        <w:gridCol w:w="692"/>
        <w:gridCol w:w="692"/>
        <w:gridCol w:w="692"/>
        <w:gridCol w:w="703"/>
        <w:gridCol w:w="496"/>
        <w:gridCol w:w="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4668" w:type="dxa"/>
            <w:gridSpan w:val="3"/>
            <w:vMerge w:val="restart"/>
            <w:tcBorders>
              <w:bottom w:val="nil"/>
            </w:tcBorders>
            <w:vAlign w:val="center"/>
          </w:tcPr>
          <w:p>
            <w:pPr>
              <w:pStyle w:val="9"/>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4251"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4668"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9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275"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86"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jc w:val="center"/>
        </w:trPr>
        <w:tc>
          <w:tcPr>
            <w:tcW w:w="4668"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9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92"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92"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92"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703"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96"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86"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68" w:type="dxa"/>
            <w:gridSpan w:val="3"/>
            <w:vAlign w:val="center"/>
          </w:tcPr>
          <w:p>
            <w:pPr>
              <w:pStyle w:val="9"/>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90"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703" w:type="dxa"/>
            <w:vAlign w:val="center"/>
          </w:tcPr>
          <w:p>
            <w:pPr>
              <w:jc w:val="center"/>
              <w:rPr>
                <w:rFonts w:hint="eastAsia" w:ascii="方正仿宋_GB2312" w:hAnsi="方正仿宋_GB2312" w:eastAsia="方正仿宋_GB2312" w:cs="方正仿宋_GB2312"/>
                <w:sz w:val="21"/>
                <w:szCs w:val="21"/>
              </w:rPr>
            </w:pPr>
          </w:p>
        </w:tc>
        <w:tc>
          <w:tcPr>
            <w:tcW w:w="496" w:type="dxa"/>
            <w:vAlign w:val="center"/>
          </w:tcPr>
          <w:p>
            <w:pPr>
              <w:jc w:val="center"/>
              <w:rPr>
                <w:rFonts w:hint="eastAsia" w:ascii="方正仿宋_GB2312" w:hAnsi="方正仿宋_GB2312" w:eastAsia="方正仿宋_GB2312" w:cs="方正仿宋_GB2312"/>
                <w:sz w:val="21"/>
                <w:szCs w:val="21"/>
              </w:rPr>
            </w:pPr>
          </w:p>
        </w:tc>
        <w:tc>
          <w:tcPr>
            <w:tcW w:w="486" w:type="dxa"/>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68" w:type="dxa"/>
            <w:gridSpan w:val="3"/>
            <w:vAlign w:val="center"/>
          </w:tcPr>
          <w:p>
            <w:pPr>
              <w:pStyle w:val="9"/>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90"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692" w:type="dxa"/>
            <w:vAlign w:val="center"/>
          </w:tcPr>
          <w:p>
            <w:pPr>
              <w:jc w:val="center"/>
              <w:rPr>
                <w:rFonts w:hint="eastAsia" w:ascii="方正仿宋_GB2312" w:hAnsi="方正仿宋_GB2312" w:eastAsia="方正仿宋_GB2312" w:cs="方正仿宋_GB2312"/>
                <w:sz w:val="21"/>
                <w:szCs w:val="21"/>
              </w:rPr>
            </w:pPr>
          </w:p>
        </w:tc>
        <w:tc>
          <w:tcPr>
            <w:tcW w:w="703" w:type="dxa"/>
            <w:vAlign w:val="center"/>
          </w:tcPr>
          <w:p>
            <w:pPr>
              <w:jc w:val="center"/>
              <w:rPr>
                <w:rFonts w:hint="eastAsia" w:ascii="方正仿宋_GB2312" w:hAnsi="方正仿宋_GB2312" w:eastAsia="方正仿宋_GB2312" w:cs="方正仿宋_GB2312"/>
                <w:sz w:val="21"/>
                <w:szCs w:val="21"/>
              </w:rPr>
            </w:pPr>
          </w:p>
        </w:tc>
        <w:tc>
          <w:tcPr>
            <w:tcW w:w="496" w:type="dxa"/>
            <w:vAlign w:val="center"/>
          </w:tcPr>
          <w:p>
            <w:pPr>
              <w:jc w:val="center"/>
              <w:rPr>
                <w:rFonts w:hint="eastAsia" w:ascii="方正仿宋_GB2312" w:hAnsi="方正仿宋_GB2312" w:eastAsia="方正仿宋_GB2312" w:cs="方正仿宋_GB2312"/>
                <w:sz w:val="21"/>
                <w:szCs w:val="21"/>
              </w:rPr>
            </w:pPr>
          </w:p>
        </w:tc>
        <w:tc>
          <w:tcPr>
            <w:tcW w:w="486" w:type="dxa"/>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restart"/>
            <w:tcBorders>
              <w:bottom w:val="nil"/>
            </w:tcBorders>
            <w:vAlign w:val="center"/>
          </w:tcPr>
          <w:p>
            <w:pPr>
              <w:pStyle w:val="9"/>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9"/>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9"/>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9"/>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9"/>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883"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（一）</w:t>
            </w:r>
            <w:r>
              <w:rPr>
                <w:rFonts w:hint="eastAsia" w:ascii="方正仿宋_GB2312" w:hAnsi="方正仿宋_GB2312" w:eastAsia="方正仿宋_GB2312" w:cs="方正仿宋_GB2312"/>
                <w:sz w:val="21"/>
                <w:szCs w:val="21"/>
              </w:rPr>
              <w:t>予以公开</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883"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（二）</w:t>
            </w:r>
            <w:r>
              <w:rPr>
                <w:rFonts w:hint="eastAsia" w:ascii="方正仿宋_GB2312" w:hAnsi="方正仿宋_GB2312" w:eastAsia="方正仿宋_GB2312" w:cs="方正仿宋_GB2312"/>
                <w:sz w:val="21"/>
                <w:szCs w:val="21"/>
              </w:rPr>
              <w:t>部分公开</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区分处理的</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只计这一情形</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不计其他情形</w:t>
            </w:r>
            <w:r>
              <w:rPr>
                <w:rFonts w:hint="eastAsia" w:ascii="方正仿宋_GB2312" w:hAnsi="方正仿宋_GB2312" w:eastAsia="方正仿宋_GB2312" w:cs="方正仿宋_GB2312"/>
                <w:sz w:val="21"/>
                <w:szCs w:val="21"/>
                <w:lang w:eastAsia="zh-CN"/>
              </w:rPr>
              <w:t>）</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restart"/>
            <w:tcBorders>
              <w:bottom w:val="nil"/>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三</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不予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公开</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1.属于国家秘密</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2.其他法律行政法规禁止公开</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3.危及“三安全一稳定”</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4.保护第三方合法权益</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5.属于三类内部事务信息</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6.属于四类过程性信息</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7.属于行政执法案卷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8.属于行政查询事项</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restart"/>
            <w:tcBorders>
              <w:bottom w:val="nil"/>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四</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无法</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提供</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1.本机关不掌握相关政府信息</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2.没有现成信息需要另行制作</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3.补正后申请内容仍不明确</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restart"/>
            <w:tcBorders>
              <w:bottom w:val="nil"/>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五</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不予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处理</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1.信访举报投诉类申请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2.重复申请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3.要求提供公开出版物</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4.无正当理由大量反复申请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5.要求行政机关确认或重新出具已获取信息</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restart"/>
            <w:tcBorders>
              <w:bottom w:val="nil"/>
            </w:tcBorders>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六</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其他</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处理</w:t>
            </w: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申请人无正当理由逾期不补正</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行政机关不再处理其政府信息公开申请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2.申请人逾期未按收费通知要求缴纳费用、行政机关不再处理其政府信息公开申请</w:t>
            </w:r>
          </w:p>
        </w:tc>
        <w:tc>
          <w:tcPr>
            <w:tcW w:w="490"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692" w:type="dxa"/>
            <w:vAlign w:val="top"/>
          </w:tcPr>
          <w:p>
            <w:pPr>
              <w:rPr>
                <w:rFonts w:hint="eastAsia" w:ascii="方正仿宋_GB2312" w:hAnsi="方正仿宋_GB2312" w:eastAsia="方正仿宋_GB2312" w:cs="方正仿宋_GB2312"/>
                <w:sz w:val="21"/>
                <w:szCs w:val="21"/>
              </w:rPr>
            </w:pPr>
          </w:p>
        </w:tc>
        <w:tc>
          <w:tcPr>
            <w:tcW w:w="703" w:type="dxa"/>
            <w:vAlign w:val="top"/>
          </w:tcPr>
          <w:p>
            <w:pPr>
              <w:rPr>
                <w:rFonts w:hint="eastAsia" w:ascii="方正仿宋_GB2312" w:hAnsi="方正仿宋_GB2312" w:eastAsia="方正仿宋_GB2312" w:cs="方正仿宋_GB2312"/>
                <w:sz w:val="21"/>
                <w:szCs w:val="21"/>
              </w:rPr>
            </w:pPr>
          </w:p>
        </w:tc>
        <w:tc>
          <w:tcPr>
            <w:tcW w:w="496" w:type="dxa"/>
            <w:vAlign w:val="top"/>
          </w:tcPr>
          <w:p>
            <w:pPr>
              <w:rPr>
                <w:rFonts w:hint="eastAsia" w:ascii="方正仿宋_GB2312" w:hAnsi="方正仿宋_GB2312" w:eastAsia="方正仿宋_GB2312" w:cs="方正仿宋_GB2312"/>
                <w:sz w:val="21"/>
                <w:szCs w:val="21"/>
              </w:rPr>
            </w:pPr>
          </w:p>
        </w:tc>
        <w:tc>
          <w:tcPr>
            <w:tcW w:w="486" w:type="dxa"/>
            <w:vAlign w:val="top"/>
          </w:tcPr>
          <w:p>
            <w:pP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99" w:type="dxa"/>
            <w:vMerge w:val="continue"/>
            <w:tcBorders>
              <w:top w:val="nil"/>
            </w:tcBorders>
            <w:vAlign w:val="top"/>
          </w:tcPr>
          <w:p>
            <w:pPr>
              <w:rPr>
                <w:rFonts w:hint="eastAsia" w:ascii="方正仿宋_GB2312" w:hAnsi="方正仿宋_GB2312" w:eastAsia="方正仿宋_GB2312" w:cs="方正仿宋_GB2312"/>
                <w:sz w:val="21"/>
                <w:szCs w:val="21"/>
              </w:rPr>
            </w:pPr>
          </w:p>
        </w:tc>
        <w:tc>
          <w:tcPr>
            <w:tcW w:w="3084"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3.其他</w:t>
            </w:r>
          </w:p>
        </w:tc>
        <w:tc>
          <w:tcPr>
            <w:tcW w:w="490"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703" w:type="dxa"/>
            <w:vAlign w:val="center"/>
          </w:tcPr>
          <w:p>
            <w:pPr>
              <w:jc w:val="both"/>
              <w:rPr>
                <w:rFonts w:hint="eastAsia" w:ascii="方正仿宋_GB2312" w:hAnsi="方正仿宋_GB2312" w:eastAsia="方正仿宋_GB2312" w:cs="方正仿宋_GB2312"/>
                <w:sz w:val="21"/>
                <w:szCs w:val="21"/>
              </w:rPr>
            </w:pPr>
          </w:p>
        </w:tc>
        <w:tc>
          <w:tcPr>
            <w:tcW w:w="496" w:type="dxa"/>
            <w:vAlign w:val="center"/>
          </w:tcPr>
          <w:p>
            <w:pPr>
              <w:jc w:val="both"/>
              <w:rPr>
                <w:rFonts w:hint="eastAsia" w:ascii="方正仿宋_GB2312" w:hAnsi="方正仿宋_GB2312" w:eastAsia="方正仿宋_GB2312" w:cs="方正仿宋_GB2312"/>
                <w:sz w:val="21"/>
                <w:szCs w:val="21"/>
              </w:rPr>
            </w:pPr>
          </w:p>
        </w:tc>
        <w:tc>
          <w:tcPr>
            <w:tcW w:w="486" w:type="dxa"/>
            <w:vAlign w:val="center"/>
          </w:tcPr>
          <w:p>
            <w:pPr>
              <w:jc w:val="both"/>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883" w:type="dxa"/>
            <w:gridSpan w:val="2"/>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七</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总计</w:t>
            </w:r>
          </w:p>
        </w:tc>
        <w:tc>
          <w:tcPr>
            <w:tcW w:w="490"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703" w:type="dxa"/>
            <w:vAlign w:val="center"/>
          </w:tcPr>
          <w:p>
            <w:pPr>
              <w:jc w:val="both"/>
              <w:rPr>
                <w:rFonts w:hint="eastAsia" w:ascii="方正仿宋_GB2312" w:hAnsi="方正仿宋_GB2312" w:eastAsia="方正仿宋_GB2312" w:cs="方正仿宋_GB2312"/>
                <w:sz w:val="21"/>
                <w:szCs w:val="21"/>
              </w:rPr>
            </w:pPr>
          </w:p>
        </w:tc>
        <w:tc>
          <w:tcPr>
            <w:tcW w:w="496" w:type="dxa"/>
            <w:vAlign w:val="center"/>
          </w:tcPr>
          <w:p>
            <w:pPr>
              <w:jc w:val="both"/>
              <w:rPr>
                <w:rFonts w:hint="eastAsia" w:ascii="方正仿宋_GB2312" w:hAnsi="方正仿宋_GB2312" w:eastAsia="方正仿宋_GB2312" w:cs="方正仿宋_GB2312"/>
                <w:sz w:val="21"/>
                <w:szCs w:val="21"/>
              </w:rPr>
            </w:pPr>
          </w:p>
        </w:tc>
        <w:tc>
          <w:tcPr>
            <w:tcW w:w="486" w:type="dxa"/>
            <w:vAlign w:val="center"/>
          </w:tcPr>
          <w:p>
            <w:pPr>
              <w:jc w:val="both"/>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68" w:type="dxa"/>
            <w:gridSpan w:val="3"/>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四、结转下年度继续办理</w:t>
            </w:r>
          </w:p>
        </w:tc>
        <w:tc>
          <w:tcPr>
            <w:tcW w:w="490"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692" w:type="dxa"/>
            <w:vAlign w:val="center"/>
          </w:tcPr>
          <w:p>
            <w:pPr>
              <w:jc w:val="both"/>
              <w:rPr>
                <w:rFonts w:hint="eastAsia" w:ascii="方正仿宋_GB2312" w:hAnsi="方正仿宋_GB2312" w:eastAsia="方正仿宋_GB2312" w:cs="方正仿宋_GB2312"/>
                <w:sz w:val="21"/>
                <w:szCs w:val="21"/>
              </w:rPr>
            </w:pPr>
          </w:p>
        </w:tc>
        <w:tc>
          <w:tcPr>
            <w:tcW w:w="703" w:type="dxa"/>
            <w:vAlign w:val="center"/>
          </w:tcPr>
          <w:p>
            <w:pPr>
              <w:jc w:val="both"/>
              <w:rPr>
                <w:rFonts w:hint="eastAsia" w:ascii="方正仿宋_GB2312" w:hAnsi="方正仿宋_GB2312" w:eastAsia="方正仿宋_GB2312" w:cs="方正仿宋_GB2312"/>
                <w:sz w:val="21"/>
                <w:szCs w:val="21"/>
              </w:rPr>
            </w:pPr>
          </w:p>
        </w:tc>
        <w:tc>
          <w:tcPr>
            <w:tcW w:w="496" w:type="dxa"/>
            <w:vAlign w:val="center"/>
          </w:tcPr>
          <w:p>
            <w:pPr>
              <w:jc w:val="both"/>
              <w:rPr>
                <w:rFonts w:hint="eastAsia" w:ascii="方正仿宋_GB2312" w:hAnsi="方正仿宋_GB2312" w:eastAsia="方正仿宋_GB2312" w:cs="方正仿宋_GB2312"/>
                <w:sz w:val="21"/>
                <w:szCs w:val="21"/>
              </w:rPr>
            </w:pPr>
          </w:p>
        </w:tc>
        <w:tc>
          <w:tcPr>
            <w:tcW w:w="486" w:type="dxa"/>
            <w:vAlign w:val="center"/>
          </w:tcPr>
          <w:p>
            <w:pPr>
              <w:jc w:val="both"/>
              <w:rPr>
                <w:rFonts w:hint="eastAsia" w:ascii="方正仿宋_GB2312" w:hAnsi="方正仿宋_GB2312" w:eastAsia="方正仿宋_GB2312" w:cs="方正仿宋_GB2312"/>
                <w:sz w:val="21"/>
                <w:szCs w:val="21"/>
              </w:rPr>
            </w:pPr>
          </w:p>
        </w:tc>
      </w:tr>
    </w:tbl>
    <w:p>
      <w:pPr>
        <w:rPr>
          <w:rFonts w:ascii="Arial"/>
          <w:sz w:val="21"/>
        </w:rPr>
      </w:pPr>
    </w:p>
    <w:p>
      <w:pPr>
        <w:sectPr>
          <w:pgSz w:w="11905" w:h="16838"/>
          <w:pgMar w:top="1701" w:right="1474" w:bottom="1531" w:left="1587" w:header="0" w:footer="1071" w:gutter="0"/>
          <w:pgNumType w:fmt="decimal"/>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560" w:lineRule="exact"/>
        <w:ind w:left="929"/>
        <w:textAlignment w:val="auto"/>
        <w:rPr>
          <w:rFonts w:ascii="楷体" w:hAnsi="楷体" w:eastAsia="楷体" w:cs="楷体"/>
          <w:sz w:val="32"/>
          <w:szCs w:val="32"/>
        </w:rPr>
      </w:pPr>
      <w:r>
        <w:rPr>
          <w:rFonts w:hint="eastAsia" w:ascii="楷体" w:hAnsi="楷体" w:eastAsia="楷体" w:cs="楷体"/>
          <w:b/>
          <w:bCs/>
          <w:spacing w:val="19"/>
          <w:sz w:val="32"/>
          <w:szCs w:val="32"/>
          <w:lang w:eastAsia="zh-CN"/>
        </w:rPr>
        <w:t>（</w:t>
      </w:r>
      <w:r>
        <w:rPr>
          <w:rFonts w:ascii="楷体" w:hAnsi="楷体" w:eastAsia="楷体" w:cs="楷体"/>
          <w:b/>
          <w:bCs/>
          <w:spacing w:val="19"/>
          <w:sz w:val="32"/>
          <w:szCs w:val="32"/>
        </w:rPr>
        <w:t>一</w:t>
      </w:r>
      <w:r>
        <w:rPr>
          <w:rFonts w:hint="eastAsia" w:ascii="楷体" w:hAnsi="楷体" w:eastAsia="楷体" w:cs="楷体"/>
          <w:b/>
          <w:bCs/>
          <w:spacing w:val="19"/>
          <w:sz w:val="32"/>
          <w:szCs w:val="32"/>
          <w:lang w:eastAsia="zh-CN"/>
        </w:rPr>
        <w:t>）</w:t>
      </w:r>
      <w:r>
        <w:rPr>
          <w:rFonts w:ascii="楷体" w:hAnsi="楷体" w:eastAsia="楷体" w:cs="楷体"/>
          <w:b/>
          <w:bCs/>
          <w:spacing w:val="19"/>
          <w:sz w:val="32"/>
          <w:szCs w:val="32"/>
        </w:rPr>
        <w:t>填表说明</w:t>
      </w:r>
    </w:p>
    <w:p>
      <w:pPr>
        <w:keepNext w:val="0"/>
        <w:keepLines w:val="0"/>
        <w:pageBreakBefore w:val="0"/>
        <w:widowControl w:val="0"/>
        <w:kinsoku/>
        <w:wordWrap/>
        <w:overflowPunct/>
        <w:topLinePunct w:val="0"/>
        <w:autoSpaceDE/>
        <w:autoSpaceDN/>
        <w:bidi w:val="0"/>
        <w:adjustRightInd/>
        <w:snapToGrid/>
        <w:spacing w:line="560" w:lineRule="exact"/>
        <w:ind w:left="639"/>
        <w:textAlignment w:val="auto"/>
        <w:outlineLvl w:val="0"/>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本年新收政府信息公开申请数量</w:t>
      </w:r>
    </w:p>
    <w:p>
      <w:pPr>
        <w:keepNext w:val="0"/>
        <w:keepLines w:val="0"/>
        <w:pageBreakBefore w:val="0"/>
        <w:widowControl w:val="0"/>
        <w:kinsoku/>
        <w:wordWrap/>
        <w:overflowPunct/>
        <w:topLinePunct w:val="0"/>
        <w:autoSpaceDE/>
        <w:autoSpaceDN/>
        <w:bidi w:val="0"/>
        <w:adjustRightInd/>
        <w:snapToGrid/>
        <w:spacing w:line="560" w:lineRule="exact"/>
        <w:ind w:left="24" w:right="226" w:firstLine="61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填报本年度本机关接收到的政府信息公开申请数量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注：本</w:t>
      </w:r>
      <w:r>
        <w:rPr>
          <w:rFonts w:hint="eastAsia" w:ascii="仿宋_GB2312" w:hAnsi="仿宋_GB2312" w:eastAsia="仿宋_GB2312" w:cs="仿宋_GB2312"/>
          <w:spacing w:val="4"/>
          <w:sz w:val="32"/>
          <w:szCs w:val="32"/>
        </w:rPr>
        <w:t>机关收到的申请，是指申请人向本机关提交并以本机关名义作出答复的申请。部门代政府起草答复文书的，不纳入部门的统计范</w:t>
      </w:r>
      <w:r>
        <w:rPr>
          <w:rFonts w:hint="eastAsia" w:ascii="仿宋_GB2312" w:hAnsi="仿宋_GB2312" w:eastAsia="仿宋_GB2312" w:cs="仿宋_GB2312"/>
          <w:spacing w:val="-18"/>
          <w:sz w:val="32"/>
          <w:szCs w:val="32"/>
        </w:rPr>
        <w:t>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9"/>
        <w:textAlignment w:val="auto"/>
        <w:outlineLvl w:val="0"/>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上年结转政府信息公开申请数量</w:t>
      </w:r>
    </w:p>
    <w:p>
      <w:pPr>
        <w:keepNext w:val="0"/>
        <w:keepLines w:val="0"/>
        <w:pageBreakBefore w:val="0"/>
        <w:widowControl w:val="0"/>
        <w:kinsoku/>
        <w:wordWrap/>
        <w:overflowPunct/>
        <w:topLinePunct w:val="0"/>
        <w:autoSpaceDE/>
        <w:autoSpaceDN/>
        <w:bidi w:val="0"/>
        <w:adjustRightInd/>
        <w:snapToGrid/>
        <w:spacing w:line="560" w:lineRule="exact"/>
        <w:ind w:left="24" w:right="226" w:firstLine="61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填报本机关上一年度接收，本年度作出答复的政府信息公开申请数量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注：不包括行政复议或者行政诉讼被纠错后，重新作出答复的情形</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9"/>
        <w:textAlignment w:val="auto"/>
        <w:outlineLvl w:val="0"/>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3</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本年度办理结果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分类填报本年度办理政府信息公开申请的情况</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注：本年度办理的申请，包括本年度收到的申请和上年度结转的申请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9"/>
        <w:textAlignment w:val="auto"/>
        <w:outlineLvl w:val="0"/>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4</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结转下年度继续办理</w:t>
      </w:r>
    </w:p>
    <w:p>
      <w:pPr>
        <w:keepNext w:val="0"/>
        <w:keepLines w:val="0"/>
        <w:pageBreakBefore w:val="0"/>
        <w:widowControl w:val="0"/>
        <w:kinsoku/>
        <w:wordWrap/>
        <w:overflowPunct/>
        <w:topLinePunct w:val="0"/>
        <w:autoSpaceDE/>
        <w:autoSpaceDN/>
        <w:bidi w:val="0"/>
        <w:adjustRightInd/>
        <w:snapToGrid/>
        <w:spacing w:line="560" w:lineRule="exact"/>
        <w:ind w:left="23" w:right="227" w:firstLine="61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填报本机关本年度接收，下一年度作出答复的政府信息公开申请数量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注：答复期限为本年度的，不能结转至下年度办理</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839"/>
        <w:textAlignment w:val="auto"/>
        <w:rPr>
          <w:rFonts w:ascii="楷体" w:hAnsi="楷体" w:eastAsia="楷体" w:cs="楷体"/>
          <w:sz w:val="32"/>
          <w:szCs w:val="32"/>
        </w:rPr>
      </w:pPr>
      <w:r>
        <w:rPr>
          <w:rFonts w:hint="eastAsia" w:ascii="楷体" w:hAnsi="楷体" w:eastAsia="楷体" w:cs="楷体"/>
          <w:b/>
          <w:bCs/>
          <w:spacing w:val="25"/>
          <w:sz w:val="32"/>
          <w:szCs w:val="32"/>
          <w:lang w:eastAsia="zh-CN"/>
        </w:rPr>
        <w:t>（</w:t>
      </w:r>
      <w:r>
        <w:rPr>
          <w:rFonts w:ascii="楷体" w:hAnsi="楷体" w:eastAsia="楷体" w:cs="楷体"/>
          <w:b/>
          <w:bCs/>
          <w:spacing w:val="25"/>
          <w:sz w:val="32"/>
          <w:szCs w:val="32"/>
        </w:rPr>
        <w:t>二</w:t>
      </w:r>
      <w:r>
        <w:rPr>
          <w:rFonts w:hint="eastAsia" w:ascii="楷体" w:hAnsi="楷体" w:eastAsia="楷体" w:cs="楷体"/>
          <w:b/>
          <w:bCs/>
          <w:spacing w:val="25"/>
          <w:sz w:val="32"/>
          <w:szCs w:val="32"/>
          <w:lang w:eastAsia="zh-CN"/>
        </w:rPr>
        <w:t>）</w:t>
      </w:r>
      <w:r>
        <w:rPr>
          <w:rFonts w:ascii="楷体" w:hAnsi="楷体" w:eastAsia="楷体" w:cs="楷体"/>
          <w:b/>
          <w:bCs/>
          <w:spacing w:val="25"/>
          <w:sz w:val="32"/>
          <w:szCs w:val="32"/>
        </w:rPr>
        <w:t>注意事项</w:t>
      </w:r>
    </w:p>
    <w:p>
      <w:pPr>
        <w:keepNext w:val="0"/>
        <w:keepLines w:val="0"/>
        <w:pageBreakBefore w:val="0"/>
        <w:widowControl w:val="0"/>
        <w:kinsoku/>
        <w:wordWrap/>
        <w:overflowPunct/>
        <w:topLinePunct w:val="0"/>
        <w:autoSpaceDE/>
        <w:autoSpaceDN/>
        <w:bidi w:val="0"/>
        <w:adjustRightInd/>
        <w:snapToGrid/>
        <w:spacing w:line="560" w:lineRule="exact"/>
        <w:ind w:left="24" w:right="226" w:firstLine="61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本表只填报数字，不得填入其他内容；没有数据的，填“0”,不得空白。</w:t>
      </w:r>
    </w:p>
    <w:p>
      <w:pPr>
        <w:keepNext w:val="0"/>
        <w:keepLines w:val="0"/>
        <w:pageBreakBefore w:val="0"/>
        <w:widowControl w:val="0"/>
        <w:kinsoku/>
        <w:wordWrap/>
        <w:overflowPunct/>
        <w:topLinePunct w:val="0"/>
        <w:autoSpaceDE/>
        <w:autoSpaceDN/>
        <w:bidi w:val="0"/>
        <w:adjustRightInd/>
        <w:snapToGrid/>
        <w:spacing w:line="560" w:lineRule="exact"/>
        <w:ind w:left="24" w:right="226" w:firstLine="61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要全面落实政府信息依申请公开登记制度，注意对申请人类别、办理结果类型等进行详细登记，以便准确填报信息公开年报。</w:t>
      </w:r>
    </w:p>
    <w:p>
      <w:pPr>
        <w:keepNext w:val="0"/>
        <w:keepLines w:val="0"/>
        <w:pageBreakBefore w:val="0"/>
        <w:widowControl w:val="0"/>
        <w:kinsoku/>
        <w:wordWrap/>
        <w:overflowPunct/>
        <w:topLinePunct w:val="0"/>
        <w:autoSpaceDE/>
        <w:autoSpaceDN/>
        <w:bidi w:val="0"/>
        <w:adjustRightInd/>
        <w:snapToGrid/>
        <w:spacing w:line="560" w:lineRule="exact"/>
        <w:ind w:right="226"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要特别注意各行、各列数据之间的勾稽关系，确保横向各行、纵向各列数据逻辑关系正确。</w:t>
      </w:r>
    </w:p>
    <w:p>
      <w:pPr>
        <w:keepNext w:val="0"/>
        <w:keepLines w:val="0"/>
        <w:pageBreakBefore w:val="0"/>
        <w:widowControl w:val="0"/>
        <w:kinsoku/>
        <w:wordWrap/>
        <w:overflowPunct/>
        <w:topLinePunct w:val="0"/>
        <w:autoSpaceDE/>
        <w:autoSpaceDN/>
        <w:bidi w:val="0"/>
        <w:adjustRightInd/>
        <w:snapToGrid/>
        <w:spacing w:line="560" w:lineRule="exact"/>
        <w:ind w:right="226"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“本机关不掌握相关政府信息”,这一指标涵盖两种情况，既包括依据政府信息公开条例第三十六条</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四</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做出的处理决定，又包括依据第三十六条</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五</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做出的处理决定。</w:t>
      </w:r>
    </w:p>
    <w:p>
      <w:pPr>
        <w:keepNext w:val="0"/>
        <w:keepLines w:val="0"/>
        <w:pageBreakBefore w:val="0"/>
        <w:widowControl w:val="0"/>
        <w:kinsoku/>
        <w:wordWrap/>
        <w:overflowPunct/>
        <w:topLinePunct w:val="0"/>
        <w:autoSpaceDE/>
        <w:autoSpaceDN/>
        <w:bidi w:val="0"/>
        <w:adjustRightInd/>
        <w:snapToGrid/>
        <w:spacing w:line="560" w:lineRule="exact"/>
        <w:ind w:right="226"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5</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本年度办理结果”中的“其他处理”只在极少数特殊情况下使用。原则上，所有的政府信息公开申请，都应当按照5种法定的处理方式</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注：1.予以公开，2.部分公开，3.不予公开，4.无法提供，5.不予处理</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做出处理。</w:t>
      </w:r>
    </w:p>
    <w:p>
      <w:pPr>
        <w:keepNext w:val="0"/>
        <w:keepLines w:val="0"/>
        <w:pageBreakBefore w:val="0"/>
        <w:widowControl w:val="0"/>
        <w:kinsoku/>
        <w:wordWrap/>
        <w:overflowPunct/>
        <w:topLinePunct w:val="0"/>
        <w:autoSpaceDE/>
        <w:autoSpaceDN/>
        <w:bidi w:val="0"/>
        <w:adjustRightInd/>
        <w:snapToGrid/>
        <w:spacing w:line="560" w:lineRule="exact"/>
        <w:ind w:right="226" w:firstLine="684" w:firstLineChars="200"/>
        <w:jc w:val="both"/>
        <w:textAlignment w:val="auto"/>
        <w:rPr>
          <w:rFonts w:ascii="宋体" w:hAnsi="宋体" w:eastAsia="宋体" w:cs="宋体"/>
          <w:sz w:val="32"/>
          <w:szCs w:val="32"/>
        </w:rPr>
      </w:pPr>
      <w:r>
        <w:rPr>
          <w:rFonts w:hint="eastAsia" w:ascii="仿宋_GB2312" w:hAnsi="仿宋_GB2312" w:eastAsia="仿宋_GB2312" w:cs="仿宋_GB2312"/>
          <w:spacing w:val="11"/>
          <w:sz w:val="32"/>
          <w:szCs w:val="32"/>
        </w:rPr>
        <w:t>6</w:t>
      </w:r>
      <w:r>
        <w:rPr>
          <w:rFonts w:hint="eastAsia" w:ascii="仿宋_GB2312" w:hAnsi="仿宋_GB2312" w:eastAsia="仿宋_GB2312" w:cs="仿宋_GB2312"/>
          <w:spacing w:val="11"/>
          <w:sz w:val="32"/>
          <w:szCs w:val="32"/>
          <w:lang w:eastAsia="zh-CN"/>
        </w:rPr>
        <w:t>、各县市</w:t>
      </w:r>
      <w:r>
        <w:rPr>
          <w:rFonts w:hint="eastAsia" w:ascii="仿宋_GB2312" w:hAnsi="仿宋_GB2312" w:eastAsia="仿宋_GB2312" w:cs="仿宋_GB2312"/>
          <w:spacing w:val="11"/>
          <w:sz w:val="32"/>
          <w:szCs w:val="32"/>
        </w:rPr>
        <w:t>政府信息公开</w:t>
      </w:r>
      <w:r>
        <w:rPr>
          <w:rFonts w:hint="eastAsia" w:ascii="仿宋_GB2312" w:hAnsi="仿宋_GB2312" w:eastAsia="仿宋_GB2312" w:cs="仿宋_GB2312"/>
          <w:spacing w:val="11"/>
          <w:sz w:val="32"/>
          <w:szCs w:val="32"/>
          <w:lang w:eastAsia="zh-CN"/>
        </w:rPr>
        <w:t>工作年度报告</w:t>
      </w:r>
      <w:r>
        <w:rPr>
          <w:rFonts w:hint="eastAsia" w:ascii="仿宋_GB2312" w:hAnsi="仿宋_GB2312" w:eastAsia="仿宋_GB2312" w:cs="仿宋_GB2312"/>
          <w:spacing w:val="11"/>
          <w:sz w:val="32"/>
          <w:szCs w:val="32"/>
        </w:rPr>
        <w:t>中本表相关数据，应对所属部门和</w:t>
      </w:r>
      <w:r>
        <w:rPr>
          <w:rFonts w:hint="eastAsia" w:ascii="仿宋_GB2312" w:hAnsi="仿宋_GB2312" w:eastAsia="仿宋_GB2312" w:cs="仿宋_GB2312"/>
          <w:spacing w:val="11"/>
          <w:sz w:val="32"/>
          <w:szCs w:val="32"/>
          <w:lang w:eastAsia="zh-CN"/>
        </w:rPr>
        <w:t>乡镇</w:t>
      </w:r>
      <w:r>
        <w:rPr>
          <w:rFonts w:hint="eastAsia" w:ascii="仿宋_GB2312" w:hAnsi="仿宋_GB2312" w:eastAsia="仿宋_GB2312" w:cs="仿宋_GB2312"/>
          <w:spacing w:val="11"/>
          <w:sz w:val="32"/>
          <w:szCs w:val="32"/>
        </w:rPr>
        <w:t>政府信息公开</w:t>
      </w:r>
      <w:r>
        <w:rPr>
          <w:rFonts w:hint="eastAsia" w:ascii="仿宋_GB2312" w:hAnsi="仿宋_GB2312" w:eastAsia="仿宋_GB2312" w:cs="仿宋_GB2312"/>
          <w:spacing w:val="11"/>
          <w:sz w:val="32"/>
          <w:szCs w:val="32"/>
          <w:lang w:eastAsia="zh-CN"/>
        </w:rPr>
        <w:t>工作年度报告</w:t>
      </w:r>
      <w:r>
        <w:rPr>
          <w:rFonts w:hint="eastAsia" w:ascii="仿宋_GB2312" w:hAnsi="仿宋_GB2312" w:eastAsia="仿宋_GB2312" w:cs="仿宋_GB2312"/>
          <w:spacing w:val="11"/>
          <w:sz w:val="32"/>
          <w:szCs w:val="32"/>
        </w:rPr>
        <w:t>的相关数据进行加总。</w:t>
      </w:r>
    </w:p>
    <w:p>
      <w:pPr>
        <w:keepNext w:val="0"/>
        <w:keepLines w:val="0"/>
        <w:pageBreakBefore w:val="0"/>
        <w:widowControl w:val="0"/>
        <w:kinsoku/>
        <w:wordWrap/>
        <w:overflowPunct/>
        <w:topLinePunct w:val="0"/>
        <w:autoSpaceDE/>
        <w:autoSpaceDN/>
        <w:bidi w:val="0"/>
        <w:adjustRightInd/>
        <w:snapToGrid/>
        <w:spacing w:line="560" w:lineRule="exact"/>
        <w:ind w:left="909"/>
        <w:textAlignment w:val="auto"/>
        <w:outlineLvl w:val="0"/>
        <w:rPr>
          <w:rFonts w:ascii="黑体" w:hAnsi="黑体" w:eastAsia="黑体" w:cs="黑体"/>
          <w:b w:val="0"/>
          <w:bCs w:val="0"/>
          <w:sz w:val="32"/>
          <w:szCs w:val="32"/>
        </w:rPr>
      </w:pPr>
      <w:r>
        <w:rPr>
          <w:rFonts w:ascii="黑体" w:hAnsi="黑体" w:eastAsia="黑体" w:cs="黑体"/>
          <w:b w:val="0"/>
          <w:bCs w:val="0"/>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left="905"/>
        <w:textAlignment w:val="auto"/>
        <w:rPr>
          <w:rFonts w:ascii="Arial"/>
          <w:sz w:val="32"/>
          <w:szCs w:val="32"/>
        </w:rPr>
      </w:pPr>
      <w:r>
        <w:rPr>
          <w:rFonts w:hint="eastAsia" w:ascii="方正仿宋_GB2312" w:hAnsi="方正仿宋_GB2312" w:eastAsia="方正仿宋_GB2312" w:cs="方正仿宋_GB2312"/>
          <w:spacing w:val="5"/>
          <w:sz w:val="32"/>
          <w:szCs w:val="32"/>
        </w:rPr>
        <w:t>该部分以表格形式报告。表格如下：</w:t>
      </w:r>
    </w:p>
    <w:tbl>
      <w:tblPr>
        <w:tblStyle w:val="8"/>
        <w:tblW w:w="8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454" w:type="dxa"/>
            <w:gridSpan w:val="5"/>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w:t>
            </w:r>
          </w:p>
        </w:tc>
        <w:tc>
          <w:tcPr>
            <w:tcW w:w="454" w:type="dxa"/>
            <w:gridSpan w:val="1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54" w:type="dxa"/>
            <w:vMerge w:val="restart"/>
            <w:tcBorders>
              <w:bottom w:val="nil"/>
            </w:tcBorders>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454" w:type="dxa"/>
            <w:vMerge w:val="restart"/>
            <w:tcBorders>
              <w:bottom w:val="nil"/>
            </w:tcBorders>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454" w:type="dxa"/>
            <w:vMerge w:val="restart"/>
            <w:tcBorders>
              <w:bottom w:val="nil"/>
            </w:tcBorders>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其他结果</w:t>
            </w:r>
          </w:p>
        </w:tc>
        <w:tc>
          <w:tcPr>
            <w:tcW w:w="454" w:type="dxa"/>
            <w:vMerge w:val="restart"/>
            <w:tcBorders>
              <w:bottom w:val="nil"/>
            </w:tcBorders>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尚未审结</w:t>
            </w:r>
          </w:p>
        </w:tc>
        <w:tc>
          <w:tcPr>
            <w:tcW w:w="454" w:type="dxa"/>
            <w:vMerge w:val="restart"/>
            <w:tcBorders>
              <w:bottom w:val="nil"/>
            </w:tcBorders>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454" w:type="dxa"/>
            <w:gridSpan w:val="5"/>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未经复议直接起诉</w:t>
            </w:r>
          </w:p>
        </w:tc>
        <w:tc>
          <w:tcPr>
            <w:tcW w:w="454" w:type="dxa"/>
            <w:gridSpan w:val="5"/>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454" w:type="dxa"/>
            <w:vMerge w:val="continue"/>
            <w:tcBorders>
              <w:top w:val="nil"/>
            </w:tcBorders>
            <w:textDirection w:val="tbRlV"/>
            <w:vAlign w:val="center"/>
          </w:tcPr>
          <w:p>
            <w:pPr>
              <w:jc w:val="center"/>
              <w:rPr>
                <w:rFonts w:hint="eastAsia" w:ascii="仿宋_GB2312" w:hAnsi="仿宋_GB2312" w:eastAsia="仿宋_GB2312" w:cs="仿宋_GB2312"/>
                <w:sz w:val="21"/>
                <w:szCs w:val="21"/>
              </w:rPr>
            </w:pPr>
          </w:p>
        </w:tc>
        <w:tc>
          <w:tcPr>
            <w:tcW w:w="454" w:type="dxa"/>
            <w:vMerge w:val="continue"/>
            <w:tcBorders>
              <w:top w:val="nil"/>
            </w:tcBorders>
            <w:textDirection w:val="tbRlV"/>
            <w:vAlign w:val="center"/>
          </w:tcPr>
          <w:p>
            <w:pPr>
              <w:jc w:val="center"/>
              <w:rPr>
                <w:rFonts w:hint="eastAsia" w:ascii="仿宋_GB2312" w:hAnsi="仿宋_GB2312" w:eastAsia="仿宋_GB2312" w:cs="仿宋_GB2312"/>
                <w:sz w:val="21"/>
                <w:szCs w:val="21"/>
              </w:rPr>
            </w:pPr>
          </w:p>
        </w:tc>
        <w:tc>
          <w:tcPr>
            <w:tcW w:w="454" w:type="dxa"/>
            <w:vMerge w:val="continue"/>
            <w:tcBorders>
              <w:top w:val="nil"/>
            </w:tcBorders>
            <w:textDirection w:val="tbRlV"/>
            <w:vAlign w:val="center"/>
          </w:tcPr>
          <w:p>
            <w:pPr>
              <w:jc w:val="center"/>
              <w:rPr>
                <w:rFonts w:hint="eastAsia" w:ascii="仿宋_GB2312" w:hAnsi="仿宋_GB2312" w:eastAsia="仿宋_GB2312" w:cs="仿宋_GB2312"/>
                <w:sz w:val="21"/>
                <w:szCs w:val="21"/>
              </w:rPr>
            </w:pPr>
          </w:p>
        </w:tc>
        <w:tc>
          <w:tcPr>
            <w:tcW w:w="454" w:type="dxa"/>
            <w:vMerge w:val="continue"/>
            <w:tcBorders>
              <w:top w:val="nil"/>
            </w:tcBorders>
            <w:textDirection w:val="tbRlV"/>
            <w:vAlign w:val="center"/>
          </w:tcPr>
          <w:p>
            <w:pPr>
              <w:jc w:val="center"/>
              <w:rPr>
                <w:rFonts w:hint="eastAsia" w:ascii="仿宋_GB2312" w:hAnsi="仿宋_GB2312" w:eastAsia="仿宋_GB2312" w:cs="仿宋_GB2312"/>
                <w:sz w:val="21"/>
                <w:szCs w:val="21"/>
              </w:rPr>
            </w:pPr>
          </w:p>
        </w:tc>
        <w:tc>
          <w:tcPr>
            <w:tcW w:w="454" w:type="dxa"/>
            <w:vMerge w:val="continue"/>
            <w:tcBorders>
              <w:top w:val="nil"/>
            </w:tcBorders>
            <w:textDirection w:val="tbRlV"/>
            <w:vAlign w:val="center"/>
          </w:tcPr>
          <w:p>
            <w:pPr>
              <w:jc w:val="center"/>
              <w:rPr>
                <w:rFonts w:hint="eastAsia" w:ascii="仿宋_GB2312" w:hAnsi="仿宋_GB2312" w:eastAsia="仿宋_GB2312" w:cs="仿宋_GB2312"/>
                <w:sz w:val="21"/>
                <w:szCs w:val="21"/>
              </w:rPr>
            </w:pP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其他结果</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尚未审结</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其他结果</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尚未审结</w:t>
            </w:r>
          </w:p>
        </w:tc>
        <w:tc>
          <w:tcPr>
            <w:tcW w:w="454" w:type="dxa"/>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c>
          <w:tcPr>
            <w:tcW w:w="454" w:type="dxa"/>
            <w:vAlign w:val="center"/>
          </w:tcPr>
          <w:p>
            <w:pPr>
              <w:jc w:val="center"/>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一</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填表说明</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1</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行政复议</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结果维持：</w:t>
      </w:r>
      <w:r>
        <w:rPr>
          <w:rFonts w:hint="eastAsia" w:ascii="仿宋_GB2312" w:hAnsi="仿宋_GB2312" w:eastAsia="仿宋_GB2312" w:cs="仿宋_GB2312"/>
          <w:b w:val="0"/>
          <w:bCs w:val="0"/>
          <w:spacing w:val="2"/>
          <w:sz w:val="32"/>
          <w:szCs w:val="32"/>
        </w:rPr>
        <w:t>填报结果为“决定维持”的行政复议案件数量。</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结果纠正：</w:t>
      </w:r>
      <w:r>
        <w:rPr>
          <w:rFonts w:hint="eastAsia" w:ascii="仿宋_GB2312" w:hAnsi="仿宋_GB2312" w:eastAsia="仿宋_GB2312" w:cs="仿宋_GB2312"/>
          <w:b w:val="0"/>
          <w:bCs w:val="0"/>
          <w:spacing w:val="2"/>
          <w:sz w:val="32"/>
          <w:szCs w:val="32"/>
        </w:rPr>
        <w:t>填报结果被纠正</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包括：限期履行、决定撤销、决定变更、确认违法等</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的行政复议案件数量</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注：凡行政复议机关作出复议决定，且不是“决定维持”的，均应纳入“结果纠正”的统计范围</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其他结果：</w:t>
      </w:r>
      <w:r>
        <w:rPr>
          <w:rFonts w:hint="eastAsia" w:ascii="仿宋_GB2312" w:hAnsi="仿宋_GB2312" w:eastAsia="仿宋_GB2312" w:cs="仿宋_GB2312"/>
          <w:b w:val="0"/>
          <w:bCs w:val="0"/>
          <w:spacing w:val="2"/>
          <w:sz w:val="32"/>
          <w:szCs w:val="32"/>
        </w:rPr>
        <w:t>填报因申请人撤回行政复议申请、行政复议终止等情形的行政复议案件数量</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注：凡行政复议机关作出复议决定的，均不得纳入“其他结果”的统计范围。所谓“其他结果”,是“结果维持”“结果纠正”之外的其他结果，正常情况下应当很少。</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尚未审结：</w:t>
      </w:r>
      <w:r>
        <w:rPr>
          <w:rFonts w:hint="eastAsia" w:ascii="仿宋_GB2312" w:hAnsi="仿宋_GB2312" w:eastAsia="仿宋_GB2312" w:cs="仿宋_GB2312"/>
          <w:b w:val="0"/>
          <w:bCs w:val="0"/>
          <w:spacing w:val="2"/>
          <w:sz w:val="32"/>
          <w:szCs w:val="32"/>
        </w:rPr>
        <w:t>填报已收到行政复议答复通知书，但行政复议机关未在本年度作出复议决定的案件数量。</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总计：</w:t>
      </w:r>
      <w:r>
        <w:rPr>
          <w:rFonts w:hint="eastAsia" w:ascii="仿宋_GB2312" w:hAnsi="仿宋_GB2312" w:eastAsia="仿宋_GB2312" w:cs="仿宋_GB2312"/>
          <w:b w:val="0"/>
          <w:bCs w:val="0"/>
          <w:spacing w:val="2"/>
          <w:sz w:val="32"/>
          <w:szCs w:val="32"/>
        </w:rPr>
        <w:t>填报本年度本机关因政府信息公开引发的行政复议案件总数</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注：总计=结果维持+结果纠正+其他结果+尚未审结</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2</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行政诉讼</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未经复议直接起诉：</w:t>
      </w:r>
      <w:r>
        <w:rPr>
          <w:rFonts w:hint="eastAsia" w:ascii="仿宋_GB2312" w:hAnsi="仿宋_GB2312" w:eastAsia="仿宋_GB2312" w:cs="仿宋_GB2312"/>
          <w:b w:val="0"/>
          <w:bCs w:val="0"/>
          <w:spacing w:val="2"/>
          <w:sz w:val="32"/>
          <w:szCs w:val="32"/>
        </w:rPr>
        <w:t>参考“行政复议”。</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bCs/>
          <w:spacing w:val="2"/>
          <w:sz w:val="32"/>
          <w:szCs w:val="32"/>
        </w:rPr>
        <w:t>复议后起诉：</w:t>
      </w:r>
      <w:r>
        <w:rPr>
          <w:rFonts w:hint="eastAsia" w:ascii="仿宋_GB2312" w:hAnsi="仿宋_GB2312" w:eastAsia="仿宋_GB2312" w:cs="仿宋_GB2312"/>
          <w:b w:val="0"/>
          <w:bCs w:val="0"/>
          <w:spacing w:val="2"/>
          <w:sz w:val="32"/>
          <w:szCs w:val="32"/>
        </w:rPr>
        <w:t>参考“行政复议”。</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二</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注意事项</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1</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本表仅统计本机关因政府信息公开引发的行政复议和行政诉讼案件数量，不包括本机关其他具体行政行为引发的行政复议和行政诉讼案件</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例如：某机关202</w:t>
      </w:r>
      <w:r>
        <w:rPr>
          <w:rFonts w:hint="eastAsia" w:ascii="仿宋_GB2312" w:hAnsi="仿宋_GB2312" w:eastAsia="仿宋_GB2312" w:cs="仿宋_GB2312"/>
          <w:b w:val="0"/>
          <w:bCs w:val="0"/>
          <w:spacing w:val="2"/>
          <w:sz w:val="32"/>
          <w:szCs w:val="32"/>
          <w:lang w:val="en-US" w:eastAsia="zh-CN"/>
        </w:rPr>
        <w:t>5</w:t>
      </w:r>
      <w:r>
        <w:rPr>
          <w:rFonts w:hint="eastAsia" w:ascii="仿宋_GB2312" w:hAnsi="仿宋_GB2312" w:eastAsia="仿宋_GB2312" w:cs="仿宋_GB2312"/>
          <w:b w:val="0"/>
          <w:bCs w:val="0"/>
          <w:spacing w:val="2"/>
          <w:sz w:val="32"/>
          <w:szCs w:val="32"/>
        </w:rPr>
        <w:t>年收到50件行政复议通知书，其中20件为申请人对政府信息公开决定不服，另外30件为行政相对人对本机关作出的其他具体行政行为不服，则该机关202</w:t>
      </w:r>
      <w:r>
        <w:rPr>
          <w:rFonts w:hint="eastAsia" w:ascii="仿宋_GB2312" w:hAnsi="仿宋_GB2312" w:eastAsia="仿宋_GB2312" w:cs="仿宋_GB2312"/>
          <w:b w:val="0"/>
          <w:bCs w:val="0"/>
          <w:spacing w:val="2"/>
          <w:sz w:val="32"/>
          <w:szCs w:val="32"/>
          <w:lang w:val="en-US" w:eastAsia="zh-CN"/>
        </w:rPr>
        <w:t>5</w:t>
      </w:r>
      <w:r>
        <w:rPr>
          <w:rFonts w:hint="eastAsia" w:ascii="仿宋_GB2312" w:hAnsi="仿宋_GB2312" w:eastAsia="仿宋_GB2312" w:cs="仿宋_GB2312"/>
          <w:b w:val="0"/>
          <w:bCs w:val="0"/>
          <w:spacing w:val="2"/>
          <w:sz w:val="32"/>
          <w:szCs w:val="32"/>
        </w:rPr>
        <w:t>年政府信息公开年报行政复议“总计”栏应填“20”,不能填“50”,行政诉讼同理</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2</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统计的时间范围，以收到行政复议或者行政诉讼通知书的时间为准</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例如：202</w:t>
      </w:r>
      <w:r>
        <w:rPr>
          <w:rFonts w:hint="eastAsia" w:ascii="仿宋_GB2312" w:hAnsi="仿宋_GB2312" w:eastAsia="仿宋_GB2312" w:cs="仿宋_GB2312"/>
          <w:b w:val="0"/>
          <w:bCs w:val="0"/>
          <w:spacing w:val="2"/>
          <w:sz w:val="32"/>
          <w:szCs w:val="32"/>
          <w:lang w:val="en-US" w:eastAsia="zh-CN"/>
        </w:rPr>
        <w:t>4</w:t>
      </w:r>
      <w:r>
        <w:rPr>
          <w:rFonts w:hint="eastAsia" w:ascii="仿宋_GB2312" w:hAnsi="仿宋_GB2312" w:eastAsia="仿宋_GB2312" w:cs="仿宋_GB2312"/>
          <w:b w:val="0"/>
          <w:bCs w:val="0"/>
          <w:spacing w:val="2"/>
          <w:sz w:val="32"/>
          <w:szCs w:val="32"/>
        </w:rPr>
        <w:t>年作出的政府信息公开决定，申请人202</w:t>
      </w:r>
      <w:r>
        <w:rPr>
          <w:rFonts w:hint="eastAsia" w:ascii="仿宋_GB2312" w:hAnsi="仿宋_GB2312" w:eastAsia="仿宋_GB2312" w:cs="仿宋_GB2312"/>
          <w:b w:val="0"/>
          <w:bCs w:val="0"/>
          <w:spacing w:val="2"/>
          <w:sz w:val="32"/>
          <w:szCs w:val="32"/>
          <w:lang w:val="en-US" w:eastAsia="zh-CN"/>
        </w:rPr>
        <w:t>5</w:t>
      </w:r>
      <w:r>
        <w:rPr>
          <w:rFonts w:hint="eastAsia" w:ascii="仿宋_GB2312" w:hAnsi="仿宋_GB2312" w:eastAsia="仿宋_GB2312" w:cs="仿宋_GB2312"/>
          <w:b w:val="0"/>
          <w:bCs w:val="0"/>
          <w:spacing w:val="2"/>
          <w:sz w:val="32"/>
          <w:szCs w:val="32"/>
        </w:rPr>
        <w:t>年才提出行政复议或者行政诉讼，则该案件纳入202</w:t>
      </w:r>
      <w:r>
        <w:rPr>
          <w:rFonts w:hint="eastAsia" w:ascii="仿宋_GB2312" w:hAnsi="仿宋_GB2312" w:eastAsia="仿宋_GB2312" w:cs="仿宋_GB2312"/>
          <w:b w:val="0"/>
          <w:bCs w:val="0"/>
          <w:spacing w:val="2"/>
          <w:sz w:val="32"/>
          <w:szCs w:val="32"/>
          <w:lang w:val="en-US" w:eastAsia="zh-CN"/>
        </w:rPr>
        <w:t>5</w:t>
      </w:r>
      <w:r>
        <w:rPr>
          <w:rFonts w:hint="eastAsia" w:ascii="仿宋_GB2312" w:hAnsi="仿宋_GB2312" w:eastAsia="仿宋_GB2312" w:cs="仿宋_GB2312"/>
          <w:b w:val="0"/>
          <w:bCs w:val="0"/>
          <w:spacing w:val="2"/>
          <w:sz w:val="32"/>
          <w:szCs w:val="32"/>
        </w:rPr>
        <w:t>年信息公开年报的统计范围</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3</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行政复议机关作为共同被告的行政诉讼案件，纳入原行为主体的案件统计范围，不纳入行政复议机关的案件统计。</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4</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spacing w:val="11"/>
          <w:sz w:val="32"/>
          <w:szCs w:val="32"/>
          <w:lang w:eastAsia="zh-CN"/>
        </w:rPr>
        <w:t>各县市</w:t>
      </w:r>
      <w:r>
        <w:rPr>
          <w:rFonts w:hint="eastAsia" w:ascii="仿宋_GB2312" w:hAnsi="仿宋_GB2312" w:eastAsia="仿宋_GB2312" w:cs="仿宋_GB2312"/>
          <w:spacing w:val="11"/>
          <w:sz w:val="32"/>
          <w:szCs w:val="32"/>
        </w:rPr>
        <w:t>政府信息公开</w:t>
      </w:r>
      <w:r>
        <w:rPr>
          <w:rFonts w:hint="eastAsia" w:ascii="仿宋_GB2312" w:hAnsi="仿宋_GB2312" w:eastAsia="仿宋_GB2312" w:cs="仿宋_GB2312"/>
          <w:spacing w:val="11"/>
          <w:sz w:val="32"/>
          <w:szCs w:val="32"/>
          <w:lang w:eastAsia="zh-CN"/>
        </w:rPr>
        <w:t>工作年度报告</w:t>
      </w:r>
      <w:r>
        <w:rPr>
          <w:rFonts w:hint="eastAsia" w:ascii="仿宋_GB2312" w:hAnsi="仿宋_GB2312" w:eastAsia="仿宋_GB2312" w:cs="仿宋_GB2312"/>
          <w:spacing w:val="11"/>
          <w:sz w:val="32"/>
          <w:szCs w:val="32"/>
        </w:rPr>
        <w:t>中</w:t>
      </w:r>
      <w:r>
        <w:rPr>
          <w:rFonts w:hint="eastAsia" w:ascii="仿宋_GB2312" w:hAnsi="仿宋_GB2312" w:eastAsia="仿宋_GB2312" w:cs="仿宋_GB2312"/>
          <w:b w:val="0"/>
          <w:bCs w:val="0"/>
          <w:spacing w:val="2"/>
          <w:sz w:val="32"/>
          <w:szCs w:val="32"/>
        </w:rPr>
        <w:t>本表相关数据，应对所属部门和</w:t>
      </w:r>
      <w:r>
        <w:rPr>
          <w:rFonts w:hint="eastAsia" w:ascii="仿宋_GB2312" w:hAnsi="仿宋_GB2312" w:eastAsia="仿宋_GB2312" w:cs="仿宋_GB2312"/>
          <w:b w:val="0"/>
          <w:bCs w:val="0"/>
          <w:spacing w:val="2"/>
          <w:sz w:val="32"/>
          <w:szCs w:val="32"/>
          <w:lang w:eastAsia="zh-CN"/>
        </w:rPr>
        <w:t>乡镇</w:t>
      </w:r>
      <w:r>
        <w:rPr>
          <w:rFonts w:hint="eastAsia" w:ascii="仿宋_GB2312" w:hAnsi="仿宋_GB2312" w:eastAsia="仿宋_GB2312" w:cs="仿宋_GB2312"/>
          <w:b w:val="0"/>
          <w:bCs w:val="0"/>
          <w:spacing w:val="2"/>
          <w:sz w:val="32"/>
          <w:szCs w:val="32"/>
        </w:rPr>
        <w:t>政府信息公开</w:t>
      </w:r>
      <w:r>
        <w:rPr>
          <w:rFonts w:hint="eastAsia" w:ascii="仿宋_GB2312" w:hAnsi="仿宋_GB2312" w:eastAsia="仿宋_GB2312" w:cs="仿宋_GB2312"/>
          <w:b w:val="0"/>
          <w:bCs w:val="0"/>
          <w:spacing w:val="2"/>
          <w:sz w:val="32"/>
          <w:szCs w:val="32"/>
          <w:lang w:eastAsia="zh-CN"/>
        </w:rPr>
        <w:t>工作年度报告</w:t>
      </w:r>
      <w:r>
        <w:rPr>
          <w:rFonts w:hint="eastAsia" w:ascii="仿宋_GB2312" w:hAnsi="仿宋_GB2312" w:eastAsia="仿宋_GB2312" w:cs="仿宋_GB2312"/>
          <w:b w:val="0"/>
          <w:bCs w:val="0"/>
          <w:spacing w:val="2"/>
          <w:sz w:val="32"/>
          <w:szCs w:val="32"/>
        </w:rPr>
        <w:t>的相关数据进行加总。</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该部分采用文字描述。</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这一项主要报告本机关年度政府信息公开工作中存在的主要问题及改进情况。此项内容重在实事求是、明确具体，避免笼统模糊、泛泛而谈。查找问题要有针对性，改进举措要有实效性，不得出现敷衍了事甚至年年雷同现象。</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该部分采用文字描述。</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这一项主要报告本机关认为需要报告的其他事项，以及其他有关文件专门要求通过政府信息公开工作年度报告予以报告的事项。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50" w:lineRule="exact"/>
        <w:ind w:firstLine="648"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b w:val="0"/>
          <w:bCs w:val="0"/>
          <w:spacing w:val="2"/>
          <w:sz w:val="32"/>
          <w:szCs w:val="32"/>
        </w:rPr>
        <w:t>各行政机关依据《政府信息公开信息处理费管理办法》收取信息处理费的情况，在此处专门报告。</w:t>
      </w:r>
    </w:p>
    <w:p>
      <w:pPr>
        <w:pStyle w:val="2"/>
        <w:spacing w:line="219" w:lineRule="auto"/>
        <w:ind w:left="155"/>
        <w:rPr>
          <w:rFonts w:hint="eastAsia" w:ascii="方正仿宋_GB2312" w:hAnsi="方正仿宋_GB2312" w:eastAsia="方正仿宋_GB2312" w:cs="方正仿宋_GB2312"/>
          <w:spacing w:val="14"/>
          <w:sz w:val="30"/>
          <w:szCs w:val="30"/>
        </w:rPr>
      </w:pPr>
    </w:p>
    <w:sectPr>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39"/>
      <w:rPr>
        <w:rFonts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AF617F8"/>
    <w:rsid w:val="1FE771BD"/>
    <w:rsid w:val="2ADF7C95"/>
    <w:rsid w:val="2BBECCF3"/>
    <w:rsid w:val="2BEE2C41"/>
    <w:rsid w:val="310801DF"/>
    <w:rsid w:val="317F821C"/>
    <w:rsid w:val="36BF3E71"/>
    <w:rsid w:val="3BA00460"/>
    <w:rsid w:val="3FBDFBCB"/>
    <w:rsid w:val="3FCF0A0D"/>
    <w:rsid w:val="4CA63DE7"/>
    <w:rsid w:val="4E5F5F21"/>
    <w:rsid w:val="50613B79"/>
    <w:rsid w:val="53F21392"/>
    <w:rsid w:val="55C022BA"/>
    <w:rsid w:val="56F50413"/>
    <w:rsid w:val="5AFA409D"/>
    <w:rsid w:val="5BFF3CA3"/>
    <w:rsid w:val="5BFFA17D"/>
    <w:rsid w:val="5DF988C3"/>
    <w:rsid w:val="5E432044"/>
    <w:rsid w:val="5FF9E0EB"/>
    <w:rsid w:val="5FFDD97A"/>
    <w:rsid w:val="61DEF541"/>
    <w:rsid w:val="6D785F60"/>
    <w:rsid w:val="6F4FF1E2"/>
    <w:rsid w:val="6FAEC0B4"/>
    <w:rsid w:val="6FE758B5"/>
    <w:rsid w:val="6FF7DB4A"/>
    <w:rsid w:val="702E2744"/>
    <w:rsid w:val="725FCF84"/>
    <w:rsid w:val="75FB8C7E"/>
    <w:rsid w:val="75FBF282"/>
    <w:rsid w:val="76FBED25"/>
    <w:rsid w:val="786DC0CF"/>
    <w:rsid w:val="797C0647"/>
    <w:rsid w:val="7A78007C"/>
    <w:rsid w:val="7AE615DB"/>
    <w:rsid w:val="7BEA4AE4"/>
    <w:rsid w:val="7E7F1F4B"/>
    <w:rsid w:val="7EAD23D9"/>
    <w:rsid w:val="7EFD9AF8"/>
    <w:rsid w:val="7F5B3640"/>
    <w:rsid w:val="7F95AD5C"/>
    <w:rsid w:val="7F9B1E4D"/>
    <w:rsid w:val="7FFD0C4B"/>
    <w:rsid w:val="7FFFE97C"/>
    <w:rsid w:val="8575DE42"/>
    <w:rsid w:val="935BACF6"/>
    <w:rsid w:val="9F7BB536"/>
    <w:rsid w:val="ABEA8843"/>
    <w:rsid w:val="B2D73C1D"/>
    <w:rsid w:val="B75FBC11"/>
    <w:rsid w:val="BA7B23C6"/>
    <w:rsid w:val="BE672ECA"/>
    <w:rsid w:val="BEA71137"/>
    <w:rsid w:val="BFBD7087"/>
    <w:rsid w:val="BFBE9EE7"/>
    <w:rsid w:val="BFFE8F58"/>
    <w:rsid w:val="CDFE45BB"/>
    <w:rsid w:val="CF9F9C03"/>
    <w:rsid w:val="CFF4E29F"/>
    <w:rsid w:val="D837C4AE"/>
    <w:rsid w:val="DDBC62AE"/>
    <w:rsid w:val="DFFD3EC5"/>
    <w:rsid w:val="EFFEF372"/>
    <w:rsid w:val="EFFF651E"/>
    <w:rsid w:val="F1F9F433"/>
    <w:rsid w:val="F457501A"/>
    <w:rsid w:val="F5DE14D3"/>
    <w:rsid w:val="F68DF1D6"/>
    <w:rsid w:val="F7DFE779"/>
    <w:rsid w:val="F7FDDA92"/>
    <w:rsid w:val="FB7D09B9"/>
    <w:rsid w:val="FD8F4025"/>
    <w:rsid w:val="FDEE3D5E"/>
    <w:rsid w:val="FE7E0BFA"/>
    <w:rsid w:val="FE7E2C68"/>
    <w:rsid w:val="FEFBA7FC"/>
    <w:rsid w:val="FFDA735A"/>
    <w:rsid w:val="FFEF6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28</TotalTime>
  <ScaleCrop>false</ScaleCrop>
  <LinksUpToDate>false</LinksUpToDate>
  <CharactersWithSpaces>5734</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2024-01-07T21:47:00Z</dcterms:created>
  <dc:creator>Kingsoft-PDF</dc:creator>
  <cp:lastModifiedBy>user</cp:lastModifiedBy>
  <cp:lastPrinted>2025-01-11T02:26:00Z</cp:lastPrinted>
  <dcterms:modified xsi:type="dcterms:W3CDTF">2026-01-06T12:10:31Z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