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F0DDCD">
      <w:pPr>
        <w:rPr>
          <w:rFonts w:ascii="微软雅黑" w:hAnsi="微软雅黑" w:eastAsia="微软雅黑" w:cs="微软雅黑"/>
          <w:b/>
          <w:i w:val="0"/>
          <w:caps w:val="0"/>
          <w:color w:val="000000"/>
          <w:spacing w:val="0"/>
          <w:sz w:val="33"/>
          <w:szCs w:val="33"/>
          <w:shd w:val="clear" w:fill="FFFFFF"/>
        </w:rPr>
      </w:pPr>
      <w:r>
        <w:rPr>
          <w:rFonts w:ascii="微软雅黑" w:hAnsi="微软雅黑" w:eastAsia="微软雅黑" w:cs="微软雅黑"/>
          <w:b/>
          <w:i w:val="0"/>
          <w:caps w:val="0"/>
          <w:color w:val="000000"/>
          <w:spacing w:val="0"/>
          <w:sz w:val="33"/>
          <w:szCs w:val="33"/>
          <w:shd w:val="clear" w:fill="FFFFFF"/>
        </w:rPr>
        <w:t>中华人民共和国招标投标法</w:t>
      </w:r>
    </w:p>
    <w:tbl>
      <w:tblPr>
        <w:tblStyle w:val="3"/>
        <w:tblW w:w="10500" w:type="dxa"/>
        <w:jc w:val="center"/>
        <w:tblCellSpacing w:w="0" w:type="dxa"/>
        <w:shd w:val="clear" w:color="auto" w:fill="FFFFFF"/>
        <w:tblLayout w:type="fixed"/>
        <w:tblCellMar>
          <w:top w:w="0" w:type="dxa"/>
          <w:left w:w="0" w:type="dxa"/>
          <w:bottom w:w="0" w:type="dxa"/>
          <w:right w:w="0" w:type="dxa"/>
        </w:tblCellMar>
      </w:tblPr>
      <w:tblGrid>
        <w:gridCol w:w="10500"/>
      </w:tblGrid>
      <w:tr w14:paraId="0C013DB7">
        <w:tblPrEx>
          <w:shd w:val="clear" w:color="auto" w:fill="FFFFFF"/>
          <w:tblCellMar>
            <w:top w:w="0" w:type="dxa"/>
            <w:left w:w="0" w:type="dxa"/>
            <w:bottom w:w="0" w:type="dxa"/>
            <w:right w:w="0" w:type="dxa"/>
          </w:tblCellMar>
        </w:tblPrEx>
        <w:trPr>
          <w:trHeight w:val="272" w:hRule="atLeast"/>
          <w:tblCellSpacing w:w="0" w:type="dxa"/>
          <w:jc w:val="center"/>
        </w:trPr>
        <w:tc>
          <w:tcPr>
            <w:tcW w:w="10500" w:type="dxa"/>
            <w:shd w:val="clear" w:color="auto" w:fill="FFFFFF"/>
            <w:vAlign w:val="center"/>
          </w:tcPr>
          <w:tbl>
            <w:tblPr>
              <w:tblStyle w:val="3"/>
              <w:tblW w:w="9450" w:type="dxa"/>
              <w:jc w:val="center"/>
              <w:tblCellSpacing w:w="0" w:type="dxa"/>
              <w:shd w:val="clear" w:color="auto" w:fill="auto"/>
              <w:tblLayout w:type="fixed"/>
              <w:tblCellMar>
                <w:top w:w="0" w:type="dxa"/>
                <w:left w:w="0" w:type="dxa"/>
                <w:bottom w:w="0" w:type="dxa"/>
                <w:right w:w="0" w:type="dxa"/>
              </w:tblCellMar>
            </w:tblPr>
            <w:tblGrid>
              <w:gridCol w:w="9450"/>
            </w:tblGrid>
            <w:tr w14:paraId="166DDF29">
              <w:tblPrEx>
                <w:shd w:val="clear" w:color="auto" w:fill="auto"/>
                <w:tblCellMar>
                  <w:top w:w="0" w:type="dxa"/>
                  <w:left w:w="0" w:type="dxa"/>
                  <w:bottom w:w="0" w:type="dxa"/>
                  <w:right w:w="0" w:type="dxa"/>
                </w:tblCellMar>
              </w:tblPrEx>
              <w:trPr>
                <w:tblCellSpacing w:w="0" w:type="dxa"/>
                <w:jc w:val="center"/>
              </w:trPr>
              <w:tc>
                <w:tcPr>
                  <w:tcW w:w="9450" w:type="dxa"/>
                  <w:shd w:val="clear" w:color="auto" w:fill="auto"/>
                  <w:vAlign w:val="center"/>
                </w:tcPr>
                <w:p w14:paraId="7078817E">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中华人民共和国主席令第21号</w:t>
                  </w:r>
                </w:p>
              </w:tc>
            </w:tr>
          </w:tbl>
          <w:p w14:paraId="6B69B70B">
            <w:pPr>
              <w:jc w:val="center"/>
              <w:rPr>
                <w:rFonts w:ascii="微软雅黑" w:hAnsi="微软雅黑" w:eastAsia="微软雅黑" w:cs="微软雅黑"/>
                <w:i w:val="0"/>
                <w:caps w:val="0"/>
                <w:color w:val="000000"/>
                <w:spacing w:val="0"/>
                <w:sz w:val="18"/>
                <w:szCs w:val="18"/>
              </w:rPr>
            </w:pPr>
          </w:p>
        </w:tc>
      </w:tr>
      <w:tr w14:paraId="7C1F2ADA">
        <w:tblPrEx>
          <w:tblCellMar>
            <w:top w:w="0" w:type="dxa"/>
            <w:left w:w="0" w:type="dxa"/>
            <w:bottom w:w="0" w:type="dxa"/>
            <w:right w:w="0" w:type="dxa"/>
          </w:tblCellMar>
        </w:tblPrEx>
        <w:trPr>
          <w:trHeight w:val="389" w:hRule="atLeast"/>
          <w:tblCellSpacing w:w="0" w:type="dxa"/>
          <w:jc w:val="center"/>
        </w:trPr>
        <w:tc>
          <w:tcPr>
            <w:tcW w:w="10500" w:type="dxa"/>
            <w:shd w:val="clear" w:color="auto" w:fill="FFFFFF"/>
            <w:tcMar>
              <w:top w:w="225" w:type="dxa"/>
            </w:tcMar>
            <w:vAlign w:val="center"/>
          </w:tcPr>
          <w:p w14:paraId="6E462426">
            <w:pPr>
              <w:jc w:val="center"/>
              <w:rPr>
                <w:rFonts w:hint="eastAsia" w:ascii="微软雅黑" w:hAnsi="微软雅黑" w:eastAsia="微软雅黑" w:cs="微软雅黑"/>
                <w:i w:val="0"/>
                <w:caps w:val="0"/>
                <w:color w:val="000000"/>
                <w:spacing w:val="0"/>
                <w:sz w:val="18"/>
                <w:szCs w:val="18"/>
              </w:rPr>
            </w:pPr>
          </w:p>
        </w:tc>
      </w:tr>
      <w:tr w14:paraId="184618F6">
        <w:tblPrEx>
          <w:tblCellMar>
            <w:top w:w="0" w:type="dxa"/>
            <w:left w:w="0" w:type="dxa"/>
            <w:bottom w:w="0" w:type="dxa"/>
            <w:right w:w="0" w:type="dxa"/>
          </w:tblCellMar>
        </w:tblPrEx>
        <w:trPr>
          <w:trHeight w:val="1804" w:hRule="atLeast"/>
          <w:tblCellSpacing w:w="0" w:type="dxa"/>
          <w:jc w:val="center"/>
        </w:trPr>
        <w:tc>
          <w:tcPr>
            <w:tcW w:w="10500" w:type="dxa"/>
            <w:shd w:val="clear" w:color="auto" w:fill="FFFFFF"/>
            <w:vAlign w:val="center"/>
          </w:tcPr>
          <w:p w14:paraId="708E5F5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eastAsia" w:ascii="微软雅黑" w:hAnsi="微软雅黑" w:eastAsia="微软雅黑" w:cs="微软雅黑"/>
                <w:i w:val="0"/>
                <w:caps w:val="0"/>
                <w:color w:val="000000"/>
                <w:spacing w:val="0"/>
                <w:sz w:val="18"/>
                <w:szCs w:val="18"/>
              </w:rPr>
              <w:t>　　《中华人民共和国招标投标法》已由中华人民共和国第九届全国人民代表大会常务委员会第十一次会议于1999年8月30日通过，现予公布，自2000年1月1日起施行。</w:t>
            </w:r>
          </w:p>
          <w:p w14:paraId="43ED470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eastAsia" w:ascii="微软雅黑" w:hAnsi="微软雅黑" w:eastAsia="微软雅黑" w:cs="微软雅黑"/>
                <w:i w:val="0"/>
                <w:caps w:val="0"/>
                <w:color w:val="000000"/>
                <w:spacing w:val="0"/>
                <w:sz w:val="18"/>
                <w:szCs w:val="18"/>
              </w:rPr>
              <w:br w:type="textWrapping"/>
            </w:r>
            <w:r>
              <w:rPr>
                <w:rFonts w:hint="eastAsia" w:ascii="微软雅黑" w:hAnsi="微软雅黑" w:eastAsia="微软雅黑" w:cs="微软雅黑"/>
                <w:i w:val="0"/>
                <w:caps w:val="0"/>
                <w:color w:val="000000"/>
                <w:spacing w:val="0"/>
                <w:sz w:val="18"/>
                <w:szCs w:val="18"/>
              </w:rPr>
              <w:br w:type="textWrapping"/>
            </w:r>
            <w:r>
              <w:rPr>
                <w:rFonts w:hint="eastAsia" w:ascii="微软雅黑" w:hAnsi="微软雅黑" w:eastAsia="微软雅黑" w:cs="微软雅黑"/>
                <w:i w:val="0"/>
                <w:caps w:val="0"/>
                <w:color w:val="000000"/>
                <w:spacing w:val="0"/>
                <w:sz w:val="18"/>
                <w:szCs w:val="18"/>
              </w:rPr>
              <w:t> </w:t>
            </w:r>
          </w:p>
          <w:p w14:paraId="381C431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微软雅黑" w:hAnsi="微软雅黑" w:eastAsia="微软雅黑" w:cs="微软雅黑"/>
                <w:i w:val="0"/>
                <w:caps w:val="0"/>
                <w:color w:val="000000"/>
                <w:spacing w:val="0"/>
                <w:sz w:val="18"/>
                <w:szCs w:val="18"/>
              </w:rPr>
              <w:t>中华人民共和国主席 江泽民</w:t>
            </w:r>
            <w:r>
              <w:rPr>
                <w:rFonts w:hint="eastAsia" w:ascii="微软雅黑" w:hAnsi="微软雅黑" w:eastAsia="微软雅黑" w:cs="微软雅黑"/>
                <w:i w:val="0"/>
                <w:caps w:val="0"/>
                <w:color w:val="000000"/>
                <w:spacing w:val="0"/>
                <w:sz w:val="18"/>
                <w:szCs w:val="18"/>
              </w:rPr>
              <w:br w:type="textWrapping"/>
            </w:r>
            <w:r>
              <w:rPr>
                <w:rFonts w:hint="eastAsia" w:ascii="微软雅黑" w:hAnsi="微软雅黑" w:eastAsia="微软雅黑" w:cs="微软雅黑"/>
                <w:i w:val="0"/>
                <w:caps w:val="0"/>
                <w:color w:val="000000"/>
                <w:spacing w:val="0"/>
                <w:sz w:val="18"/>
                <w:szCs w:val="18"/>
              </w:rPr>
              <w:br w:type="textWrapping"/>
            </w:r>
            <w:r>
              <w:rPr>
                <w:rFonts w:hint="eastAsia" w:ascii="微软雅黑" w:hAnsi="微软雅黑" w:eastAsia="微软雅黑" w:cs="微软雅黑"/>
                <w:i w:val="0"/>
                <w:caps w:val="0"/>
                <w:color w:val="000000"/>
                <w:spacing w:val="0"/>
                <w:sz w:val="18"/>
                <w:szCs w:val="18"/>
              </w:rPr>
              <w:t>一九九九年八月三十日</w:t>
            </w:r>
          </w:p>
        </w:tc>
      </w:tr>
    </w:tbl>
    <w:p w14:paraId="1E7A804F">
      <w:pPr>
        <w:rPr>
          <w:rFonts w:hint="eastAsia" w:ascii="微软雅黑" w:hAnsi="微软雅黑" w:eastAsia="微软雅黑" w:cs="微软雅黑"/>
          <w:b/>
          <w:i w:val="0"/>
          <w:caps w:val="0"/>
          <w:color w:val="000000"/>
          <w:spacing w:val="0"/>
          <w:sz w:val="33"/>
          <w:szCs w:val="33"/>
          <w:shd w:val="clear" w:fill="FFFFFF"/>
          <w:lang w:eastAsia="zh-CN"/>
        </w:rPr>
      </w:pPr>
      <w:r>
        <w:rPr>
          <w:rFonts w:ascii="微软雅黑" w:hAnsi="微软雅黑" w:eastAsia="微软雅黑" w:cs="微软雅黑"/>
          <w:i w:val="0"/>
          <w:caps w:val="0"/>
          <w:color w:val="000000"/>
          <w:spacing w:val="0"/>
          <w:sz w:val="18"/>
          <w:szCs w:val="18"/>
          <w:shd w:val="clear" w:fill="FFFFFF"/>
        </w:rPr>
        <w:t>第一章　总　则</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第一条　为了规范招标投标活动，保护国家利益、社会公共利益和招标投标活动当事人的合法权益，提高经济效益，保证项目质量，制定本法。</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第二条　在中华人民共和国境内进行招标投标活动，适用本法。</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第三条　在中华人民共和国境内进行下列工程建设项目包括项目的勘察、设计、施工、监理以及与工程建设有关的重要设备、材料等的采购，必须进行招标：</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（一）大型基础设施、公用事业等关系社会公共利益、公众安全的项目；</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（二）全部或者部分使用国有资金投资或者国家融资的项目；</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（三）使用国际组织或者外国政府贷款、援助资金的项目。</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前款所列项目的具体范围和规模标准，由国务院发展计划部门会同国务院有关部门制订，报国务院批准。</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法律或者国务院对必须进行招标的其他项目的范围有规定的，依照其规定。</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第四条 　任何单位和个人不得将依法必须进行招标的项目化整为零或者以其他任何方式规避招标。</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第五条　招标投标活动应当遵循公开、公平、公正和诚实信用的原则。</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第六条　依法必须进行招标的项目，其招标投标活动不受地区或者部门的限制。任何单位和个人不得违法限制或者排斥本地区、本系统以外的法人或者其他组织参加投标，不得以任何方式非法干涉招标投标活动。</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第七条　招标投标活动及其当事人应当接受依法实施的监督。</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有关行政监督部门依法对招标投标活动实施监督，依法查处招标投标活动中的违法行为。</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对招标投标活动的行政监督及有关部门的具体职权划分，由国务院规定。</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第二章　招　标</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第八条　招标人是依照本法规定提出招标项目、进行招标的法人或者其他组织。</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第九条　招标项目按照国家有关规定需要履行项目审批手续的，应当先履行审批手续，取得批准。</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招标人应当有进行招标项目的相应资金或者资金来源已经落实，并应当在招标文件中如实载明。</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第十条　招标分为公开招标和邀请招标。</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公开招标，是指招标人以招标公告的方式邀请不特定的法人或者其他组织投标。</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邀请招标，是指招标人以投标邀请书的方式邀请特定的法人或者其他组织投标。</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第十一条　国务院发展计划部门确定的国家重点项目和省、自治区、直辖市人民政府确定的地方重点项目不适宜公开招标的，经国务院发展计划部门或者省、自治区、直辖市人民政府批准，可以进行邀请招标。</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第十二条　招标人有权自行选择招标代理机构，委托其办理招标事宜。任何单位和个人不得以任何方式为招标人指定招标代理机构。</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招标人具有编制招标文件和组织评标能力的，可以自行办理招标事宜。任何单位和个人不得强制其委托招标代理机构办理招标事宜。</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依法必须进行招标的项目，招标人自行办理招标事宜的，应当向有关行政监督部门备案。</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第十三条　招标代理机构是依法设立、从事招标代理业务并提供相关服务的社会中介组织。</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招标代理机构应当具备下列条件：</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（一）有从事招标代理业务的营业场所和相应资金；</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（二）有能够编制招标文件和组织评标的相应专业力量；</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（三）有符合本法第三十七条第三款规定条件、可以作为评标委员会成员人选的技术、经济等方面的专家库。</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第十四条　从事工程建设项目招标代理业务的招标代理机构，其资格由国务院或者省、自治区、直辖市人民政府的建设行政主管部门认定。具体办法由国务院建设行政主管部门会同国务院有关部门制定。从事其他招标代理业务的招标代理机构，其资格认定的主管部门由国务院规定。</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招标代理机构与行政机关和其他国家机关不得存在隶属关系或者其他利益关系。</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第十五条　招标代理机构应当在招标人委托的范围内办理招标事宜，并遵守本法关于招标人的规定。</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第十六条　招标人采用公开招标方式的，应当发布招标公告。依法必须进行招标的项目的招标公告，应当通过国家指定的报刊、信息网络或者其他媒介发布。</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招标公告应当载明招标人的名称和地址、招标项目的性质、数量、实施地点和时间以及获取招标文件的办法等事项。</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第十七条　招标人采用邀请招标方式的，应当向三个以上具备承担招标项目的能力、资信良好的特定的法人或者其他组织发出投标邀请书。</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投标邀请书应当载明本法第十六条第二款规定的事项。</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第十八条　招标人可以根据招标项目本身的要求，在招标公告或者投标邀请书中，要求潜在投标人提供有关资质证明文件和业绩情况，并对潜在投标人进行资格审查；国家对投标人的资格条件有规定的，依照其规定。</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招标人不得以不合理的条件限制或者排斥潜在投标人，不得对潜在投标人实行歧视待遇。</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第十九条　招标人应当根据招标项目的特点和需要编制招标文件。招标文件应当包括招标项目的技术要求、对投标人资格审查的标准、投标报价要求和评标标准等所有实质性要求和条件以及拟签订合同的主要条款。</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国家对招标项目的技术、标准有规定的，招标人应当按照其规定在招标文件中提出相应要求。</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招标项目需要划分标段、确定工期的，招标人应当合理划分标段、确定工期，并在招标文件中载明。</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第二十条　招标文件不得要求或者标明特定的生产供应者以及含有倾向或者排斥潜在投标人的其他内容。</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第二十一条　招标人根据招标项目的具体情况，可以组织潜在投标人踏勘项目现场。</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第二十二条　招标人不得向他人透露已获取招标文件的潜在投标人的名称、数量以及可能影响公平竞争的有关招标投标的其他情况。</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招标人设有标底的，标底必须保密。</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第二十三条 　招标人对已发出的招标文件进行必要的澄清或者修改的，应当在招标文件要求提交投标文件截止时间至少十五日前，以书面形式通知所有招标文件收受人。该澄清或者修改的内容为招标文件的组成部分。</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第二十四条　招标人应当确定投标人编制投标文件所需要的合理时间；但是，依法必须进行招标的项目，自招标文件开始发出之日起至投标人提交投标文件截止之日止，最短不得少于二十日。</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第三章　投　标</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第二十五条　投标人是响应招标、参加投标竞争的法人或者其他组织。</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依法招标的科研项目允许个人参加投标的，投标的个人适用本法有关投标人的规定。</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第二十六条　投标人应当具备承担招标项目的能力；国家有关规定对投标人资格条件或者招标文件对投标人资格条件有规定的，投标人应当具备规定的资格条件。</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第二十七条　投标人应当按照招标文件的要求编制投标文件。投标文件应当对招标文件提出的实质性要求和条件作出响应。</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招标项目属于建设施工的，投标文件的内容应当包括拟派出的项目负责人与主要技术人员的简历、业绩和拟用于完成招标项目的机械设备等。</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第二十八条　投标人应当在招标文件要求提交投标文件的截止时间前，将投标文件送达投标地点。招标人收到投标文件后，应当签收保存，不得开启。投标人少于三个的，招标人应当依照本法重新招标。</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在招标文件要求提交投标文件的截止时间后送达的投标文件，招标人应当拒收。</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第二十九条　投标人在招标文件要求提交投标文件的截止时间前，可以补充、修改或者撤回已提交的投标文件，并书面通知招标人。补充、修改的内容为投标文件的组成部分。</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第三十条　投标人根据招标文件载明的项目实际情况，拟在中标后将中标项目的部分非主体、非关键性工作进行分包的，应当在投标文件中载明。</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第三十一条　两个以上法人或者其他组织可以组成一个联合体，以一个投标人的身份共同投标。</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联合体各方均应当具备承担招标项目的相应能力；国家有关规定或者招标文件对投标人资格条件有规定的，联合体各方均应当具备规定的相应资格条件。由同一专业的单位组成的联合体，按照资质等级较低的单位确定资质等级。</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联合体各方应当签订共同投标协议，明确约定各方拟承担的工作和责任，并将共同投标协议连同投标文件一并提交招标人。联合体中标的，联合体各方应当共同与招标人签订合同，就中标项目向招标人承担连带责任。</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招标人不得强制投标人组成联合体共同投标，不得限制投标人之间的竞争。</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第三十二条　投标人不得相互串通投标报价，不得排挤其他投标人的公平竞争，损害招标人或者其他投标人的合法权益。</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投标人不得与招标人串通投标，损害国家利益、社会公共利益或者他人的合法权益。</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禁止投标人以向招标人或者评标委员会成员行贿的手段谋取中标。</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第三十三条　投标人不得以低于成本的报价竞标，也不得以他人名义投标或者以其他方式弄虚作假，骗取中标。</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第四章　开标、评标和中标</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第三十四条　开标应当在招标文件确定的提交投标文件截止时间的同一时间公开进行；开标地点应当为招标文件中预先确定的地点。</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第三十五条　开标由招标人主持，邀请所有投标人参加。</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第三十六条　开标时，由投标人或者其推选的代表检查投标文件的密封情况，也可以由招标人委托的公证机构检查并公证；经确认无误后，由工作人员当众拆封，宣读投标人名称、投标价格和投标文件的其他主要内容。</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招标人在招标文件要求提交投标文件的截止时间前收到的所有投标文件，开标时都应当当众予以拆封、宣读。</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开标过程应当记录，并存档备查。</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第三十七条　评标由招标人依法组建的评标委员会负责。</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依法必须进行招标的项目，其评标委员会由招标人的代表和有关技术、经济等方面的专家组成，成员人数为五人以上单数，其中技术、经济等方面的专家不得少于成员总数的三分之二。</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前款专家应当从事相关领域工作满八年并具有高级职称或者具有同等专业水平，由招标人从国务院有关部门或者省、自治区、直辖市人民政府有关部门提供的专家名册或者招标代理机构的专家库内的相关专业的专家名单中确定；一般招标项目可以采取随机抽取方式，特殊招标项目可以由招标人直接确定。</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与投标人有利害关系的人不得进入相关项目的评标委员会；已经进入的应当更换。</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评标委员会成员的名单在中标结果确定前应当保密。</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第三十八条　招标人应当采取必要的措施，保证评标在严格保密的情况下进行。</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任何单位和个人不得非法干预、影响评标的过程和结果。</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第三十九条　评标委员会可以要求投标人对投标文件中含义不明确的内容作必要的澄清或者说明，但是澄清或者说明不得超出投标文件的范围或者改变投标文件的实质性内容。</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第四十条　评标委员会应当按照招标文件确定的评标标准和方法，对投标文件进行评审和比较；设有标底的，应当参考标底。评标委员会完成评标后，应当向招标人提出书面评标报告，并推荐合格的中标候选人。</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招标人根据评标委员会提出的书面评标报告和推荐的中标候选人确定中标人。招标人也可以授权评标委员会直接确定中标人。</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国务院对特定招标项目的评标有特别规定的，从其规定。</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第四十一条　中标人的投标应当符合下列条件之一：</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（一）能够最大限度地满足招标文件中规定的各项综合评价标准；</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（二）能够满足招标文件的实质性要求，并且经评审的投标价格最低；但是投标价格低于成本的除外。</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第四十二条　评标委员会经评审，认为所有投标都不符合招标文件要求的，可以否决所有投标。</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依法必须进行招标的项目的所有投标被否决的，招标人应当依照本法重新招标。</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第四十三条　在确定中标人前， 招标人不得与投标人就投标价格、投标方案等实质性内容进行谈判。</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第四十四条　评标委员会成员应当客观、公正地履行职务，遵守职业道德，对所提出的评审意见承担个人责任。</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评标委员会成员不得私下接触投标人，不得收受投标人的财物或者其他好处。</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评标委员会成员和参与评标的有关工作人员不得透露对投标文件的评审和比较、中标</w:t>
      </w:r>
      <w:r>
        <w:rPr>
          <w:rFonts w:hint="eastAsia" w:ascii="微软雅黑" w:hAnsi="微软雅黑" w:eastAsia="微软雅黑" w:cs="微软雅黑"/>
          <w:i w:val="0"/>
          <w:caps w:val="0"/>
          <w:color w:val="000000"/>
          <w:spacing w:val="0"/>
          <w:sz w:val="18"/>
          <w:szCs w:val="18"/>
          <w:shd w:val="clear" w:fill="FFFFFF"/>
          <w:lang w:eastAsia="zh-CN"/>
        </w:rPr>
        <w:t>候选人</w:t>
      </w:r>
      <w:r>
        <w:rPr>
          <w:rFonts w:hint="eastAsia" w:ascii="微软雅黑" w:hAnsi="微软雅黑" w:eastAsia="微软雅黑" w:cs="微软雅黑"/>
          <w:i w:val="0"/>
          <w:caps w:val="0"/>
          <w:color w:val="000000"/>
          <w:spacing w:val="0"/>
          <w:sz w:val="18"/>
          <w:szCs w:val="18"/>
          <w:shd w:val="clear" w:fill="FFFFFF"/>
        </w:rPr>
        <w:t>的推荐情况以及与评标有关的其他情况。</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第四十五条　中标人确定后，招标人应当向中标人发出中标通知书，并同时将中标结果通知所有未中标的投标人。</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中标通知书对招标人和中标人具有法律效力。中标通知书发出后，招标人改变中标结果的，或者中标人放弃中标项目的，应当依法承担法律责任。</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第四十六条　招标人和中标人应当自中标通知书发出之日起三十日内，按照招标文件和中标人的投标文件订立书面合同。招标人和中标人不得再行订立背离合同实质性内容的其他协议。</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招标文件要求中标人提交履约保证金的，中标人应当提交。</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第四十七条　依法必须进行招标的项目，招标人应当自确定中标人之日起十五日内，向有关行政监督部门提交招标投标情况的书面报告。</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第四十八条　中标人应当按照合同约定履行义务，完成中标项目。中标人不得向他人转让中标项目，也不得将中标项目肢解后分别向他人转让。</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中标人按照合同约定或者经招标人同意，可以将中标项目的部分非主体、非关键性工作分包给他人完成。接受分包的人应当具备相应的资格条件，并不得再次分包。</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中标人应当就分包项目向招标人负责，接受分包的人就分包项目承担连带责任。</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第五章　法律责任</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第四十九条　违反本法规定，必须进行招标的项目而不招标的，将必须进行招标的项目化整为零或者以其他任何方式规避招标的，责令限期改正，可以处项目合同金额千分之五以上千分之十以下的罚款；对全部或者部分使用国有资金的项目，可以暂停项目执行或者暂停资金拨付；对单位直接负责的主管人员和其他直接责任人员依法给予处分。</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第五十条　招标代理机构违反本法规定，泄露应当保密的与招标投标活动有关的情况和资料的，或者与招标人、投标人串通损害国家利益、社会公共利益或者他人合法权益的，处五万元以上二十五万元以下的罚款，对单位直接负责的主管人员和其他直接责任人员处单位罚款数额百分之五以上百分之十以下的罚款；有违法所得的，并处没收违法所得；情节严重的，暂停直至取消招标代理资格；构成犯罪的，依法追究刑事责任。给他人造成损失的，依法承担赔偿责任。</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前款所列行为影响中标结果的，中标无效。</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第五十一条　招标人以不合理的条件限制或者排斥潜在投标人的，对潜在投标人实行歧视待遇的，强制要求投标人组成联合体共同投标的，或者限制投标人之间竞争的，责令改正，可以处一万元以上五万元以下的罚款。</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第五十二条　依法必须进行招标的项目的招标人向他人透露已获取招标文件的潜在投标人的名称、数量或者可能影响公平竞争的有关招标投标的其他情况的，或者泄露标底的，给予警告，可以并处一万元以上十万元以下的罚款；对单位直接负责的主管人员和其他直接责任人员依法给予处分；构成犯罪的，依法追究刑事责任。</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前款所列行为影响中标结果的，中标无效。</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第五十三条　投标人相互串通投标或者与招标人串通投标的，投标人以向招标人或者评标委员会成员行贿的手段谋取中标的，中标无效，处中标项目金额千分之五以上千分之十以下的罚款，对单位直接负责的主管人员以及其他直接责任人员处单位罚款数额百分之五以上百分之十以下的罚款；有违法所得的，并处没收违法所得；情节严重的，取消其一年至二年内参加依法必须进行招标的项目的投标资格并予以公告，直至由工商行政管理机关吊销营业执照；构成犯罪的，应依法追究刑事责任。给他人造成损失的，依法承担赔偿责任。</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第五十四条　投标人以他人名义投标或者以其他方式弄虚作假，骗取中标的，中标无效，给招标人造成损失的，依法承担赔偿责任；构成犯罪的，依法追究刑事责任。</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依法必须进行招标的项目的投标人有前款所列行为尚未构成犯罪的，处中标项目金额千分之五以上千分之十以下的罚款，对单位直接负责的主管人员和其他直接责任人员处单位罚款数额百分之五以上百分之十以下的罚款；有违法所得的，并处没收违法所得；情节严重的，取消其一年至三年内参加依法必须进行招标的项目的投标资格并予以公告，直至由工商行政管理机关吊销营业执照。</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第五十五条　依法必须进行招标的项目， 招标人违反本法规定，与投标人就投标价格、投标方案等实质性内容进行谈判的，给予警告，对单位直接负责的主管人员和其他直接责任人员依法给予处分。</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前款所列行为影响中标结果的，中标无效。</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第五十六条　评标委员会成员收受投标人的财物或者其他好处的，评标委员会成员或者参加评标的有关工作人员向他人透露对投标文件的评审和比较、中标候选人的推荐以及与评标有关的其他情况的，给予警告，没收收受的财物，可以并处三千元以上五万元以下的罚款，对有所列违法行为的评标委员会成员取消担任评标委员会成员的资格，不得再参加任何依法必须进行招标的项目的评标；构成犯罪的，依法追究刑事责任。</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第五十七条　招标人在评标委员会依法推荐的中标候选人以外确定中标人的，依法必须进行招标的项目在所有投标被评标委员会否决后自行确定中标人的，中标无效。责令改正，可以处中标项目金额千分之五以上千分之十以下的罚款；对单位直接负责的主管人员和其他直接责任人员依法给予处分。</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第五十八条　中标人将中标项目转让给他人的，将中标项目肢解后分别转让给他人的，违反本法规定将中标项目的部分主体、关键性工作分包给他人的，或者分包人再次分包的，转让、分包无效，处转让、分包项目金额千分之五以上千分之十以下的罚款；有违法所得的，并处没收违法所得；可以责令停业整顿；情节严重的，由工商行政管理机关吊销营业执照。</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第五十九条　招标人与中标人不按照招标文件和中标人的投标文件订立合同的，或者招标人、中标人订立背离合同实质性内容的协议的，责令改正；可以处中标项目金额千分之五以上千分之十以下的罚款。</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第六十条　中标人不履行与招标人订立的合同的，履约保证金不予退还，给招标人造成的损失超过履约保证金数额的，还应当对超过部分予以赔偿；没有提交履约保证金的，应当对招标人的损失承担赔偿责任。</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中标人不按照与招标人订立的合同履行义务，情节严重的，取消其二年至五年内参加依法必须进行招标的项目的投标资格并予以公告，直至由工商行政管理机关吊销营业执照。</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因不可抗力不能履行合同的，不适用前两款规定。</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第六十一条　本章规定的行政处罚，由国务院规定的有关行政监督部门决定。本法已对实施行政处罚的机关作出规定的除外。</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第六十二条　任何单位违反本法规定，限制或者排斥本地区、本系统以外的法人或者其他组织参加投标的，为招标人指定招标代理机构的，强制招标人委托招标代理机构办理招标事宜的，或者以其他方式干涉招标投标活动的，责令改正；对单位直接负责的主管人员和其他直接责任人员依法给予警告、记过、记大过的处分，情节较重的，依法给予降级、撤职、开除的处分。</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个人利用职权进行前款违法行为的，依照前款规定追究责任。</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第六十三条　对招标投标活动依法负有行政监督职责的国家机关工作人员徇私舞弊、滥用职权或者玩忽职守，构成犯罪的，依法追究刑事责任；不构成犯罪的，依法给予行政处分。</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第六十四条　依法必须进行招标的项目违反本法规定，中标无效的，应当依照本法规定的中标条件从其余投标人中重新确定中标人或者依照本法重新进行招标。</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第六章　附　则</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第六十五条　投标人和其他利害关系人认为招标投标活动不符合本法有关规定的，有权向招标人提出异议或者依法向有关行政监督部门投诉。</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第六十六条　涉及国家安全、国家秘密、抢险救灾或者属于利用扶贫资金实行以工代赈、需要使用农民工等特殊情况，不适宜进行招标的项目，按照国家有关规定可以不进行招标。</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第六十七条　使用国际组织或者外国政府贷款、援助资金的项目进行招标，贷款方、资金提供方对招标投标的具体条件和程序有不同规定的，可以适用其规定。但违背中华人民共和国的社会公共利益的除外。</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第六十八条　本法自2000年1月1日起施行。</w:t>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br w:type="textWrapping"/>
      </w:r>
      <w:r>
        <w:rPr>
          <w:rFonts w:hint="eastAsia" w:ascii="微软雅黑" w:hAnsi="微软雅黑" w:eastAsia="微软雅黑" w:cs="微软雅黑"/>
          <w:i w:val="0"/>
          <w:caps w:val="0"/>
          <w:color w:val="000000"/>
          <w:spacing w:val="0"/>
          <w:sz w:val="18"/>
          <w:szCs w:val="18"/>
          <w:shd w:val="clear" w:fill="FFFFFF"/>
        </w:rPr>
        <w:t>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B1489F"/>
    <w:rsid w:val="0BDF7E7A"/>
    <w:rsid w:val="16BB66BC"/>
    <w:rsid w:val="40300C76"/>
    <w:rsid w:val="40F13537"/>
    <w:rsid w:val="431160CA"/>
    <w:rsid w:val="6FB148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5</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2020-11-07T10:29:00Z</dcterms:created>
  <dc:creator>Administrator</dc:creator>
  <cp:lastModifiedBy>Administrator</cp:lastModifiedBy>
  <dcterms:modified xsi:type="dcterms:W3CDTF">2025-02-08T08:59:51Z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D609BC7C86E046FEB2B06402EC6FCFB8_12</vt:lpwstr>
  </property>
</Properties>
</file>