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rPr>
      </w:pPr>
      <w:r>
        <w:rPr>
          <w:rFonts w:hint="eastAsia" w:ascii="方正小标宋简体" w:eastAsia="方正小标宋简体"/>
          <w:sz w:val="44"/>
        </w:rPr>
        <w:t>于田县</w:t>
      </w:r>
      <w:r>
        <w:rPr>
          <w:rFonts w:hint="eastAsia" w:ascii="方正小标宋简体" w:eastAsia="方正小标宋简体" w:hAnsiTheme="majorEastAsia"/>
          <w:sz w:val="44"/>
        </w:rPr>
        <w:t>2022</w:t>
      </w:r>
      <w:r>
        <w:rPr>
          <w:rFonts w:hint="eastAsia" w:ascii="方正小标宋简体" w:eastAsia="方正小标宋简体"/>
          <w:sz w:val="44"/>
        </w:rPr>
        <w:t>年绩效管理工作</w:t>
      </w:r>
      <w:r>
        <w:rPr>
          <w:rFonts w:hint="eastAsia" w:ascii="方正小标宋简体" w:eastAsia="方正小标宋简体"/>
          <w:sz w:val="44"/>
          <w:lang w:val="en-US" w:eastAsia="zh-CN"/>
        </w:rPr>
        <w:t>开展</w:t>
      </w:r>
      <w:r>
        <w:rPr>
          <w:rFonts w:hint="eastAsia" w:ascii="方正小标宋简体" w:eastAsia="方正小标宋简体"/>
          <w:sz w:val="44"/>
        </w:rPr>
        <w:t>汇报</w:t>
      </w:r>
    </w:p>
    <w:p>
      <w:pPr>
        <w:spacing w:line="560" w:lineRule="exact"/>
        <w:jc w:val="center"/>
        <w:rPr>
          <w:rFonts w:hint="eastAsia" w:ascii="方正小标宋简体" w:eastAsia="方正小标宋简体"/>
          <w:sz w:val="44"/>
        </w:rPr>
      </w:pPr>
      <w:bookmarkStart w:id="0" w:name="_GoBack"/>
      <w:bookmarkEnd w:id="0"/>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为全面实施预算绩效管理，建立科学、合理的项目支出绩效评价管理体系，提高财政资源配置效率和使用效益，根据《中华人民共和国预算法》、《中共中央国务院关于全面实施预算绩效管理的意见》（中发〔2018〕34号文）和《自治区党委 自治区人民政府关于全面实施预算绩效管理的实施意见》（新党发〔2018〕30号文）等有关规定，我县组织开展了2022年度绩效目标管理工作、财政资金绩效运行跟踪监控系列工作及全口径绩效评价工作，现将工作开展情况汇报如下：</w:t>
      </w:r>
    </w:p>
    <w:p>
      <w:pPr>
        <w:spacing w:line="560" w:lineRule="exact"/>
        <w:ind w:firstLine="640" w:firstLineChars="200"/>
        <w:jc w:val="left"/>
        <w:rPr>
          <w:rFonts w:ascii="黑体" w:hAnsi="黑体" w:eastAsia="黑体" w:cs="仿宋"/>
          <w:kern w:val="0"/>
          <w:sz w:val="32"/>
          <w:szCs w:val="32"/>
          <w:lang w:bidi="en-US"/>
        </w:rPr>
      </w:pPr>
      <w:r>
        <w:rPr>
          <w:rFonts w:hint="eastAsia" w:ascii="黑体" w:hAnsi="黑体" w:eastAsia="黑体" w:cs="仿宋"/>
          <w:kern w:val="0"/>
          <w:sz w:val="32"/>
          <w:szCs w:val="32"/>
          <w:lang w:bidi="en-US"/>
        </w:rPr>
        <w:t>一、2022年项目支出绩效目标审核完成情况</w:t>
      </w:r>
    </w:p>
    <w:p>
      <w:pPr>
        <w:spacing w:line="560" w:lineRule="exact"/>
        <w:ind w:firstLine="640" w:firstLineChars="200"/>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1、我县共有部门整体绩效目标187个，主要包括人员经费项目、公用经费项目等项目，预算安排资金</w:t>
      </w:r>
      <w:r>
        <w:rPr>
          <w:rFonts w:ascii="仿宋" w:hAnsi="仿宋" w:eastAsia="仿宋" w:cs="仿宋"/>
          <w:kern w:val="0"/>
          <w:sz w:val="32"/>
          <w:szCs w:val="32"/>
          <w:lang w:bidi="en-US"/>
        </w:rPr>
        <w:t>289,716.12万</w:t>
      </w:r>
      <w:r>
        <w:rPr>
          <w:rFonts w:hint="eastAsia" w:ascii="仿宋" w:hAnsi="仿宋" w:eastAsia="仿宋" w:cs="仿宋"/>
          <w:kern w:val="0"/>
          <w:sz w:val="32"/>
          <w:szCs w:val="32"/>
          <w:lang w:bidi="en-US"/>
        </w:rPr>
        <w:t>元；</w:t>
      </w:r>
    </w:p>
    <w:p>
      <w:pPr>
        <w:spacing w:line="560" w:lineRule="exact"/>
        <w:ind w:firstLine="640" w:firstLineChars="200"/>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2、项目目标：年初部门预算项目绩效目标142个，预算安排资金</w:t>
      </w:r>
      <w:r>
        <w:rPr>
          <w:rFonts w:ascii="仿宋" w:hAnsi="仿宋" w:eastAsia="仿宋" w:cs="仿宋"/>
          <w:kern w:val="0"/>
          <w:sz w:val="32"/>
          <w:szCs w:val="32"/>
          <w:lang w:bidi="en-US"/>
        </w:rPr>
        <w:t>28,870.03</w:t>
      </w:r>
      <w:r>
        <w:rPr>
          <w:rFonts w:hint="eastAsia" w:ascii="仿宋" w:hAnsi="仿宋" w:eastAsia="仿宋" w:cs="仿宋"/>
          <w:kern w:val="0"/>
          <w:sz w:val="32"/>
          <w:szCs w:val="32"/>
          <w:lang w:bidi="en-US"/>
        </w:rPr>
        <w:t>万元；年中追加项目109个，预算安排资金</w:t>
      </w:r>
      <w:r>
        <w:rPr>
          <w:rFonts w:ascii="仿宋" w:hAnsi="仿宋" w:eastAsia="仿宋" w:cs="仿宋"/>
          <w:kern w:val="0"/>
          <w:sz w:val="32"/>
          <w:szCs w:val="32"/>
          <w:lang w:bidi="en-US"/>
        </w:rPr>
        <w:t>20,833.14</w:t>
      </w:r>
      <w:r>
        <w:rPr>
          <w:rFonts w:hint="eastAsia" w:ascii="仿宋" w:hAnsi="仿宋" w:eastAsia="仿宋" w:cs="仿宋"/>
          <w:kern w:val="0"/>
          <w:sz w:val="32"/>
          <w:szCs w:val="32"/>
          <w:lang w:bidi="en-US"/>
        </w:rPr>
        <w:t>万元。专项转移支付资金项目（包含直达资金及参照直达资金</w:t>
      </w:r>
      <w:r>
        <w:rPr>
          <w:rFonts w:ascii="仿宋" w:hAnsi="仿宋" w:eastAsia="仿宋" w:cs="仿宋"/>
          <w:kern w:val="0"/>
          <w:sz w:val="32"/>
          <w:szCs w:val="32"/>
          <w:lang w:bidi="en-US"/>
        </w:rPr>
        <w:t>）</w:t>
      </w:r>
      <w:r>
        <w:rPr>
          <w:rFonts w:hint="eastAsia" w:ascii="仿宋" w:hAnsi="仿宋" w:eastAsia="仿宋" w:cs="仿宋"/>
          <w:kern w:val="0"/>
          <w:sz w:val="32"/>
          <w:szCs w:val="32"/>
          <w:lang w:bidi="en-US"/>
        </w:rPr>
        <w:t>项目绩效目标310个，下达资金</w:t>
      </w:r>
      <w:r>
        <w:rPr>
          <w:rFonts w:ascii="仿宋" w:hAnsi="仿宋" w:eastAsia="仿宋" w:cs="仿宋"/>
          <w:kern w:val="0"/>
          <w:sz w:val="32"/>
          <w:szCs w:val="32"/>
          <w:lang w:bidi="en-US"/>
        </w:rPr>
        <w:t xml:space="preserve">359,819.25 </w:t>
      </w:r>
      <w:r>
        <w:rPr>
          <w:rFonts w:hint="eastAsia" w:ascii="MS Gothic" w:hAnsi="MS Gothic" w:eastAsia="MS Gothic" w:cs="MS Gothic"/>
          <w:kern w:val="0"/>
          <w:sz w:val="32"/>
          <w:szCs w:val="32"/>
          <w:lang w:bidi="en-US"/>
        </w:rPr>
        <w:t>‬</w:t>
      </w:r>
      <w:r>
        <w:rPr>
          <w:rFonts w:ascii="仿宋" w:hAnsi="仿宋" w:eastAsia="仿宋" w:cs="仿宋"/>
          <w:kern w:val="0"/>
          <w:sz w:val="32"/>
          <w:szCs w:val="32"/>
          <w:lang w:bidi="en-US"/>
        </w:rPr>
        <w:t>万元</w:t>
      </w:r>
      <w:r>
        <w:rPr>
          <w:rFonts w:hint="eastAsia" w:ascii="仿宋" w:hAnsi="仿宋" w:eastAsia="仿宋" w:cs="仿宋"/>
          <w:kern w:val="0"/>
          <w:sz w:val="32"/>
          <w:szCs w:val="32"/>
          <w:lang w:bidi="en-US"/>
        </w:rPr>
        <w:t>；乡村振兴衔接资金项目绩效目标共71个，下达资金</w:t>
      </w:r>
      <w:r>
        <w:rPr>
          <w:rFonts w:ascii="仿宋" w:hAnsi="仿宋" w:eastAsia="仿宋" w:cs="仿宋"/>
          <w:kern w:val="0"/>
          <w:sz w:val="32"/>
          <w:szCs w:val="32"/>
          <w:lang w:bidi="en-US"/>
        </w:rPr>
        <w:t>78,471.28万</w:t>
      </w:r>
      <w:r>
        <w:rPr>
          <w:rFonts w:hint="eastAsia" w:ascii="仿宋" w:hAnsi="仿宋" w:eastAsia="仿宋" w:cs="仿宋"/>
          <w:kern w:val="0"/>
          <w:sz w:val="32"/>
          <w:szCs w:val="32"/>
          <w:lang w:bidi="en-US"/>
        </w:rPr>
        <w:t>元（包含其他资金）；</w:t>
      </w:r>
    </w:p>
    <w:p>
      <w:pPr>
        <w:spacing w:line="560" w:lineRule="exact"/>
        <w:ind w:firstLine="640" w:firstLineChars="200"/>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3、四个项目事前绩效评估完成审核，预算安排资金</w:t>
      </w:r>
      <w:r>
        <w:rPr>
          <w:rFonts w:ascii="仿宋" w:hAnsi="仿宋" w:eastAsia="仿宋" w:cs="仿宋"/>
          <w:kern w:val="0"/>
          <w:sz w:val="32"/>
          <w:szCs w:val="32"/>
          <w:lang w:bidi="en-US"/>
        </w:rPr>
        <w:t>1,863.71</w:t>
      </w:r>
      <w:r>
        <w:rPr>
          <w:rFonts w:hint="eastAsia" w:ascii="仿宋" w:hAnsi="仿宋" w:eastAsia="仿宋" w:cs="仿宋"/>
          <w:kern w:val="0"/>
          <w:sz w:val="32"/>
          <w:szCs w:val="32"/>
          <w:lang w:bidi="en-US"/>
        </w:rPr>
        <w:t>万元。</w:t>
      </w:r>
    </w:p>
    <w:p>
      <w:pPr>
        <w:spacing w:line="560" w:lineRule="exact"/>
        <w:ind w:firstLine="640" w:firstLineChars="200"/>
        <w:jc w:val="left"/>
        <w:rPr>
          <w:rFonts w:ascii="黑体" w:hAnsi="黑体" w:eastAsia="黑体" w:cs="仿宋"/>
          <w:bCs/>
          <w:sz w:val="32"/>
          <w:szCs w:val="32"/>
        </w:rPr>
      </w:pPr>
      <w:r>
        <w:rPr>
          <w:rFonts w:hint="eastAsia" w:ascii="黑体" w:hAnsi="黑体" w:eastAsia="黑体" w:cs="仿宋"/>
          <w:bCs/>
          <w:sz w:val="32"/>
          <w:szCs w:val="32"/>
        </w:rPr>
        <w:t>二、2022年项目支出5月绩效监控完成情况</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sz w:val="32"/>
          <w:szCs w:val="32"/>
        </w:rPr>
      </w:pPr>
      <w:r>
        <w:rPr>
          <w:rFonts w:hint="eastAsia" w:ascii="仿宋" w:hAnsi="仿宋" w:eastAsia="仿宋" w:cs="仿宋"/>
          <w:sz w:val="32"/>
          <w:szCs w:val="32"/>
        </w:rPr>
        <w:t>1、2022年预算项目支出绩效监控涉及单位63个，项目数152个，预算金额</w:t>
      </w:r>
      <w:r>
        <w:rPr>
          <w:rFonts w:ascii="仿宋" w:hAnsi="仿宋" w:eastAsia="仿宋" w:cs="仿宋"/>
          <w:sz w:val="32"/>
          <w:szCs w:val="32"/>
        </w:rPr>
        <w:t>29,307.22</w:t>
      </w:r>
      <w:r>
        <w:rPr>
          <w:rFonts w:hint="eastAsia" w:ascii="仿宋" w:hAnsi="仿宋" w:eastAsia="仿宋" w:cs="仿宋"/>
          <w:sz w:val="32"/>
          <w:szCs w:val="32"/>
        </w:rPr>
        <w:t>万元，执行资金数</w:t>
      </w:r>
      <w:r>
        <w:rPr>
          <w:rFonts w:ascii="仿宋" w:hAnsi="仿宋" w:eastAsia="仿宋" w:cs="仿宋"/>
          <w:sz w:val="32"/>
          <w:szCs w:val="32"/>
        </w:rPr>
        <w:t>11,241.83万</w:t>
      </w:r>
      <w:r>
        <w:rPr>
          <w:rFonts w:hint="eastAsia" w:ascii="仿宋" w:hAnsi="仿宋" w:eastAsia="仿宋" w:cs="仿宋"/>
          <w:sz w:val="32"/>
          <w:szCs w:val="32"/>
        </w:rPr>
        <w:t>元，执行率</w:t>
      </w:r>
      <w:r>
        <w:rPr>
          <w:rFonts w:ascii="仿宋" w:hAnsi="仿宋" w:eastAsia="仿宋" w:cs="仿宋"/>
          <w:sz w:val="32"/>
          <w:szCs w:val="32"/>
        </w:rPr>
        <w:t>38.</w:t>
      </w:r>
      <w:r>
        <w:rPr>
          <w:rFonts w:hint="eastAsia" w:ascii="仿宋" w:hAnsi="仿宋" w:eastAsia="仿宋" w:cs="仿宋"/>
          <w:sz w:val="32"/>
          <w:szCs w:val="32"/>
        </w:rPr>
        <w:t>36</w:t>
      </w:r>
      <w:r>
        <w:rPr>
          <w:rFonts w:ascii="仿宋" w:hAnsi="仿宋" w:eastAsia="仿宋" w:cs="仿宋"/>
          <w:sz w:val="32"/>
          <w:szCs w:val="32"/>
        </w:rPr>
        <w:t>%</w:t>
      </w:r>
      <w:r>
        <w:rPr>
          <w:rFonts w:hint="eastAsia" w:ascii="仿宋" w:hAnsi="仿宋" w:eastAsia="仿宋" w:cs="仿宋"/>
          <w:sz w:val="32"/>
          <w:szCs w:val="32"/>
        </w:rPr>
        <w:t>。</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sz w:val="32"/>
          <w:szCs w:val="32"/>
        </w:rPr>
      </w:pPr>
      <w:r>
        <w:rPr>
          <w:rFonts w:hint="eastAsia" w:ascii="仿宋" w:hAnsi="仿宋" w:eastAsia="仿宋" w:cs="仿宋"/>
          <w:sz w:val="32"/>
          <w:szCs w:val="32"/>
        </w:rPr>
        <w:t>2、2022年专项转移支付资金项目支出绩效监控涉及单位13个，项目数24个，预算金额</w:t>
      </w:r>
      <w:r>
        <w:rPr>
          <w:rFonts w:ascii="仿宋" w:hAnsi="仿宋" w:eastAsia="仿宋" w:cs="仿宋"/>
          <w:sz w:val="32"/>
          <w:szCs w:val="32"/>
        </w:rPr>
        <w:t>31,390.32</w:t>
      </w:r>
      <w:r>
        <w:rPr>
          <w:rFonts w:hint="eastAsia" w:ascii="仿宋" w:hAnsi="仿宋" w:eastAsia="仿宋" w:cs="仿宋"/>
          <w:sz w:val="32"/>
          <w:szCs w:val="32"/>
        </w:rPr>
        <w:t>万元，执行资金数</w:t>
      </w:r>
      <w:r>
        <w:rPr>
          <w:rFonts w:ascii="仿宋" w:hAnsi="仿宋" w:eastAsia="仿宋" w:cs="仿宋"/>
          <w:sz w:val="32"/>
          <w:szCs w:val="32"/>
        </w:rPr>
        <w:t>22850.14</w:t>
      </w:r>
      <w:r>
        <w:rPr>
          <w:rFonts w:hint="eastAsia" w:ascii="仿宋" w:hAnsi="仿宋" w:eastAsia="仿宋" w:cs="仿宋"/>
          <w:sz w:val="32"/>
          <w:szCs w:val="32"/>
        </w:rPr>
        <w:t>万元，执行率</w:t>
      </w:r>
      <w:r>
        <w:rPr>
          <w:rFonts w:ascii="仿宋" w:hAnsi="仿宋" w:eastAsia="仿宋" w:cs="仿宋"/>
          <w:sz w:val="32"/>
          <w:szCs w:val="32"/>
        </w:rPr>
        <w:t>72.79</w:t>
      </w:r>
      <w:r>
        <w:rPr>
          <w:rFonts w:hint="eastAsia" w:ascii="仿宋" w:hAnsi="仿宋" w:eastAsia="仿宋" w:cs="仿宋"/>
          <w:sz w:val="32"/>
          <w:szCs w:val="32"/>
        </w:rPr>
        <w:t>%。2022年直达资金项目支出绩效监控涉及单位15个，项目数34个，预算金额</w:t>
      </w:r>
      <w:r>
        <w:rPr>
          <w:rFonts w:ascii="仿宋" w:hAnsi="仿宋" w:eastAsia="仿宋" w:cs="仿宋"/>
          <w:sz w:val="32"/>
          <w:szCs w:val="32"/>
        </w:rPr>
        <w:t>90,857.95</w:t>
      </w:r>
      <w:r>
        <w:rPr>
          <w:rFonts w:hint="eastAsia" w:ascii="仿宋" w:hAnsi="仿宋" w:eastAsia="仿宋" w:cs="仿宋"/>
          <w:sz w:val="32"/>
          <w:szCs w:val="32"/>
        </w:rPr>
        <w:t>万元，执行资金数</w:t>
      </w:r>
      <w:r>
        <w:rPr>
          <w:rFonts w:ascii="仿宋" w:hAnsi="仿宋" w:eastAsia="仿宋" w:cs="仿宋"/>
          <w:sz w:val="32"/>
          <w:szCs w:val="32"/>
        </w:rPr>
        <w:t>54234.76</w:t>
      </w:r>
      <w:r>
        <w:rPr>
          <w:rFonts w:hint="eastAsia" w:ascii="仿宋" w:hAnsi="仿宋" w:eastAsia="仿宋" w:cs="仿宋"/>
          <w:sz w:val="32"/>
          <w:szCs w:val="32"/>
        </w:rPr>
        <w:t>万元，执行率</w:t>
      </w:r>
      <w:r>
        <w:rPr>
          <w:rFonts w:ascii="仿宋" w:hAnsi="仿宋" w:eastAsia="仿宋" w:cs="仿宋"/>
          <w:sz w:val="32"/>
          <w:szCs w:val="32"/>
        </w:rPr>
        <w:t>59.69%</w:t>
      </w:r>
      <w:r>
        <w:rPr>
          <w:rFonts w:hint="eastAsia" w:ascii="仿宋" w:hAnsi="仿宋" w:eastAsia="仿宋" w:cs="仿宋"/>
          <w:sz w:val="32"/>
          <w:szCs w:val="32"/>
        </w:rPr>
        <w:t>。</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sz w:val="32"/>
          <w:szCs w:val="32"/>
        </w:rPr>
      </w:pPr>
      <w:r>
        <w:rPr>
          <w:rFonts w:hint="eastAsia" w:ascii="仿宋" w:hAnsi="仿宋" w:eastAsia="仿宋" w:cs="仿宋"/>
          <w:sz w:val="32"/>
          <w:szCs w:val="32"/>
        </w:rPr>
        <w:t>3、2022年扶贫资金项目支出绩效监控涉及单位17个，项目数42个，乡村振兴衔接资金</w:t>
      </w:r>
      <w:r>
        <w:rPr>
          <w:rFonts w:ascii="仿宋" w:hAnsi="仿宋" w:eastAsia="仿宋" w:cs="仿宋"/>
          <w:sz w:val="32"/>
          <w:szCs w:val="32"/>
        </w:rPr>
        <w:t>50,332.51万元</w:t>
      </w:r>
      <w:r>
        <w:rPr>
          <w:rFonts w:hint="eastAsia" w:ascii="仿宋" w:hAnsi="仿宋" w:eastAsia="仿宋" w:cs="仿宋"/>
          <w:sz w:val="32"/>
          <w:szCs w:val="32"/>
        </w:rPr>
        <w:t>，执行资金数</w:t>
      </w:r>
      <w:r>
        <w:rPr>
          <w:rFonts w:ascii="仿宋" w:hAnsi="仿宋" w:eastAsia="仿宋" w:cs="仿宋"/>
          <w:sz w:val="32"/>
          <w:szCs w:val="32"/>
        </w:rPr>
        <w:t>21,607.30</w:t>
      </w:r>
      <w:r>
        <w:rPr>
          <w:rFonts w:hint="eastAsia" w:ascii="仿宋" w:hAnsi="仿宋" w:eastAsia="仿宋" w:cs="仿宋"/>
          <w:sz w:val="32"/>
          <w:szCs w:val="32"/>
        </w:rPr>
        <w:t>万元，执行率42.93%。</w:t>
      </w:r>
    </w:p>
    <w:p>
      <w:pPr>
        <w:pBdr>
          <w:bottom w:val="single" w:color="FFFFFF" w:sz="4" w:space="31"/>
        </w:pBdr>
        <w:tabs>
          <w:tab w:val="left" w:pos="640"/>
        </w:tabs>
        <w:snapToGrid w:val="0"/>
        <w:spacing w:line="560" w:lineRule="exact"/>
        <w:ind w:firstLine="640" w:firstLineChars="200"/>
        <w:textAlignment w:val="top"/>
        <w:rPr>
          <w:rFonts w:ascii="黑体" w:hAnsi="黑体" w:eastAsia="黑体" w:cs="仿宋"/>
          <w:bCs/>
          <w:sz w:val="32"/>
          <w:szCs w:val="32"/>
        </w:rPr>
      </w:pPr>
      <w:r>
        <w:rPr>
          <w:rFonts w:hint="eastAsia" w:ascii="黑体" w:hAnsi="黑体" w:eastAsia="黑体" w:cs="仿宋"/>
          <w:bCs/>
          <w:sz w:val="32"/>
          <w:szCs w:val="32"/>
        </w:rPr>
        <w:t>三、2022年部门整体支出6月绩效监控完成情况</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我县共有部门整体绩效目标187个，主要包括人员经费项目、公用经费项目等项目，预算安排资金</w:t>
      </w:r>
      <w:r>
        <w:rPr>
          <w:rFonts w:ascii="仿宋" w:hAnsi="仿宋" w:eastAsia="仿宋" w:cs="仿宋"/>
          <w:kern w:val="0"/>
          <w:sz w:val="32"/>
          <w:szCs w:val="32"/>
          <w:lang w:bidi="en-US"/>
        </w:rPr>
        <w:t>289,716.12万</w:t>
      </w:r>
      <w:r>
        <w:rPr>
          <w:rFonts w:hint="eastAsia" w:ascii="仿宋" w:hAnsi="仿宋" w:eastAsia="仿宋" w:cs="仿宋"/>
          <w:kern w:val="0"/>
          <w:sz w:val="32"/>
          <w:szCs w:val="32"/>
          <w:lang w:bidi="en-US"/>
        </w:rPr>
        <w:t>元，预算执行数</w:t>
      </w:r>
      <w:r>
        <w:rPr>
          <w:rFonts w:ascii="仿宋" w:hAnsi="仿宋" w:eastAsia="仿宋" w:cs="仿宋"/>
          <w:kern w:val="0"/>
          <w:sz w:val="32"/>
          <w:szCs w:val="32"/>
          <w:lang w:bidi="en-US"/>
        </w:rPr>
        <w:t>122,072.15万元</w:t>
      </w:r>
      <w:r>
        <w:rPr>
          <w:rFonts w:hint="eastAsia" w:ascii="仿宋" w:hAnsi="仿宋" w:eastAsia="仿宋" w:cs="仿宋"/>
          <w:kern w:val="0"/>
          <w:sz w:val="32"/>
          <w:szCs w:val="32"/>
          <w:lang w:bidi="en-US"/>
        </w:rPr>
        <w:t>，预算执行率</w:t>
      </w:r>
      <w:r>
        <w:rPr>
          <w:rFonts w:ascii="仿宋" w:hAnsi="仿宋" w:eastAsia="仿宋" w:cs="仿宋"/>
          <w:kern w:val="0"/>
          <w:sz w:val="32"/>
          <w:szCs w:val="32"/>
          <w:lang w:bidi="en-US"/>
        </w:rPr>
        <w:t>42.16</w:t>
      </w:r>
      <w:r>
        <w:rPr>
          <w:rFonts w:hint="eastAsia" w:ascii="仿宋" w:hAnsi="仿宋" w:eastAsia="仿宋" w:cs="仿宋"/>
          <w:kern w:val="0"/>
          <w:sz w:val="32"/>
          <w:szCs w:val="32"/>
          <w:lang w:bidi="en-US"/>
        </w:rPr>
        <w:t>%；其中：预算执行率在50%及以上：共7个单位；预算执行率在40%-50%之间共32个单位；预算执行率在40%以下：共148个单位。</w:t>
      </w:r>
    </w:p>
    <w:p>
      <w:pPr>
        <w:pBdr>
          <w:bottom w:val="single" w:color="FFFFFF" w:sz="4" w:space="31"/>
        </w:pBdr>
        <w:tabs>
          <w:tab w:val="left" w:pos="640"/>
        </w:tabs>
        <w:snapToGrid w:val="0"/>
        <w:spacing w:line="560" w:lineRule="exact"/>
        <w:ind w:firstLine="640" w:firstLineChars="200"/>
        <w:textAlignment w:val="top"/>
        <w:rPr>
          <w:rFonts w:ascii="黑体" w:hAnsi="黑体" w:eastAsia="黑体" w:cs="仿宋"/>
          <w:bCs/>
          <w:sz w:val="32"/>
          <w:szCs w:val="32"/>
        </w:rPr>
      </w:pPr>
      <w:r>
        <w:rPr>
          <w:rFonts w:ascii="黑体" w:hAnsi="黑体" w:eastAsia="黑体" w:cs="仿宋"/>
          <w:bCs/>
          <w:sz w:val="32"/>
          <w:szCs w:val="32"/>
        </w:rPr>
        <w:t>四、</w:t>
      </w:r>
      <w:r>
        <w:rPr>
          <w:rFonts w:hint="eastAsia" w:ascii="黑体" w:hAnsi="黑体" w:eastAsia="黑体" w:cs="仿宋"/>
          <w:bCs/>
          <w:sz w:val="32"/>
          <w:szCs w:val="32"/>
        </w:rPr>
        <w:t>2022年部门整体绩效评价、项目支出绩效评价完成情况</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按照自治区财政厅工作安排，我县财政部门按照相关要求各部门预算单位开展部门整体绩效评价、项目支出绩效评价，同时选取20%项目进行部门项目绩效评价。目前已完成2022年度189个部门整体支出绩效评价（于田县人民法院、于田县检察院于2022年底安排县级系统内完成绩效工作）、558个项目支出绩效评价的审核工作（包含撤销指标项目）、按照20%的比例选取90个项目进行部门项目绩效评价；完成59个衔接资金项目支出绩效评价审核及上报工作；完成35个债券资金项目支出绩效评价审核工作及上报工作。</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按照“财政评价第十条财政评价对象应根据工作需要,要求优先选择贯彻落实党中央、国务院重大方针政策和决策部署的项目”</w:t>
      </w:r>
      <w:r>
        <w:rPr>
          <w:rFonts w:hint="eastAsia"/>
        </w:rPr>
        <w:t xml:space="preserve"> </w:t>
      </w:r>
      <w:r>
        <w:rPr>
          <w:rFonts w:hint="eastAsia" w:ascii="仿宋" w:hAnsi="仿宋" w:eastAsia="仿宋" w:cs="仿宋"/>
          <w:kern w:val="0"/>
          <w:sz w:val="32"/>
          <w:szCs w:val="32"/>
          <w:lang w:bidi="en-US"/>
        </w:rPr>
        <w:t>共选取10个项目开展重点绩效项目评价</w:t>
      </w:r>
      <w:r>
        <w:rPr>
          <w:rFonts w:ascii="仿宋" w:hAnsi="仿宋" w:eastAsia="仿宋" w:cs="仿宋"/>
          <w:kern w:val="0"/>
          <w:sz w:val="32"/>
          <w:szCs w:val="32"/>
          <w:lang w:bidi="en-US"/>
        </w:rPr>
        <w:t>。</w:t>
      </w:r>
    </w:p>
    <w:p>
      <w:pPr>
        <w:pBdr>
          <w:bottom w:val="single" w:color="FFFFFF" w:sz="4" w:space="31"/>
        </w:pBdr>
        <w:tabs>
          <w:tab w:val="left" w:pos="640"/>
        </w:tabs>
        <w:snapToGrid w:val="0"/>
        <w:spacing w:line="560" w:lineRule="exact"/>
        <w:ind w:firstLine="640" w:firstLineChars="200"/>
        <w:textAlignment w:val="top"/>
        <w:rPr>
          <w:rFonts w:ascii="黑体" w:hAnsi="黑体" w:eastAsia="黑体" w:cs="仿宋"/>
          <w:bCs/>
          <w:sz w:val="32"/>
          <w:szCs w:val="32"/>
        </w:rPr>
      </w:pPr>
      <w:r>
        <w:rPr>
          <w:rFonts w:hint="eastAsia" w:ascii="黑体" w:hAnsi="黑体" w:eastAsia="黑体" w:cs="仿宋"/>
          <w:bCs/>
          <w:sz w:val="32"/>
          <w:szCs w:val="32"/>
        </w:rPr>
        <w:t>五、存在问题</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（一）目标阶段的共性问题</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1.整体支出目标表的三级指标中未根据部门2022年工作计划设置该部门职能的数量指标、效益指标，未体现部门职能；</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2.同一指标内填报了多项指标或多条内容，未分开填列。</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3.指标填写不完整，部分项目缺少时效指标、成本指标或经济效益指标。</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4.二级指标未满足七项指标，三级指标未覆盖二级指标九项中的七项以上，三级指标与二级指标不匹配，三级指标量化率未达到70%。</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5.定量指标填报不合理，正向指标与反向指标填写不正确。例如成本指标是反向指标，根据指标性质成本指标符号应设置为“≤”。例如经济效益指标中收入是正向指标，符号应设置为“≥”。</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（二）监控阶段的共性问题</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1.</w:t>
      </w:r>
      <w:r>
        <w:rPr>
          <w:rFonts w:ascii="仿宋" w:hAnsi="仿宋" w:eastAsia="仿宋" w:cs="仿宋"/>
          <w:kern w:val="0"/>
          <w:sz w:val="32"/>
          <w:szCs w:val="32"/>
          <w:lang w:bidi="en-US"/>
        </w:rPr>
        <w:t>各预算单位对项目绩效目标及项目支出绩效监控工作的重要性认识不足</w:t>
      </w:r>
      <w:r>
        <w:rPr>
          <w:rFonts w:hint="eastAsia" w:ascii="仿宋" w:hAnsi="仿宋" w:eastAsia="仿宋" w:cs="仿宋"/>
          <w:kern w:val="0"/>
          <w:sz w:val="32"/>
          <w:szCs w:val="32"/>
          <w:lang w:bidi="en-US"/>
        </w:rPr>
        <w:t>，绩效系统使用不熟练，</w:t>
      </w:r>
      <w:r>
        <w:rPr>
          <w:rFonts w:ascii="仿宋" w:hAnsi="仿宋" w:eastAsia="仿宋" w:cs="仿宋"/>
          <w:kern w:val="0"/>
          <w:sz w:val="32"/>
          <w:szCs w:val="32"/>
          <w:lang w:bidi="en-US"/>
        </w:rPr>
        <w:t>存在相关绩效理论理解偏差</w:t>
      </w:r>
      <w:r>
        <w:rPr>
          <w:rFonts w:hint="eastAsia" w:ascii="仿宋" w:hAnsi="仿宋" w:eastAsia="仿宋" w:cs="仿宋"/>
          <w:kern w:val="0"/>
          <w:sz w:val="32"/>
          <w:szCs w:val="32"/>
          <w:lang w:bidi="en-US"/>
        </w:rPr>
        <w:t>，导致工作进度缓慢。</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2.本次部门整体支出绩效监控报告审核中发现预算执行率与指标总体完成率出现偏离，未分析原因及下一步措施或偏差原因过于简单，模式化，报告中存在的问题及分析中偏差情况分析未按照要求填写。</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3. 资金执行力度需进一步加强。绩效管理执行要求相关从业人员必须具备丰富的实践经验和专业技能，目前仍有一定的差距，缺少对绩效管理的广度和深度的学习。</w:t>
      </w:r>
    </w:p>
    <w:p>
      <w:pPr>
        <w:pBdr>
          <w:bottom w:val="single" w:color="FFFFFF" w:sz="4" w:space="31"/>
        </w:pBdr>
        <w:tabs>
          <w:tab w:val="left" w:pos="640"/>
        </w:tabs>
        <w:snapToGrid w:val="0"/>
        <w:spacing w:line="560" w:lineRule="exact"/>
        <w:ind w:firstLine="640" w:firstLineChars="200"/>
        <w:textAlignment w:val="top"/>
        <w:rPr>
          <w:rFonts w:hint="eastAsia" w:ascii="仿宋" w:hAnsi="仿宋" w:eastAsia="仿宋" w:cs="仿宋"/>
          <w:kern w:val="0"/>
          <w:sz w:val="32"/>
          <w:szCs w:val="32"/>
          <w:lang w:bidi="en-US"/>
        </w:rPr>
      </w:pPr>
      <w:r>
        <w:rPr>
          <w:rFonts w:hint="eastAsia" w:ascii="仿宋" w:hAnsi="仿宋" w:eastAsia="仿宋" w:cs="仿宋"/>
          <w:kern w:val="0"/>
          <w:sz w:val="32"/>
          <w:szCs w:val="32"/>
          <w:lang w:bidi="en-US"/>
        </w:rPr>
        <w:t>4.各主管科室在对绩效执行进行监控时，须进一步加强协作及沟通。</w:t>
      </w:r>
    </w:p>
    <w:p>
      <w:pPr>
        <w:pBdr>
          <w:bottom w:val="single" w:color="FFFFFF" w:sz="4" w:space="31"/>
        </w:pBdr>
        <w:tabs>
          <w:tab w:val="left" w:pos="640"/>
        </w:tabs>
        <w:snapToGrid w:val="0"/>
        <w:spacing w:line="560" w:lineRule="exact"/>
        <w:ind w:firstLine="640" w:firstLineChars="200"/>
        <w:textAlignment w:val="top"/>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w:t>
      </w:r>
      <w:r>
        <w:rPr>
          <w:rFonts w:hint="eastAsia" w:ascii="仿宋" w:hAnsi="仿宋" w:eastAsia="仿宋" w:cs="仿宋"/>
          <w:sz w:val="32"/>
          <w:szCs w:val="32"/>
          <w:lang w:val="en-US" w:eastAsia="zh-CN"/>
        </w:rPr>
        <w:t>自评</w:t>
      </w:r>
      <w:r>
        <w:rPr>
          <w:rFonts w:hint="eastAsia" w:ascii="仿宋" w:hAnsi="仿宋" w:eastAsia="仿宋" w:cs="仿宋"/>
          <w:sz w:val="32"/>
          <w:szCs w:val="32"/>
        </w:rPr>
        <w:t>阶段的共性问题</w:t>
      </w:r>
    </w:p>
    <w:p>
      <w:pPr>
        <w:pBdr>
          <w:bottom w:val="single" w:color="FFFFFF" w:sz="4" w:space="31"/>
        </w:pBdr>
        <w:tabs>
          <w:tab w:val="left" w:pos="640"/>
        </w:tabs>
        <w:snapToGrid w:val="0"/>
        <w:spacing w:line="560" w:lineRule="exact"/>
        <w:ind w:firstLine="640" w:firstLineChars="200"/>
        <w:textAlignment w:val="top"/>
        <w:rPr>
          <w:rFonts w:hint="eastAsia" w:ascii="仿宋" w:hAnsi="仿宋" w:eastAsia="仿宋" w:cs="仿宋"/>
          <w:kern w:val="0"/>
          <w:sz w:val="32"/>
          <w:szCs w:val="32"/>
          <w:lang w:bidi="en-US"/>
        </w:rPr>
      </w:pPr>
      <w:r>
        <w:rPr>
          <w:rFonts w:hint="eastAsia" w:ascii="仿宋" w:hAnsi="仿宋" w:eastAsia="仿宋" w:cs="仿宋"/>
          <w:sz w:val="32"/>
          <w:szCs w:val="32"/>
          <w:lang w:val="en-US" w:eastAsia="zh-CN"/>
        </w:rPr>
        <w:t>1.项目完成值填报不符合实际，按指标值填写，与实际不相符，与印证资料不符。</w:t>
      </w:r>
    </w:p>
    <w:p>
      <w:pPr>
        <w:pBdr>
          <w:bottom w:val="single" w:color="FFFFFF" w:sz="4" w:space="31"/>
        </w:pBdr>
        <w:tabs>
          <w:tab w:val="left" w:pos="640"/>
        </w:tabs>
        <w:snapToGrid w:val="0"/>
        <w:spacing w:line="560" w:lineRule="exact"/>
        <w:ind w:firstLine="640" w:firstLineChars="200"/>
        <w:textAlignment w:val="top"/>
        <w:rPr>
          <w:rFonts w:ascii="黑体" w:hAnsi="黑体" w:eastAsia="黑体" w:cs="仿宋"/>
          <w:bCs/>
          <w:sz w:val="32"/>
          <w:szCs w:val="32"/>
        </w:rPr>
      </w:pPr>
      <w:r>
        <w:rPr>
          <w:rFonts w:hint="eastAsia" w:ascii="黑体" w:hAnsi="黑体" w:eastAsia="黑体" w:cs="仿宋"/>
          <w:bCs/>
          <w:sz w:val="32"/>
          <w:szCs w:val="32"/>
        </w:rPr>
        <w:t>六、工作建议</w:t>
      </w:r>
    </w:p>
    <w:p>
      <w:pPr>
        <w:pBdr>
          <w:bottom w:val="single" w:color="FFFFFF" w:sz="4" w:space="31"/>
        </w:pBdr>
        <w:tabs>
          <w:tab w:val="left" w:pos="640"/>
        </w:tabs>
        <w:snapToGrid w:val="0"/>
        <w:spacing w:line="560" w:lineRule="exact"/>
        <w:ind w:firstLine="643" w:firstLineChars="200"/>
        <w:textAlignment w:val="top"/>
        <w:rPr>
          <w:rFonts w:ascii="仿宋" w:hAnsi="仿宋" w:eastAsia="仿宋" w:cs="仿宋"/>
          <w:kern w:val="0"/>
          <w:sz w:val="32"/>
          <w:szCs w:val="32"/>
          <w:lang w:bidi="en-US"/>
        </w:rPr>
      </w:pPr>
      <w:r>
        <w:rPr>
          <w:rFonts w:hint="eastAsia" w:ascii="Calibri" w:hAnsi="Calibri" w:eastAsia="仿宋_GB2312" w:cs="Arial"/>
          <w:b/>
          <w:sz w:val="32"/>
          <w:szCs w:val="24"/>
        </w:rPr>
        <w:t>一是着力开展事前绩效评估</w:t>
      </w:r>
      <w:r>
        <w:rPr>
          <w:rFonts w:hint="eastAsia" w:ascii="Calibri" w:hAnsi="Calibri" w:eastAsia="仿宋_GB2312" w:cs="Arial"/>
          <w:sz w:val="32"/>
          <w:szCs w:val="24"/>
        </w:rPr>
        <w:t>，</w:t>
      </w:r>
      <w:r>
        <w:rPr>
          <w:rFonts w:hint="eastAsia" w:ascii="仿宋" w:hAnsi="仿宋" w:eastAsia="仿宋" w:cs="仿宋"/>
          <w:kern w:val="0"/>
          <w:sz w:val="32"/>
          <w:szCs w:val="32"/>
          <w:lang w:bidi="en-US"/>
        </w:rPr>
        <w:t>科学论证立项的必要性、合理性、可行性以及可承受财力负担，避免政策重叠和资金重复安排，增强经济发展可持续性。建立重点项目事前绩效评估机制，由我县财政局会同第三方机构进行线上评审，将评审意见作为安排预算的重要参考。</w:t>
      </w:r>
    </w:p>
    <w:p>
      <w:pPr>
        <w:pBdr>
          <w:bottom w:val="single" w:color="FFFFFF" w:sz="4" w:space="31"/>
        </w:pBdr>
        <w:tabs>
          <w:tab w:val="left" w:pos="640"/>
        </w:tabs>
        <w:snapToGrid w:val="0"/>
        <w:spacing w:line="560" w:lineRule="exact"/>
        <w:ind w:firstLine="643" w:firstLineChars="200"/>
        <w:textAlignment w:val="top"/>
        <w:rPr>
          <w:rFonts w:ascii="黑体" w:hAnsi="黑体" w:eastAsia="黑体" w:cs="仿宋"/>
          <w:bCs/>
          <w:sz w:val="32"/>
          <w:szCs w:val="32"/>
        </w:rPr>
      </w:pPr>
      <w:r>
        <w:rPr>
          <w:rFonts w:hint="eastAsia" w:ascii="Calibri" w:hAnsi="Calibri" w:eastAsia="仿宋_GB2312" w:cs="Arial"/>
          <w:b/>
          <w:sz w:val="32"/>
          <w:szCs w:val="24"/>
        </w:rPr>
        <w:t>二是科学设定绩效目标，加强人员培训</w:t>
      </w:r>
      <w:r>
        <w:rPr>
          <w:rFonts w:hint="eastAsia" w:ascii="Calibri" w:hAnsi="Calibri" w:eastAsia="仿宋_GB2312" w:cs="Arial"/>
          <w:sz w:val="32"/>
          <w:szCs w:val="24"/>
        </w:rPr>
        <w:t>，</w:t>
      </w:r>
      <w:r>
        <w:rPr>
          <w:rFonts w:hint="eastAsia" w:ascii="仿宋" w:hAnsi="仿宋" w:eastAsia="仿宋" w:cs="仿宋"/>
          <w:kern w:val="0"/>
          <w:sz w:val="32"/>
          <w:szCs w:val="32"/>
          <w:lang w:bidi="en-US"/>
        </w:rPr>
        <w:t>举办绩效管理培训班，强化实际操作性。绩效目标设置注重立项必要性经济性，目标细化可量化，经过调查研究和科学论证，符合实际切实可行，做到任务数与预算资金量相匹配。要求各预算在申报预算时同步申报预算绩效目标，并依托新疆</w:t>
      </w:r>
      <w:r>
        <w:fldChar w:fldCharType="begin"/>
      </w:r>
      <w:r>
        <w:instrText xml:space="preserve"> HYPERLINK "http://10.44.125.37:8001/bappr/" \l "/fbce7e8172144a2cab32e14e7245d42f" </w:instrText>
      </w:r>
      <w:r>
        <w:fldChar w:fldCharType="separate"/>
      </w:r>
      <w:r>
        <w:rPr>
          <w:rFonts w:ascii="仿宋" w:hAnsi="仿宋" w:eastAsia="仿宋" w:cs="仿宋"/>
          <w:kern w:val="0"/>
          <w:sz w:val="32"/>
          <w:szCs w:val="32"/>
          <w:lang w:bidi="en-US"/>
        </w:rPr>
        <w:t>新疆维吾尔自治区财政绩效管理信息系统</w:t>
      </w:r>
      <w:r>
        <w:rPr>
          <w:rFonts w:ascii="仿宋" w:hAnsi="仿宋" w:eastAsia="仿宋" w:cs="仿宋"/>
          <w:kern w:val="0"/>
          <w:sz w:val="32"/>
          <w:szCs w:val="32"/>
          <w:lang w:bidi="en-US"/>
        </w:rPr>
        <w:fldChar w:fldCharType="end"/>
      </w:r>
      <w:r>
        <w:rPr>
          <w:rFonts w:hint="eastAsia" w:ascii="仿宋" w:hAnsi="仿宋" w:eastAsia="仿宋" w:cs="仿宋"/>
          <w:kern w:val="0"/>
          <w:sz w:val="32"/>
          <w:szCs w:val="32"/>
          <w:lang w:bidi="en-US"/>
        </w:rPr>
        <w:t>查找绩效目标是否存在字段缺失、内容不规范等问题，实现对县级187个一级预算单位的项目支出绩效目标的全覆盖审核，促进预算绩效目标设置更科学准确。</w:t>
      </w:r>
    </w:p>
    <w:p>
      <w:pPr>
        <w:pBdr>
          <w:bottom w:val="single" w:color="FFFFFF" w:sz="4" w:space="31"/>
        </w:pBdr>
        <w:tabs>
          <w:tab w:val="left" w:pos="640"/>
        </w:tabs>
        <w:snapToGrid w:val="0"/>
        <w:spacing w:line="560" w:lineRule="exact"/>
        <w:ind w:firstLine="643" w:firstLineChars="200"/>
        <w:textAlignment w:val="top"/>
        <w:rPr>
          <w:rFonts w:ascii="黑体" w:hAnsi="黑体" w:eastAsia="黑体" w:cs="仿宋"/>
          <w:bCs/>
          <w:sz w:val="32"/>
          <w:szCs w:val="32"/>
        </w:rPr>
      </w:pPr>
      <w:r>
        <w:rPr>
          <w:rFonts w:hint="eastAsia" w:ascii="Calibri" w:hAnsi="Calibri" w:eastAsia="仿宋_GB2312" w:cs="Arial"/>
          <w:b/>
          <w:sz w:val="32"/>
          <w:szCs w:val="24"/>
        </w:rPr>
        <w:t>三是着力绩效运行监控，强化事中绩效管理全覆盖。</w:t>
      </w:r>
      <w:r>
        <w:rPr>
          <w:rFonts w:hint="eastAsia" w:ascii="仿宋" w:hAnsi="仿宋" w:eastAsia="仿宋" w:cs="仿宋"/>
          <w:kern w:val="0"/>
          <w:sz w:val="32"/>
          <w:szCs w:val="32"/>
          <w:lang w:bidi="en-US"/>
        </w:rPr>
        <w:t>按照自治区及地区的监控工作安排，开展项目监控及部门整体监控工作，严把运行监控关，按照“谁支出、谁负责”的原则，加强对绩效目标实现程度和预算执行进度过程的管控，如发现绩效目标存在偏差、预算执行进度慢的项目，及时督促整改，提高预算资金执行率。严把前置约束关，将绩效目标作为预算安排的前置条件，对不具备实施条件或支出条件的项目不予安排预算，对绩效目标不实的项目予以核减预算，注重审核绩效目标与资金安排的匹配性，促使部门按照绩效目标加强资金使用管理。</w:t>
      </w:r>
    </w:p>
    <w:p>
      <w:pPr>
        <w:pBdr>
          <w:bottom w:val="single" w:color="FFFFFF" w:sz="4" w:space="31"/>
        </w:pBdr>
        <w:tabs>
          <w:tab w:val="left" w:pos="640"/>
        </w:tabs>
        <w:snapToGrid w:val="0"/>
        <w:spacing w:line="560" w:lineRule="exact"/>
        <w:ind w:firstLine="643" w:firstLineChars="200"/>
        <w:textAlignment w:val="top"/>
        <w:rPr>
          <w:rFonts w:ascii="仿宋" w:hAnsi="仿宋" w:eastAsia="仿宋" w:cs="仿宋"/>
          <w:kern w:val="0"/>
          <w:sz w:val="32"/>
          <w:szCs w:val="32"/>
          <w:lang w:bidi="en-US"/>
        </w:rPr>
      </w:pPr>
      <w:r>
        <w:rPr>
          <w:rFonts w:hint="eastAsia" w:ascii="Calibri" w:hAnsi="Calibri" w:eastAsia="仿宋_GB2312" w:cs="Arial"/>
          <w:b/>
          <w:sz w:val="32"/>
          <w:szCs w:val="24"/>
        </w:rPr>
        <w:t>四是组织开展部门预算绩效自评</w:t>
      </w:r>
      <w:r>
        <w:rPr>
          <w:rFonts w:hint="eastAsia" w:ascii="Calibri" w:hAnsi="Calibri" w:eastAsia="仿宋_GB2312" w:cs="Arial"/>
          <w:sz w:val="32"/>
          <w:szCs w:val="24"/>
        </w:rPr>
        <w:t>，</w:t>
      </w:r>
      <w:r>
        <w:rPr>
          <w:rFonts w:hint="eastAsia" w:ascii="仿宋" w:hAnsi="仿宋" w:eastAsia="仿宋" w:cs="仿宋"/>
          <w:kern w:val="0"/>
          <w:sz w:val="32"/>
          <w:szCs w:val="32"/>
          <w:lang w:bidi="en-US"/>
        </w:rPr>
        <w:t>审核部门单位自评质量，对自评质量差的项目列入重点绩效评价对象；对重点项目实施重点绩效评价，加强第三方中介机构重点绩效评价管理工作，聘请有实力有经验业务精的第三方中介机构开展重点绩效评价工作。强化绩效评价结果应用，及时将绩效评价结果反馈被评价单位，跟踪整改落实情况，形成“问题反馈、落实整改、提升绩效”的良性循环；将部门单位绩效目标实现情况作为下一年度预算编制重要参考。</w:t>
      </w:r>
    </w:p>
    <w:p>
      <w:pPr>
        <w:pBdr>
          <w:bottom w:val="single" w:color="FFFFFF" w:sz="4" w:space="31"/>
        </w:pBdr>
        <w:tabs>
          <w:tab w:val="left" w:pos="640"/>
        </w:tabs>
        <w:snapToGrid w:val="0"/>
        <w:spacing w:line="560" w:lineRule="exact"/>
        <w:ind w:firstLine="640" w:firstLineChars="200"/>
        <w:textAlignment w:val="top"/>
        <w:rPr>
          <w:rFonts w:ascii="黑体" w:hAnsi="黑体" w:eastAsia="黑体" w:cs="仿宋"/>
          <w:bCs/>
          <w:sz w:val="32"/>
          <w:szCs w:val="32"/>
        </w:rPr>
      </w:pPr>
      <w:r>
        <w:rPr>
          <w:rFonts w:hint="eastAsia" w:ascii="黑体" w:hAnsi="黑体" w:eastAsia="黑体" w:cs="仿宋"/>
          <w:bCs/>
          <w:sz w:val="32"/>
          <w:szCs w:val="32"/>
        </w:rPr>
        <w:t>七、全面实施预算绩效管理监控阶段的改进措施及意见</w:t>
      </w:r>
    </w:p>
    <w:p>
      <w:pPr>
        <w:pBdr>
          <w:bottom w:val="single" w:color="FFFFFF" w:sz="4" w:space="31"/>
        </w:pBdr>
        <w:tabs>
          <w:tab w:val="left" w:pos="640"/>
        </w:tabs>
        <w:snapToGrid w:val="0"/>
        <w:spacing w:line="560" w:lineRule="exact"/>
        <w:ind w:firstLine="643" w:firstLineChars="200"/>
        <w:textAlignment w:val="top"/>
        <w:rPr>
          <w:rFonts w:ascii="仿宋" w:hAnsi="仿宋" w:eastAsia="仿宋" w:cs="仿宋"/>
          <w:kern w:val="0"/>
          <w:sz w:val="32"/>
          <w:szCs w:val="32"/>
          <w:lang w:bidi="en-US"/>
        </w:rPr>
      </w:pPr>
      <w:r>
        <w:rPr>
          <w:rFonts w:hint="eastAsia" w:ascii="仿宋_GB2312" w:hAnsi="Times New Roman" w:eastAsia="仿宋_GB2312" w:cs="Arial"/>
          <w:b/>
          <w:sz w:val="32"/>
          <w:szCs w:val="32"/>
        </w:rPr>
        <w:t>一是规范监控流程。</w:t>
      </w:r>
      <w:r>
        <w:rPr>
          <w:rFonts w:hint="eastAsia" w:ascii="仿宋" w:hAnsi="仿宋" w:eastAsia="仿宋" w:cs="仿宋"/>
          <w:kern w:val="0"/>
          <w:sz w:val="32"/>
          <w:szCs w:val="32"/>
          <w:lang w:bidi="en-US"/>
        </w:rPr>
        <w:t>按照自治区及和田地区监控工作报送要求，通过自治区财政绩效管理信息系统，我县要求预算单位以绩效目标各项指标执行情况为重点，包括资金支出进度、项目实施情况等，线上填报绩效监控信息，及时完成绩效系统上下贯通。</w:t>
      </w:r>
    </w:p>
    <w:p>
      <w:pPr>
        <w:pBdr>
          <w:bottom w:val="single" w:color="FFFFFF" w:sz="4" w:space="31"/>
        </w:pBdr>
        <w:tabs>
          <w:tab w:val="left" w:pos="640"/>
        </w:tabs>
        <w:snapToGrid w:val="0"/>
        <w:spacing w:line="560" w:lineRule="exact"/>
        <w:ind w:firstLine="640" w:firstLineChars="200"/>
        <w:textAlignment w:val="top"/>
        <w:rPr>
          <w:rFonts w:ascii="仿宋" w:hAnsi="仿宋" w:eastAsia="仿宋" w:cs="仿宋"/>
          <w:kern w:val="0"/>
          <w:sz w:val="32"/>
          <w:szCs w:val="32"/>
          <w:lang w:bidi="en-US"/>
        </w:rPr>
      </w:pPr>
      <w:r>
        <w:rPr>
          <w:rFonts w:hint="eastAsia" w:ascii="仿宋" w:hAnsi="仿宋" w:eastAsia="仿宋" w:cs="仿宋"/>
          <w:kern w:val="0"/>
          <w:sz w:val="32"/>
          <w:szCs w:val="32"/>
          <w:lang w:bidi="en-US"/>
        </w:rPr>
        <w:t>对实现目标存在困难或存在问题的项目，从预算执行进度、项目管理、执行率及总体完成产生重大偏差等方面提出改进建议，保证项目按预期目标实施。加强我县各项目支出及部门整体支出绩效运行监控，及时纠偏纠错，防止县财政资金沉淀闲置。</w:t>
      </w:r>
    </w:p>
    <w:p>
      <w:pPr>
        <w:pBdr>
          <w:bottom w:val="single" w:color="FFFFFF" w:sz="4" w:space="31"/>
        </w:pBdr>
        <w:tabs>
          <w:tab w:val="left" w:pos="640"/>
        </w:tabs>
        <w:snapToGrid w:val="0"/>
        <w:spacing w:line="560" w:lineRule="exact"/>
        <w:ind w:firstLine="643" w:firstLineChars="200"/>
        <w:textAlignment w:val="top"/>
        <w:rPr>
          <w:rFonts w:ascii="黑体" w:hAnsi="黑体" w:eastAsia="黑体" w:cs="仿宋"/>
          <w:bCs/>
          <w:sz w:val="32"/>
          <w:szCs w:val="32"/>
        </w:rPr>
      </w:pPr>
      <w:r>
        <w:rPr>
          <w:rFonts w:hint="eastAsia" w:ascii="仿宋_GB2312" w:hAnsi="Times New Roman" w:eastAsia="仿宋_GB2312" w:cs="Arial"/>
          <w:b/>
          <w:sz w:val="32"/>
          <w:szCs w:val="32"/>
        </w:rPr>
        <w:t>二是强化监控结果应用。</w:t>
      </w:r>
      <w:r>
        <w:rPr>
          <w:rFonts w:hint="eastAsia" w:ascii="仿宋" w:hAnsi="仿宋" w:eastAsia="仿宋" w:cs="仿宋"/>
          <w:kern w:val="0"/>
          <w:sz w:val="32"/>
          <w:szCs w:val="32"/>
          <w:lang w:bidi="en-US"/>
        </w:rPr>
        <w:t>督促各单位完成全部预算项目的绩效运行监控工作，并进行汇总分析，强化结果应用。根据监控结果，对存在自主监控质量不高、预算执行率与总体完成率偏差超过20%的项目，我县财政局及时反馈至各单位予以整改；对预算执行进度缓慢的项目，按程序调减预算资金。</w:t>
      </w:r>
    </w:p>
    <w:p>
      <w:pPr>
        <w:pBdr>
          <w:bottom w:val="single" w:color="FFFFFF" w:sz="4" w:space="31"/>
        </w:pBdr>
        <w:tabs>
          <w:tab w:val="left" w:pos="640"/>
        </w:tabs>
        <w:snapToGrid w:val="0"/>
        <w:spacing w:line="560" w:lineRule="exact"/>
        <w:ind w:firstLine="643" w:firstLineChars="200"/>
        <w:textAlignment w:val="top"/>
        <w:rPr>
          <w:rFonts w:hint="eastAsia" w:ascii="仿宋" w:hAnsi="仿宋" w:eastAsia="仿宋" w:cs="仿宋"/>
          <w:kern w:val="0"/>
          <w:sz w:val="32"/>
          <w:szCs w:val="32"/>
          <w:lang w:bidi="en-US"/>
        </w:rPr>
      </w:pPr>
      <w:r>
        <w:rPr>
          <w:rFonts w:hint="eastAsia" w:ascii="仿宋_GB2312" w:hAnsi="Times New Roman" w:eastAsia="仿宋_GB2312" w:cs="Arial"/>
          <w:b/>
          <w:sz w:val="32"/>
          <w:szCs w:val="32"/>
        </w:rPr>
        <w:t>二是加强业务培训，提高绩效监控水准。</w:t>
      </w:r>
      <w:r>
        <w:rPr>
          <w:rFonts w:hint="eastAsia" w:ascii="仿宋" w:hAnsi="仿宋" w:eastAsia="仿宋" w:cs="仿宋"/>
          <w:kern w:val="0"/>
          <w:sz w:val="32"/>
          <w:szCs w:val="32"/>
          <w:lang w:bidi="en-US"/>
        </w:rPr>
        <w:t>绩效监控是一项理论与实践高度契合的业务性工作，在开展绩效监控过程中，我单位通过加强业务培训力度，增进各级部门之间的业务交流，取长补短增长业务人员知识和见识，提高我县财政绩效监控工作水平。</w:t>
      </w:r>
    </w:p>
    <w:p>
      <w:pPr>
        <w:pBdr>
          <w:bottom w:val="single" w:color="FFFFFF" w:sz="4" w:space="31"/>
        </w:pBdr>
        <w:tabs>
          <w:tab w:val="left" w:pos="640"/>
        </w:tabs>
        <w:snapToGrid w:val="0"/>
        <w:spacing w:line="560" w:lineRule="exact"/>
        <w:ind w:firstLine="640" w:firstLineChars="200"/>
        <w:textAlignment w:val="top"/>
        <w:rPr>
          <w:rFonts w:hint="eastAsia" w:ascii="仿宋" w:hAnsi="仿宋" w:eastAsia="仿宋" w:cs="仿宋"/>
          <w:kern w:val="0"/>
          <w:sz w:val="32"/>
          <w:szCs w:val="32"/>
          <w:lang w:bidi="en-US"/>
        </w:rPr>
      </w:pPr>
    </w:p>
    <w:p>
      <w:pPr>
        <w:pBdr>
          <w:bottom w:val="single" w:color="FFFFFF" w:sz="4" w:space="31"/>
        </w:pBdr>
        <w:tabs>
          <w:tab w:val="left" w:pos="640"/>
        </w:tabs>
        <w:snapToGrid w:val="0"/>
        <w:spacing w:line="560" w:lineRule="exact"/>
        <w:ind w:firstLine="640" w:firstLineChars="200"/>
        <w:textAlignment w:val="top"/>
        <w:rPr>
          <w:rFonts w:hint="eastAsia" w:ascii="仿宋" w:hAnsi="仿宋" w:eastAsia="仿宋" w:cs="仿宋"/>
          <w:kern w:val="0"/>
          <w:sz w:val="32"/>
          <w:szCs w:val="32"/>
          <w:lang w:bidi="en-US"/>
        </w:rPr>
      </w:pPr>
    </w:p>
    <w:p>
      <w:pPr>
        <w:pBdr>
          <w:bottom w:val="single" w:color="FFFFFF" w:sz="4" w:space="31"/>
        </w:pBdr>
        <w:tabs>
          <w:tab w:val="left" w:pos="640"/>
        </w:tabs>
        <w:snapToGrid w:val="0"/>
        <w:spacing w:line="560" w:lineRule="exact"/>
        <w:ind w:firstLine="640" w:firstLineChars="200"/>
        <w:textAlignment w:val="top"/>
        <w:rPr>
          <w:rFonts w:hint="eastAsia" w:ascii="仿宋" w:hAnsi="仿宋" w:eastAsia="仿宋" w:cs="仿宋"/>
          <w:kern w:val="0"/>
          <w:sz w:val="32"/>
          <w:szCs w:val="32"/>
          <w:lang w:bidi="en-US"/>
        </w:rPr>
      </w:pPr>
    </w:p>
    <w:p>
      <w:pPr>
        <w:pBdr>
          <w:bottom w:val="single" w:color="FFFFFF" w:sz="4" w:space="31"/>
        </w:pBdr>
        <w:tabs>
          <w:tab w:val="left" w:pos="640"/>
        </w:tabs>
        <w:snapToGrid w:val="0"/>
        <w:spacing w:line="560" w:lineRule="exact"/>
        <w:ind w:firstLine="640" w:firstLineChars="200"/>
        <w:jc w:val="right"/>
        <w:textAlignment w:val="top"/>
        <w:rPr>
          <w:rFonts w:ascii="仿宋" w:hAnsi="仿宋" w:eastAsia="仿宋" w:cs="仿宋"/>
          <w:sz w:val="32"/>
          <w:szCs w:val="32"/>
        </w:rPr>
      </w:pPr>
      <w:r>
        <w:rPr>
          <w:rFonts w:hint="eastAsia" w:ascii="仿宋" w:hAnsi="仿宋" w:eastAsia="仿宋" w:cs="仿宋"/>
          <w:sz w:val="32"/>
          <w:szCs w:val="32"/>
        </w:rPr>
        <w:t>于田县财政局</w:t>
      </w:r>
    </w:p>
    <w:p>
      <w:pPr>
        <w:pBdr>
          <w:bottom w:val="single" w:color="FFFFFF" w:sz="4" w:space="31"/>
        </w:pBdr>
        <w:tabs>
          <w:tab w:val="left" w:pos="640"/>
        </w:tabs>
        <w:snapToGrid w:val="0"/>
        <w:spacing w:line="560" w:lineRule="exact"/>
        <w:ind w:firstLine="640" w:firstLineChars="200"/>
        <w:jc w:val="right"/>
        <w:textAlignment w:val="top"/>
        <w:rPr>
          <w:rFonts w:ascii="仿宋" w:hAnsi="仿宋" w:eastAsia="仿宋" w:cs="仿宋"/>
          <w:sz w:val="32"/>
          <w:szCs w:val="32"/>
        </w:rPr>
      </w:pPr>
      <w:r>
        <w:rPr>
          <w:rFonts w:ascii="仿宋" w:hAnsi="仿宋" w:eastAsia="仿宋" w:cs="仿宋"/>
          <w:sz w:val="32"/>
          <w:szCs w:val="32"/>
        </w:rPr>
        <w:t>202</w:t>
      </w:r>
      <w:r>
        <w:rPr>
          <w:rFonts w:hint="eastAsia" w:ascii="仿宋" w:hAnsi="仿宋" w:eastAsia="仿宋" w:cs="仿宋"/>
          <w:sz w:val="32"/>
          <w:szCs w:val="32"/>
        </w:rPr>
        <w:t>3</w:t>
      </w:r>
      <w:r>
        <w:rPr>
          <w:rFonts w:ascii="仿宋" w:hAnsi="仿宋" w:eastAsia="仿宋" w:cs="仿宋"/>
          <w:sz w:val="32"/>
          <w:szCs w:val="32"/>
        </w:rPr>
        <w:t>年</w:t>
      </w:r>
      <w:r>
        <w:rPr>
          <w:rFonts w:hint="eastAsia" w:ascii="仿宋" w:hAnsi="仿宋" w:eastAsia="仿宋" w:cs="仿宋"/>
          <w:sz w:val="32"/>
          <w:szCs w:val="32"/>
        </w:rPr>
        <w:t>05</w:t>
      </w:r>
      <w:r>
        <w:rPr>
          <w:rFonts w:ascii="仿宋" w:hAnsi="仿宋" w:eastAsia="仿宋" w:cs="仿宋"/>
          <w:sz w:val="32"/>
          <w:szCs w:val="32"/>
        </w:rPr>
        <w:t>月</w:t>
      </w:r>
      <w:r>
        <w:rPr>
          <w:rFonts w:hint="eastAsia" w:ascii="仿宋" w:hAnsi="仿宋" w:eastAsia="仿宋" w:cs="仿宋"/>
          <w:sz w:val="32"/>
          <w:szCs w:val="32"/>
        </w:rPr>
        <w:t>19</w:t>
      </w:r>
      <w:r>
        <w:rPr>
          <w:rFonts w:ascii="仿宋" w:hAnsi="仿宋" w:eastAsia="仿宋" w:cs="仿宋"/>
          <w:sz w:val="32"/>
          <w:szCs w:val="32"/>
        </w:rPr>
        <w:t>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GExMTJjOWFmYjNiZTJjMWUwNDM2NWFmZTM5NmEifQ=="/>
  </w:docVars>
  <w:rsids>
    <w:rsidRoot w:val="0009203D"/>
    <w:rsid w:val="00006180"/>
    <w:rsid w:val="00035604"/>
    <w:rsid w:val="000747A0"/>
    <w:rsid w:val="000919A7"/>
    <w:rsid w:val="0009203D"/>
    <w:rsid w:val="00097B9D"/>
    <w:rsid w:val="000C3D3A"/>
    <w:rsid w:val="000D06F4"/>
    <w:rsid w:val="000D4D81"/>
    <w:rsid w:val="000E347A"/>
    <w:rsid w:val="0012018E"/>
    <w:rsid w:val="0012145B"/>
    <w:rsid w:val="0014402E"/>
    <w:rsid w:val="001455A7"/>
    <w:rsid w:val="00154D62"/>
    <w:rsid w:val="00157D29"/>
    <w:rsid w:val="0018305E"/>
    <w:rsid w:val="001A4698"/>
    <w:rsid w:val="001B17E6"/>
    <w:rsid w:val="001B6579"/>
    <w:rsid w:val="001D18F4"/>
    <w:rsid w:val="001E2000"/>
    <w:rsid w:val="001E5ADC"/>
    <w:rsid w:val="00246894"/>
    <w:rsid w:val="00253E3F"/>
    <w:rsid w:val="00254A9C"/>
    <w:rsid w:val="00266810"/>
    <w:rsid w:val="0027254D"/>
    <w:rsid w:val="002913FD"/>
    <w:rsid w:val="002B3A1F"/>
    <w:rsid w:val="002D2339"/>
    <w:rsid w:val="002D4666"/>
    <w:rsid w:val="00310093"/>
    <w:rsid w:val="00315ABC"/>
    <w:rsid w:val="00343C89"/>
    <w:rsid w:val="00353F07"/>
    <w:rsid w:val="00357B9D"/>
    <w:rsid w:val="003917B5"/>
    <w:rsid w:val="003C20B0"/>
    <w:rsid w:val="003D79C9"/>
    <w:rsid w:val="003D7F64"/>
    <w:rsid w:val="003E6E4A"/>
    <w:rsid w:val="003F3865"/>
    <w:rsid w:val="003F6EE3"/>
    <w:rsid w:val="004131AE"/>
    <w:rsid w:val="00422CC8"/>
    <w:rsid w:val="00454F0E"/>
    <w:rsid w:val="004867BB"/>
    <w:rsid w:val="00492B8C"/>
    <w:rsid w:val="004A3362"/>
    <w:rsid w:val="004C080C"/>
    <w:rsid w:val="00527297"/>
    <w:rsid w:val="0053638D"/>
    <w:rsid w:val="0057406D"/>
    <w:rsid w:val="00575993"/>
    <w:rsid w:val="005946E5"/>
    <w:rsid w:val="005A24CE"/>
    <w:rsid w:val="005A5966"/>
    <w:rsid w:val="005A7EA9"/>
    <w:rsid w:val="005B5A0D"/>
    <w:rsid w:val="005E2264"/>
    <w:rsid w:val="005F6D78"/>
    <w:rsid w:val="00616F3A"/>
    <w:rsid w:val="006342FE"/>
    <w:rsid w:val="00640A41"/>
    <w:rsid w:val="006441C8"/>
    <w:rsid w:val="006445B4"/>
    <w:rsid w:val="00652191"/>
    <w:rsid w:val="0066165A"/>
    <w:rsid w:val="006621FC"/>
    <w:rsid w:val="00690CBE"/>
    <w:rsid w:val="00697366"/>
    <w:rsid w:val="006B31D7"/>
    <w:rsid w:val="006B4724"/>
    <w:rsid w:val="006C0229"/>
    <w:rsid w:val="006F26DF"/>
    <w:rsid w:val="006F46E0"/>
    <w:rsid w:val="006F7C31"/>
    <w:rsid w:val="0070366D"/>
    <w:rsid w:val="00721615"/>
    <w:rsid w:val="007232A2"/>
    <w:rsid w:val="00730A3A"/>
    <w:rsid w:val="0074210F"/>
    <w:rsid w:val="00743ABB"/>
    <w:rsid w:val="00746074"/>
    <w:rsid w:val="00767FE8"/>
    <w:rsid w:val="00780288"/>
    <w:rsid w:val="00795797"/>
    <w:rsid w:val="007B7E7D"/>
    <w:rsid w:val="007C3875"/>
    <w:rsid w:val="007D7EC9"/>
    <w:rsid w:val="007E796B"/>
    <w:rsid w:val="008059FC"/>
    <w:rsid w:val="008343D3"/>
    <w:rsid w:val="00835B01"/>
    <w:rsid w:val="00850DA6"/>
    <w:rsid w:val="0086484C"/>
    <w:rsid w:val="00874812"/>
    <w:rsid w:val="008A197A"/>
    <w:rsid w:val="008B23C4"/>
    <w:rsid w:val="008B656E"/>
    <w:rsid w:val="008D1B51"/>
    <w:rsid w:val="008E065B"/>
    <w:rsid w:val="00905492"/>
    <w:rsid w:val="00907EAD"/>
    <w:rsid w:val="009120E3"/>
    <w:rsid w:val="00934717"/>
    <w:rsid w:val="00940EA4"/>
    <w:rsid w:val="00944D7E"/>
    <w:rsid w:val="00947F94"/>
    <w:rsid w:val="0095781D"/>
    <w:rsid w:val="00961EA5"/>
    <w:rsid w:val="009940CC"/>
    <w:rsid w:val="009C3023"/>
    <w:rsid w:val="009E6E85"/>
    <w:rsid w:val="00A36098"/>
    <w:rsid w:val="00A66B1C"/>
    <w:rsid w:val="00AB56C8"/>
    <w:rsid w:val="00AC1AB5"/>
    <w:rsid w:val="00AC312D"/>
    <w:rsid w:val="00AD17E7"/>
    <w:rsid w:val="00AD6079"/>
    <w:rsid w:val="00AD7215"/>
    <w:rsid w:val="00AE0CF6"/>
    <w:rsid w:val="00B14E6A"/>
    <w:rsid w:val="00B24990"/>
    <w:rsid w:val="00B31AB6"/>
    <w:rsid w:val="00B4568B"/>
    <w:rsid w:val="00B50E2C"/>
    <w:rsid w:val="00B57B6D"/>
    <w:rsid w:val="00B679FD"/>
    <w:rsid w:val="00B866D9"/>
    <w:rsid w:val="00B91664"/>
    <w:rsid w:val="00B93AE0"/>
    <w:rsid w:val="00BB6979"/>
    <w:rsid w:val="00C065E9"/>
    <w:rsid w:val="00C06925"/>
    <w:rsid w:val="00C16EE0"/>
    <w:rsid w:val="00C20AF4"/>
    <w:rsid w:val="00C24578"/>
    <w:rsid w:val="00C60463"/>
    <w:rsid w:val="00C92B70"/>
    <w:rsid w:val="00CA45D4"/>
    <w:rsid w:val="00CB7A21"/>
    <w:rsid w:val="00CD6A61"/>
    <w:rsid w:val="00CE24FE"/>
    <w:rsid w:val="00CF024B"/>
    <w:rsid w:val="00D2067C"/>
    <w:rsid w:val="00D3411D"/>
    <w:rsid w:val="00D41AAA"/>
    <w:rsid w:val="00D47CF4"/>
    <w:rsid w:val="00D51290"/>
    <w:rsid w:val="00D532FA"/>
    <w:rsid w:val="00D85408"/>
    <w:rsid w:val="00DB5AEB"/>
    <w:rsid w:val="00DC014A"/>
    <w:rsid w:val="00DC4BFD"/>
    <w:rsid w:val="00DD1F17"/>
    <w:rsid w:val="00DE17B0"/>
    <w:rsid w:val="00DF25E7"/>
    <w:rsid w:val="00E00750"/>
    <w:rsid w:val="00E36AAB"/>
    <w:rsid w:val="00E47430"/>
    <w:rsid w:val="00E47CA0"/>
    <w:rsid w:val="00E50282"/>
    <w:rsid w:val="00E54976"/>
    <w:rsid w:val="00E80516"/>
    <w:rsid w:val="00E828A0"/>
    <w:rsid w:val="00EA0F15"/>
    <w:rsid w:val="00EE372E"/>
    <w:rsid w:val="00F10586"/>
    <w:rsid w:val="00F12AE6"/>
    <w:rsid w:val="00F3147F"/>
    <w:rsid w:val="00F72116"/>
    <w:rsid w:val="00FA76C7"/>
    <w:rsid w:val="00FE5D56"/>
    <w:rsid w:val="015D4194"/>
    <w:rsid w:val="37F87B44"/>
    <w:rsid w:val="462107E7"/>
    <w:rsid w:val="67AC2F2F"/>
    <w:rsid w:val="6DFC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2932</Words>
  <Characters>3198</Characters>
  <Lines>23</Lines>
  <Paragraphs>6</Paragraphs>
  <TotalTime>1</TotalTime>
  <ScaleCrop>false</ScaleCrop>
  <LinksUpToDate>false</LinksUpToDate>
  <CharactersWithSpaces>3202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2022-07-31T16:23:00Z</dcterms:created>
  <dc:creator>W W</dc:creator>
  <cp:lastModifiedBy>野草之</cp:lastModifiedBy>
  <cp:lastPrinted>2021-06-24T17:16:00Z</cp:lastPrinted>
  <dcterms:modified xsi:type="dcterms:W3CDTF">2024-04-20T07:55:57Z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D6A932B40C35416BA2796E136DDA420A_12</vt:lpwstr>
  </property>
</Properties>
</file>