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36"/>
          <w:szCs w:val="36"/>
        </w:rPr>
      </w:pPr>
    </w:p>
    <w:p>
      <w:pPr>
        <w:jc w:val="center"/>
        <w:rPr>
          <w:rFonts w:ascii="宋体" w:hAnsi="宋体" w:eastAsia="宋体" w:cs="Arial"/>
          <w:b/>
          <w:bCs/>
          <w:sz w:val="36"/>
          <w:szCs w:val="36"/>
        </w:rPr>
      </w:pPr>
    </w:p>
    <w:p>
      <w:pPr>
        <w:jc w:val="center"/>
        <w:rPr>
          <w:rFonts w:ascii="宋体" w:hAnsi="宋体" w:eastAsia="宋体" w:cs="Arial"/>
          <w:b/>
          <w:bCs/>
          <w:sz w:val="36"/>
          <w:szCs w:val="36"/>
        </w:rPr>
      </w:pP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2019年于田县农区统一灭鼠技术项目项目支出绩效评价报告</w:t>
      </w: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tLeast"/>
        <w:jc w:val="center"/>
        <w:rPr>
          <w:rFonts w:ascii="宋体" w:hAnsi="宋体" w:eastAsia="宋体" w:cs="Arial"/>
          <w:b/>
          <w:bCs/>
          <w:sz w:val="36"/>
          <w:szCs w:val="36"/>
        </w:rPr>
      </w:pPr>
    </w:p>
    <w:p>
      <w:pPr>
        <w:spacing w:line="240" w:lineRule="auto"/>
        <w:jc w:val="center"/>
        <w:rPr>
          <w:rFonts w:ascii="宋体" w:hAnsi="宋体" w:eastAsia="宋体" w:cs="Arial"/>
          <w:b/>
          <w:bCs/>
          <w:sz w:val="36"/>
          <w:szCs w:val="36"/>
        </w:rPr>
      </w:pPr>
    </w:p>
    <w:p>
      <w:pPr>
        <w:spacing w:line="360" w:lineRule="auto"/>
        <w:ind w:firstLine="602"/>
        <w:rPr>
          <w:rFonts w:ascii="黑体" w:eastAsia="黑体"/>
          <w:b/>
          <w:color w:val="000000"/>
          <w:sz w:val="30"/>
          <w:szCs w:val="30"/>
        </w:rPr>
      </w:pPr>
      <w:r>
        <w:rPr>
          <w:rFonts w:hint="eastAsia" w:ascii="黑体" w:eastAsia="黑体"/>
          <w:b/>
          <w:color w:val="000000"/>
          <w:sz w:val="30"/>
          <w:szCs w:val="30"/>
        </w:rPr>
        <w:t>项目名称：2019年于田县农区统一灭鼠技术项目</w:t>
      </w:r>
    </w:p>
    <w:p>
      <w:pPr>
        <w:spacing w:line="360" w:lineRule="auto"/>
        <w:ind w:firstLine="602"/>
        <w:rPr>
          <w:rFonts w:ascii="黑体" w:eastAsia="黑体"/>
          <w:b/>
          <w:color w:val="000000"/>
          <w:sz w:val="30"/>
          <w:szCs w:val="30"/>
        </w:rPr>
      </w:pPr>
      <w:r>
        <w:rPr>
          <w:rFonts w:hint="eastAsia" w:ascii="黑体" w:eastAsia="黑体"/>
          <w:b/>
          <w:color w:val="000000"/>
          <w:sz w:val="30"/>
          <w:szCs w:val="30"/>
        </w:rPr>
        <w:t>实施单位：</w:t>
      </w:r>
      <w:r>
        <w:rPr>
          <w:rFonts w:ascii="黑体" w:eastAsia="黑体"/>
          <w:b/>
          <w:color w:val="000000"/>
          <w:sz w:val="30"/>
          <w:szCs w:val="30"/>
        </w:rPr>
        <w:t>于田县</w:t>
      </w:r>
      <w:r>
        <w:rPr>
          <w:rFonts w:hint="eastAsia" w:ascii="黑体" w:eastAsia="黑体"/>
          <w:b/>
          <w:color w:val="000000"/>
          <w:sz w:val="30"/>
          <w:szCs w:val="30"/>
        </w:rPr>
        <w:t>农业技术推广中心</w:t>
      </w:r>
    </w:p>
    <w:p>
      <w:pPr>
        <w:spacing w:line="360" w:lineRule="auto"/>
        <w:ind w:firstLine="602"/>
        <w:rPr>
          <w:rFonts w:ascii="黑体" w:eastAsia="黑体"/>
          <w:b/>
          <w:color w:val="000000"/>
          <w:sz w:val="30"/>
          <w:szCs w:val="30"/>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b/>
          <w:color w:val="000000"/>
          <w:sz w:val="30"/>
          <w:szCs w:val="30"/>
        </w:rPr>
        <w:t>主管部门：于田县农业农村局</w:t>
      </w:r>
    </w:p>
    <w:p>
      <w:pPr>
        <w:spacing w:line="240" w:lineRule="atLeast"/>
        <w:jc w:val="center"/>
        <w:rPr>
          <w:rFonts w:ascii="黑体" w:hAnsi="黑体" w:eastAsia="黑体" w:cs="黑体"/>
          <w:b/>
          <w:bCs/>
          <w:sz w:val="36"/>
          <w:szCs w:val="36"/>
        </w:rPr>
      </w:pPr>
      <w:r>
        <w:rPr>
          <w:rFonts w:hint="eastAsia" w:ascii="黑体" w:hAnsi="黑体" w:eastAsia="黑体" w:cs="黑体"/>
          <w:b/>
          <w:bCs/>
          <w:sz w:val="36"/>
          <w:szCs w:val="36"/>
        </w:rPr>
        <w:t>2019年于田县农区统一灭鼠技术项目项目支出绩效评价报告</w:t>
      </w:r>
    </w:p>
    <w:p>
      <w:pPr>
        <w:pStyle w:val="4"/>
        <w:ind w:firstLine="640"/>
      </w:pPr>
      <w:r>
        <w:rPr>
          <w:rFonts w:hint="eastAsia"/>
        </w:rPr>
        <w:t>一、基本情况</w:t>
      </w:r>
    </w:p>
    <w:p>
      <w:pPr>
        <w:pStyle w:val="5"/>
        <w:ind w:firstLine="643"/>
      </w:pPr>
      <w:r>
        <w:rPr>
          <w:rFonts w:hint="eastAsia"/>
        </w:rPr>
        <w:t>（一）项目概况</w:t>
      </w:r>
    </w:p>
    <w:p>
      <w:pPr>
        <w:pStyle w:val="6"/>
        <w:ind w:firstLine="562"/>
      </w:pPr>
      <w:r>
        <w:rPr>
          <w:rFonts w:hint="eastAsia"/>
        </w:rPr>
        <w:t>1.项目背景</w:t>
      </w:r>
    </w:p>
    <w:p>
      <w:pPr>
        <w:ind w:firstLine="560"/>
        <w:rPr>
          <w:rFonts w:ascii="仿宋" w:hAnsi="仿宋" w:eastAsia="仿宋" w:cs="仿宋"/>
          <w:sz w:val="24"/>
        </w:rPr>
      </w:pPr>
      <w:r>
        <w:rPr>
          <w:rFonts w:hint="eastAsia" w:ascii="仿宋_GB2312" w:hAnsi="仿宋_GB2312"/>
          <w:bCs/>
          <w:kern w:val="0"/>
          <w:szCs w:val="32"/>
        </w:rPr>
        <w:t>为做好 2019年于田县农区鼠情监测和统一灭鼠工作，准确掌握鼠害的发生区域、种类、优势种类、密度等情况，我于田县农业技术推广中心研究制定了《2019年于田县农区统一灭鼠技术实施方案》。结合本地鼠害发生实际，落实各项技术措施，扎实推进农区统一灭鼠工作。2019年于田县农区统一灭鼠项目资金共3万元，保证鼠害防控率达 60%以上，防治效果达到 80%以上，鼠害损失控制在5%以下；农田鼠密度控制在3%以下，农户鼠密度控制在1%以下，实现“保生态、护产业、健康宜居”的灭鼠目标。于田县建设统一灭鼠示范区分别在,先拜巴扎镇、科克亚乡每个乡镇5000户，共计10000户，调查点：先拜巴扎镇喀热吐润村小麦、巴西萨依巴格村皮芽孜、吐完萨依巴格村陆地蔬菜；科克亚乡艾格莱村陆地蔬菜、英吾塘村小麦、色日奥依村设施农业大棚。</w:t>
      </w:r>
    </w:p>
    <w:p>
      <w:pPr>
        <w:pStyle w:val="6"/>
        <w:ind w:firstLine="562"/>
      </w:pPr>
      <w:r>
        <w:rPr>
          <w:rFonts w:hint="eastAsia"/>
        </w:rPr>
        <w:t>2.项目实施主体</w:t>
      </w:r>
    </w:p>
    <w:p>
      <w:pPr>
        <w:pStyle w:val="6"/>
        <w:ind w:firstLine="562"/>
      </w:pPr>
      <w:r>
        <w:rPr>
          <w:rFonts w:hint="eastAsia"/>
        </w:rPr>
        <w:t>（1）主要职能</w:t>
      </w:r>
    </w:p>
    <w:p>
      <w:pPr>
        <w:spacing w:line="324" w:lineRule="atLeast"/>
        <w:ind w:firstLine="560"/>
        <w:rPr>
          <w:rFonts w:ascii="仿宋_GB2312" w:hAnsi="仿宋_GB2312"/>
          <w:bCs/>
          <w:kern w:val="0"/>
          <w:szCs w:val="32"/>
        </w:rPr>
      </w:pPr>
      <w:r>
        <w:rPr>
          <w:rFonts w:hint="eastAsia" w:ascii="仿宋_GB2312" w:hAnsi="仿宋_GB2312"/>
          <w:bCs/>
          <w:kern w:val="0"/>
          <w:szCs w:val="32"/>
        </w:rPr>
        <w:t>负责种植业、渔业、农业机械化新技术、新品种的引进、开发、试验示范、推广与技术服务；负责土壤肥料和农田用水监测；承担基本农田保护与耕地地力建设、肥料质量与残留监测、产品鉴定等工作。</w:t>
      </w:r>
    </w:p>
    <w:p>
      <w:pPr>
        <w:spacing w:line="324" w:lineRule="atLeast"/>
        <w:ind w:firstLine="560"/>
        <w:rPr>
          <w:rFonts w:ascii="仿宋_GB2312" w:hAnsi="仿宋_GB2312"/>
          <w:bCs/>
          <w:kern w:val="0"/>
          <w:szCs w:val="32"/>
        </w:rPr>
      </w:pPr>
      <w:r>
        <w:rPr>
          <w:rFonts w:hint="eastAsia" w:ascii="仿宋_GB2312" w:hAnsi="仿宋_GB2312"/>
          <w:bCs/>
          <w:kern w:val="0"/>
          <w:szCs w:val="32"/>
        </w:rPr>
        <w:t>1.宣传</w:t>
      </w:r>
      <w:r>
        <w:rPr>
          <w:rFonts w:hint="default" w:ascii="仿宋_GB2312" w:hAnsi="仿宋_GB2312"/>
          <w:bCs/>
          <w:kern w:val="0"/>
          <w:szCs w:val="32"/>
          <w:lang w:val="en"/>
        </w:rPr>
        <w:t>贯彻执行</w:t>
      </w:r>
      <w:r>
        <w:rPr>
          <w:rFonts w:hint="eastAsia" w:ascii="仿宋_GB2312" w:hAnsi="仿宋_GB2312"/>
          <w:bCs/>
          <w:kern w:val="0"/>
          <w:szCs w:val="32"/>
        </w:rPr>
        <w:t>《中华人民共和国农业技术推广法》，指导各乡镇（街道）农业技术推广服务工作。</w:t>
      </w:r>
    </w:p>
    <w:p>
      <w:pPr>
        <w:spacing w:line="324" w:lineRule="atLeast"/>
        <w:ind w:firstLine="560"/>
        <w:rPr>
          <w:rFonts w:ascii="仿宋_GB2312" w:hAnsi="仿宋_GB2312"/>
          <w:bCs/>
          <w:kern w:val="0"/>
          <w:szCs w:val="32"/>
        </w:rPr>
      </w:pPr>
      <w:r>
        <w:rPr>
          <w:rFonts w:hint="eastAsia" w:ascii="仿宋_GB2312" w:hAnsi="仿宋_GB2312"/>
          <w:bCs/>
          <w:kern w:val="0"/>
          <w:szCs w:val="32"/>
        </w:rPr>
        <w:t>2.负责全县粮油作物、经济作物、水产新技术、新品种的引进、试验示范、技术推广和技术服务工作。</w:t>
      </w:r>
    </w:p>
    <w:p>
      <w:pPr>
        <w:spacing w:line="324" w:lineRule="atLeast"/>
        <w:ind w:firstLine="560"/>
        <w:rPr>
          <w:rFonts w:ascii="仿宋_GB2312" w:hAnsi="仿宋_GB2312"/>
          <w:bCs/>
          <w:kern w:val="0"/>
          <w:szCs w:val="32"/>
        </w:rPr>
      </w:pPr>
      <w:r>
        <w:rPr>
          <w:rFonts w:hint="eastAsia" w:ascii="仿宋_GB2312" w:hAnsi="仿宋_GB2312"/>
          <w:bCs/>
          <w:kern w:val="0"/>
          <w:szCs w:val="32"/>
        </w:rPr>
        <w:t>3.负责土壤肥料和农田用水监测；参与基本农田保护与耕地地力建设；负责组织科学配方施肥技术推广；组织实施农业基础设施项目建设。</w:t>
      </w:r>
    </w:p>
    <w:p>
      <w:pPr>
        <w:spacing w:line="324" w:lineRule="atLeast"/>
        <w:ind w:firstLine="560"/>
        <w:rPr>
          <w:rFonts w:ascii="仿宋_GB2312" w:hAnsi="仿宋_GB2312"/>
          <w:bCs/>
          <w:kern w:val="0"/>
          <w:szCs w:val="32"/>
        </w:rPr>
      </w:pPr>
      <w:r>
        <w:rPr>
          <w:rFonts w:hint="eastAsia" w:ascii="仿宋_GB2312" w:hAnsi="仿宋_GB2312"/>
          <w:bCs/>
          <w:kern w:val="0"/>
          <w:szCs w:val="32"/>
        </w:rPr>
        <w:t>4.承担农作物种子质量管理，农作物新品种试验的相关工作，种子补贴与救灾备荒种子组织调剂，受理和组织农作物种子纠纷的田间鉴定的相关工作；具体实施种粮补贴惠农政策。</w:t>
      </w:r>
    </w:p>
    <w:p>
      <w:pPr>
        <w:spacing w:line="324" w:lineRule="atLeast"/>
        <w:ind w:firstLine="560"/>
        <w:rPr>
          <w:rFonts w:ascii="仿宋_GB2312" w:hAnsi="仿宋_GB2312"/>
          <w:bCs/>
          <w:kern w:val="0"/>
          <w:szCs w:val="32"/>
        </w:rPr>
      </w:pPr>
      <w:r>
        <w:rPr>
          <w:rFonts w:hint="eastAsia" w:ascii="仿宋_GB2312" w:hAnsi="仿宋_GB2312"/>
          <w:bCs/>
          <w:kern w:val="0"/>
          <w:szCs w:val="32"/>
        </w:rPr>
        <w:t>5.负责全县粮食、油料、经济作物等病虫草鼠害的预测预报，开展农业病虫草鼠害监测和防治，植保新产品新技术新药械示范推广等工作。</w:t>
      </w:r>
    </w:p>
    <w:p>
      <w:pPr>
        <w:spacing w:line="324" w:lineRule="atLeast"/>
        <w:ind w:firstLine="560"/>
        <w:rPr>
          <w:rFonts w:ascii="仿宋_GB2312" w:hAnsi="仿宋_GB2312"/>
          <w:bCs/>
          <w:kern w:val="0"/>
          <w:szCs w:val="32"/>
        </w:rPr>
      </w:pPr>
      <w:r>
        <w:rPr>
          <w:rFonts w:hint="eastAsia" w:ascii="仿宋_GB2312" w:hAnsi="仿宋_GB2312"/>
          <w:bCs/>
          <w:kern w:val="0"/>
          <w:szCs w:val="32"/>
        </w:rPr>
        <w:t>6.负责全县农业机械应用管理与服务，宣传农机新技术新机具推广的法律法规，实施农机作业规范和技术标准；负责农机化新机具新技术引进、试验示范、推广及售后服务工作，实施农业产业化项目中的农机化开发项目。</w:t>
      </w:r>
    </w:p>
    <w:p>
      <w:pPr>
        <w:spacing w:line="324" w:lineRule="atLeast"/>
        <w:ind w:firstLine="560"/>
        <w:rPr>
          <w:rFonts w:ascii="仿宋_GB2312" w:hAnsi="仿宋_GB2312"/>
          <w:bCs/>
          <w:kern w:val="0"/>
          <w:szCs w:val="32"/>
        </w:rPr>
      </w:pPr>
      <w:r>
        <w:rPr>
          <w:rFonts w:hint="eastAsia" w:ascii="仿宋_GB2312" w:hAnsi="仿宋_GB2312"/>
          <w:bCs/>
          <w:kern w:val="0"/>
          <w:szCs w:val="32"/>
        </w:rPr>
        <w:t>7.负责新型职业农民培育和农村实用技术培训，组织开展农民开展群众性体育活动。</w:t>
      </w:r>
    </w:p>
    <w:p>
      <w:pPr>
        <w:spacing w:line="324" w:lineRule="atLeast"/>
        <w:ind w:firstLine="560"/>
        <w:rPr>
          <w:rFonts w:ascii="仿宋_GB2312" w:hAnsi="仿宋_GB2312"/>
          <w:bCs/>
          <w:kern w:val="0"/>
          <w:szCs w:val="32"/>
        </w:rPr>
      </w:pPr>
      <w:r>
        <w:rPr>
          <w:rFonts w:hint="eastAsia" w:ascii="仿宋_GB2312" w:hAnsi="仿宋_GB2312"/>
          <w:bCs/>
          <w:kern w:val="0"/>
          <w:szCs w:val="32"/>
        </w:rPr>
        <w:t>8.负责水产新品种、新技术引进、示范和渔业技术推广和技术服务；水产品、渔用饲料、渔用药物质量监督和检验测试。</w:t>
      </w:r>
    </w:p>
    <w:p>
      <w:pPr>
        <w:spacing w:line="324" w:lineRule="atLeast"/>
        <w:ind w:firstLine="560"/>
        <w:rPr>
          <w:rFonts w:ascii="仿宋_GB2312" w:hAnsi="仿宋_GB2312"/>
          <w:bCs/>
          <w:kern w:val="0"/>
          <w:szCs w:val="32"/>
        </w:rPr>
      </w:pPr>
      <w:r>
        <w:rPr>
          <w:rFonts w:hint="eastAsia" w:ascii="仿宋_GB2312" w:hAnsi="仿宋_GB2312"/>
          <w:bCs/>
          <w:kern w:val="0"/>
          <w:szCs w:val="32"/>
        </w:rPr>
        <w:t>9.负责农业和农村经济技术信息服务采集、整理；负责农业信息系统建设。</w:t>
      </w:r>
    </w:p>
    <w:p>
      <w:pPr>
        <w:spacing w:line="324" w:lineRule="atLeast"/>
        <w:ind w:firstLine="560"/>
        <w:rPr>
          <w:rFonts w:ascii="仿宋_GB2312" w:hAnsi="仿宋_GB2312"/>
          <w:bCs/>
          <w:kern w:val="0"/>
          <w:szCs w:val="32"/>
        </w:rPr>
      </w:pPr>
      <w:r>
        <w:rPr>
          <w:rFonts w:hint="eastAsia" w:ascii="仿宋_GB2312" w:hAnsi="仿宋_GB2312"/>
          <w:bCs/>
          <w:kern w:val="0"/>
          <w:szCs w:val="32"/>
        </w:rPr>
        <w:t>10.承担县农委交办的其他工作任务</w:t>
      </w:r>
    </w:p>
    <w:p>
      <w:pPr>
        <w:pStyle w:val="6"/>
        <w:ind w:firstLine="562"/>
      </w:pPr>
      <w:r>
        <w:rPr>
          <w:rFonts w:hint="eastAsia"/>
        </w:rPr>
        <w:t>（2）人员编制</w:t>
      </w:r>
    </w:p>
    <w:p>
      <w:pPr>
        <w:spacing w:line="324" w:lineRule="atLeast"/>
        <w:ind w:firstLine="560"/>
        <w:rPr>
          <w:rFonts w:ascii="仿宋_GB2312" w:hAnsi="仿宋_GB2312"/>
          <w:bCs/>
          <w:kern w:val="0"/>
          <w:szCs w:val="32"/>
        </w:rPr>
      </w:pPr>
      <w:r>
        <w:rPr>
          <w:rFonts w:hint="eastAsia" w:ascii="仿宋_GB2312" w:hAnsi="仿宋_GB2312"/>
          <w:bCs/>
          <w:kern w:val="0"/>
          <w:szCs w:val="32"/>
        </w:rPr>
        <w:t>于田县农业技术推广中心单位无下属预算单位，下设4个科室，分别是：业务科、办公室、项目办、财务室。</w:t>
      </w:r>
    </w:p>
    <w:p>
      <w:pPr>
        <w:spacing w:line="324" w:lineRule="atLeast"/>
        <w:ind w:firstLine="560"/>
        <w:rPr>
          <w:rFonts w:ascii="仿宋_GB2312" w:hAnsi="仿宋_GB2312"/>
          <w:bCs/>
          <w:kern w:val="0"/>
          <w:szCs w:val="32"/>
        </w:rPr>
      </w:pPr>
      <w:r>
        <w:rPr>
          <w:rFonts w:hint="eastAsia" w:ascii="仿宋_GB2312" w:hAnsi="仿宋_GB2312"/>
          <w:bCs/>
          <w:kern w:val="0"/>
          <w:szCs w:val="32"/>
        </w:rPr>
        <w:t xml:space="preserve">    2019年编制数25人，实有人数23人，其中：在职人数 23 人，退休35人.</w:t>
      </w:r>
    </w:p>
    <w:p>
      <w:pPr>
        <w:pStyle w:val="6"/>
        <w:ind w:firstLine="562"/>
      </w:pPr>
      <w:r>
        <w:rPr>
          <w:rFonts w:hint="eastAsia"/>
        </w:rPr>
        <w:t>3.项目组织结构</w:t>
      </w:r>
    </w:p>
    <w:p>
      <w:pPr>
        <w:spacing w:line="324" w:lineRule="atLeast"/>
        <w:ind w:firstLine="560"/>
        <w:rPr>
          <w:rFonts w:ascii="仿宋_GB2312" w:hAnsi="仿宋_GB2312"/>
          <w:bCs/>
          <w:kern w:val="0"/>
          <w:szCs w:val="32"/>
        </w:rPr>
      </w:pPr>
      <w:r>
        <w:rPr>
          <w:rFonts w:hint="eastAsia" w:ascii="仿宋_GB2312" w:hAnsi="仿宋_GB2312"/>
          <w:bCs/>
          <w:kern w:val="0"/>
          <w:szCs w:val="32"/>
        </w:rPr>
        <w:t>为确保我单位该项目的顺利实施，我单位对此经费经严格调研，按实施方案实施项目。单位成立项目领导小组;组长李国亮，成员阿不都哈里克·巴克，不买热木。阿不都卡迪尔。项目总负责人李国亮负责项目全盘工作，阿不都哈里克·巴克负责项目实施，不买热木·阿不都卡迪尔负责项目财务工作.</w:t>
      </w:r>
    </w:p>
    <w:p>
      <w:pPr>
        <w:ind w:firstLine="480"/>
        <w:rPr>
          <w:rFonts w:ascii="仿宋" w:hAnsi="仿宋" w:eastAsia="仿宋" w:cs="仿宋"/>
          <w:color w:val="000000" w:themeColor="text1"/>
          <w:sz w:val="24"/>
          <w14:textFill>
            <w14:solidFill>
              <w14:schemeClr w14:val="tx1"/>
            </w14:solidFill>
          </w14:textFill>
        </w:rPr>
      </w:pPr>
    </w:p>
    <w:p>
      <w:pPr>
        <w:pStyle w:val="6"/>
        <w:ind w:firstLine="562"/>
      </w:pPr>
      <w:r>
        <w:rPr>
          <w:rFonts w:hint="eastAsia"/>
        </w:rPr>
        <w:t>4.主要内容及实施情况</w:t>
      </w:r>
    </w:p>
    <w:p>
      <w:pPr>
        <w:spacing w:line="324" w:lineRule="atLeast"/>
        <w:ind w:firstLine="560"/>
        <w:rPr>
          <w:rFonts w:ascii="仿宋_GB2312" w:hAnsi="仿宋_GB2312"/>
          <w:bCs/>
          <w:kern w:val="0"/>
          <w:szCs w:val="32"/>
        </w:rPr>
      </w:pPr>
      <w:r>
        <w:rPr>
          <w:rFonts w:hint="eastAsia" w:ascii="仿宋_GB2312" w:hAnsi="仿宋_GB2312"/>
          <w:bCs/>
          <w:kern w:val="0"/>
          <w:szCs w:val="32"/>
        </w:rPr>
        <w:t>于田县建设统一灭鼠示范区分别在,先拜巴扎镇、科克亚乡每个乡镇5000户，共计10000户，调查点：先拜巴扎镇喀热吐润村小麦、巴西萨依巴格村皮芽孜、吐完萨依巴格村陆地蔬菜；科克亚乡艾格莱村陆地蔬菜、英吾塘村小麦、色日奥依村设施农业大棚。</w:t>
      </w:r>
    </w:p>
    <w:p>
      <w:pPr>
        <w:pStyle w:val="6"/>
        <w:ind w:firstLine="562"/>
      </w:pPr>
      <w:r>
        <w:rPr>
          <w:rFonts w:hint="eastAsia"/>
        </w:rPr>
        <w:t>5.资金投入和使用情况</w:t>
      </w:r>
    </w:p>
    <w:p>
      <w:pPr>
        <w:ind w:firstLine="560"/>
      </w:pPr>
      <w:r>
        <w:rPr>
          <w:rFonts w:hint="eastAsia"/>
        </w:rPr>
        <w:t>（1）项目资金安排落实、总投入等情况分析</w:t>
      </w:r>
    </w:p>
    <w:p>
      <w:pPr>
        <w:ind w:firstLine="560"/>
      </w:pPr>
      <w:r>
        <w:rPr>
          <w:rFonts w:hint="eastAsia"/>
        </w:rPr>
        <w:t>2019年农区统一灭鼠技术经费项目预算安排总额为3万元，其中财政资金3万元，其他资金0万元，2019年实际收到预算资金3万元，预算资金到位率为100%。</w:t>
      </w:r>
    </w:p>
    <w:p>
      <w:pPr>
        <w:ind w:firstLine="560"/>
      </w:pPr>
      <w:r>
        <w:rPr>
          <w:rFonts w:hint="eastAsia"/>
        </w:rPr>
        <w:t>项目资金实际使用情况分析</w:t>
      </w:r>
    </w:p>
    <w:p>
      <w:pPr>
        <w:ind w:firstLine="560"/>
      </w:pPr>
      <w:r>
        <w:rPr>
          <w:rFonts w:hint="eastAsia"/>
        </w:rPr>
        <w:t>本项目实际支付资金0.8万元，预算执行率26.76%。项目资金主要用于支付鼠情监测0.8万元。</w:t>
      </w:r>
    </w:p>
    <w:p>
      <w:pPr>
        <w:pStyle w:val="5"/>
        <w:numPr>
          <w:ilvl w:val="0"/>
          <w:numId w:val="1"/>
        </w:numPr>
        <w:ind w:firstLine="643"/>
      </w:pPr>
      <w:r>
        <w:rPr>
          <w:rFonts w:hint="eastAsia"/>
        </w:rPr>
        <w:t>项目绩效目标</w:t>
      </w:r>
    </w:p>
    <w:p>
      <w:pPr>
        <w:pStyle w:val="6"/>
        <w:numPr>
          <w:ilvl w:val="0"/>
          <w:numId w:val="2"/>
        </w:numPr>
        <w:tabs>
          <w:tab w:val="clear" w:pos="312"/>
        </w:tabs>
        <w:ind w:firstLine="562"/>
      </w:pPr>
      <w:r>
        <w:rPr>
          <w:rFonts w:hint="eastAsia"/>
        </w:rPr>
        <w:t>总体目标</w:t>
      </w:r>
    </w:p>
    <w:p>
      <w:pPr>
        <w:ind w:firstLine="560"/>
      </w:pPr>
      <w:r>
        <w:rPr>
          <w:rFonts w:hint="eastAsia"/>
        </w:rPr>
        <w:t>1.统一灭鼠技术：对于农田害鼠捕获率达 3%、农户捕获率达 1%的田块或农舍，实行“统一组织领导、统一筹集资金、统一宣传培训、统一鼠药供应、统一配投毒饵”，投放毒饵时要按照“乡不漏村、村不漏户、户不漏田”的原则全面开展统一灭鼠。以鼢鼠等地下鼠为优势鼠种的地区采用弓箭射杀为主；地上鼠可采用杀鼠剂配制毒饵灭杀，可选用第一代（杀鼠醚、杀鼠灵）或第二代（溴敌隆、溴鼠灵）抗凝血杀鼠剂，选择新鲜的小麦、大米（稻谷）、玉米为基饵配成毒饵，根据鼠密度范围采用一次性饱和投饵：鼠密度 5%－10%区域，建议每亩投放毒饵 100－200 克（在采用化学杀鼠剂灭鼠时应配备专用解毒剂维生素K1），鼠密度高的地区，宜酌情加大投饵量，具体的投饵量可按鼠密度值÷10%×200 克计算。也可采用生物灭鼠剂雷公藤甲素毒饵每亩投放 100－200 克；对于鼠密度持续较高的地区，可采用不育剂莪术醇与化学杀鼠剂配合使用，采用一次性饱和投饵，每亩同时投放化学杀鼠剂毒饵100克、不育剂毒饵100克，以化学杀鼠剂杀灭降低播种前鼠密度，以减少对作物播种与出苗的影响，并通过不育剂控制鼠害繁殖，降低出生率，实现可持续控制。</w:t>
      </w:r>
    </w:p>
    <w:p>
      <w:pPr>
        <w:ind w:firstLine="560"/>
      </w:pPr>
      <w:r>
        <w:rPr>
          <w:rFonts w:hint="eastAsia"/>
        </w:rPr>
        <w:t xml:space="preserve"> 2.毒饵站灭鼠技术：毒饵站是指鼠类能够自由进入取食而其他动物（如鸡、鸭、猫、狗、猪等）不能进入或取食且能盛放毒饵的一种装置。农区灭鼠中推广应用的毒饵站种类较多，主要类型有竹筒毒饵站、PVC 管毒饵站、矿泉水瓶（或可乐等饮料瓶）毒饵站、花钵毒饵站、简瓦毒饵站、瓦筒毒饵站等。选择当地取材方便的材料制作毒饵站，鼠密度在 10%以下的农田，每亩放置毒饵站 1 个；鼠密度在 10%以上的农田，每亩放置毒饵站 2 个。用铁丝将毒饵站固定于田埂或沟渠边，离地面 2－3 厘米。农舍每户投放毒饵站2 个，重点放置在房前屋后、厨房、粮仓、畜禽圈等鼠类经常活动的地方，用砖块等固定。每个毒饵站投放毒饵 20－30 克，放置 3 天后应根据害鼠取食情况补充毒饵。毒饵站一般置放 2－3个月，并回收重复使用。</w:t>
      </w:r>
    </w:p>
    <w:p>
      <w:pPr>
        <w:ind w:firstLine="560"/>
      </w:pPr>
      <w:r>
        <w:rPr>
          <w:rFonts w:hint="eastAsia"/>
        </w:rPr>
        <w:t>3.TBS 灭鼠技术：TBS 也称围栏+捕鼠器灭鼠技术。鼠密度较高的农田，在春播或插秧前沿田边（或田埂）设置长 60 米的线形 TBS（L－TBS）、孔径≤1 厘米的金属网围栏，按直线方式固定，围栏地上部分高45 厘米，埋入地下的深度为 15 厘米，每 5 米设置一个捕鼠器（连续捕鼠笼或捕鼠桶），共 12 个。每个捕鼠桶上部直径 25－30 厘米，下部直径 30－35 厘米，桶高 50－55 厘米，底部留 4 个直径小于 0.5 厘米的圆孔，使桶内雨水能够渗出。紧贴围栏与捕鼠器平齐地面剪一长宽约 5 厘米的洞口，连续捕鼠笼或捕鼠桶开口朝向相反的方向。也可在田间围成矩形 TBS（R－TBS）20×10米的围栏，并在周边设置 12 个桶状捕鼠器，利用鼠类行为习性捕杀害鼠。一般按面积 200 亩左右田块设置 1 个 60m 围栏即可有效防控害鼠，围栏设置的时间为整个作物的生长期。推广期间建议选择 4 个地块，设置 4 个 TBS 围栏。</w:t>
      </w:r>
    </w:p>
    <w:p>
      <w:pPr>
        <w:ind w:firstLine="560"/>
      </w:pPr>
      <w:r>
        <w:rPr>
          <w:rFonts w:hint="eastAsia"/>
        </w:rPr>
        <w:t>4. 其他灭鼠技术：保护和利用养猫和猛禽类等害鼠天敌控制害鼠数量。结合农事活动，采取积极的防鼠措施。如修整沟渠田坎、平整土地、铲除田边杂草和灌木丛，尽量减少田埂和田间荒墩，使害鼠难以隐藏、栖息；收割期间快收快打，颗粒还家，修建防鼠粮仓，截断害鼠食物来源，降低农户储粮损失。</w:t>
      </w:r>
    </w:p>
    <w:p>
      <w:pPr>
        <w:pStyle w:val="6"/>
        <w:ind w:firstLine="562"/>
      </w:pPr>
      <w:r>
        <w:rPr>
          <w:rFonts w:hint="eastAsia"/>
        </w:rPr>
        <w:t>2.阶段性目标</w:t>
      </w:r>
    </w:p>
    <w:p>
      <w:pPr>
        <w:ind w:firstLine="560"/>
        <w:rPr>
          <w:rFonts w:ascii="仿宋_GB2312" w:hAnsi="仿宋_GB2312"/>
          <w:bCs/>
          <w:kern w:val="0"/>
          <w:szCs w:val="32"/>
        </w:rPr>
      </w:pPr>
      <w:r>
        <w:rPr>
          <w:rFonts w:hint="eastAsia" w:ascii="仿宋_GB2312" w:hAnsi="仿宋_GB2312"/>
          <w:bCs/>
          <w:kern w:val="0"/>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pPr>
        <w:ind w:firstLine="560"/>
        <w:rPr>
          <w:rFonts w:ascii="仿宋_GB2312" w:hAnsi="仿宋_GB2312"/>
          <w:bCs/>
          <w:kern w:val="0"/>
          <w:szCs w:val="32"/>
          <w:highlight w:val="none"/>
        </w:rPr>
      </w:pPr>
      <w:r>
        <w:rPr>
          <w:rFonts w:hint="eastAsia" w:ascii="仿宋_GB2312" w:hAnsi="仿宋_GB2312"/>
          <w:bCs/>
          <w:kern w:val="0"/>
          <w:szCs w:val="32"/>
          <w:highlight w:val="none"/>
        </w:rPr>
        <w:t>项目产出目标</w:t>
      </w:r>
    </w:p>
    <w:p>
      <w:pPr>
        <w:ind w:firstLine="560"/>
        <w:rPr>
          <w:rFonts w:ascii="仿宋_GB2312" w:hAnsi="仿宋_GB2312"/>
          <w:bCs/>
          <w:kern w:val="0"/>
          <w:szCs w:val="32"/>
          <w:highlight w:val="none"/>
        </w:rPr>
      </w:pPr>
      <w:r>
        <w:rPr>
          <w:rFonts w:hint="eastAsia" w:ascii="仿宋_GB2312" w:hAnsi="仿宋_GB2312"/>
          <w:bCs/>
          <w:kern w:val="0"/>
          <w:szCs w:val="32"/>
          <w:highlight w:val="none"/>
        </w:rPr>
        <w:t>①数量指标</w:t>
      </w:r>
    </w:p>
    <w:p>
      <w:pPr>
        <w:ind w:firstLine="560"/>
        <w:rPr>
          <w:rFonts w:hint="eastAsia" w:ascii="仿宋_GB2312" w:hAnsi="仿宋_GB2312"/>
          <w:bCs/>
          <w:kern w:val="0"/>
          <w:szCs w:val="32"/>
        </w:rPr>
      </w:pPr>
      <w:r>
        <w:rPr>
          <w:rFonts w:hint="eastAsia" w:ascii="仿宋_GB2312" w:hAnsi="仿宋_GB2312"/>
          <w:bCs/>
          <w:kern w:val="0"/>
          <w:szCs w:val="32"/>
        </w:rPr>
        <w:t>“收益户10000”指标，预期指标值为100%；</w:t>
      </w:r>
    </w:p>
    <w:p>
      <w:pPr>
        <w:ind w:firstLine="560"/>
        <w:rPr>
          <w:rFonts w:ascii="仿宋_GB2312" w:hAnsi="仿宋_GB2312"/>
          <w:bCs/>
          <w:kern w:val="0"/>
          <w:szCs w:val="32"/>
        </w:rPr>
      </w:pPr>
      <w:r>
        <w:rPr>
          <w:rFonts w:hint="eastAsia" w:ascii="仿宋_GB2312" w:hAnsi="仿宋_GB2312"/>
          <w:bCs/>
          <w:kern w:val="0"/>
          <w:szCs w:val="32"/>
        </w:rPr>
        <w:t>“防止效果”指标，预期指标值为</w:t>
      </w:r>
      <w:r>
        <w:rPr>
          <w:rFonts w:hint="eastAsia" w:ascii="仿宋_GB2312" w:hAnsi="仿宋_GB2312"/>
          <w:bCs/>
          <w:kern w:val="0"/>
          <w:szCs w:val="32"/>
          <w:lang w:val="en-US" w:eastAsia="zh-CN"/>
        </w:rPr>
        <w:t>80</w:t>
      </w:r>
      <w:r>
        <w:rPr>
          <w:rFonts w:hint="eastAsia" w:ascii="仿宋_GB2312" w:hAnsi="仿宋_GB2312"/>
          <w:bCs/>
          <w:kern w:val="0"/>
          <w:szCs w:val="32"/>
        </w:rPr>
        <w:t>%；</w:t>
      </w:r>
    </w:p>
    <w:p>
      <w:pPr>
        <w:ind w:firstLine="560"/>
        <w:rPr>
          <w:rFonts w:ascii="仿宋_GB2312" w:hAnsi="仿宋_GB2312"/>
          <w:bCs/>
          <w:kern w:val="0"/>
          <w:szCs w:val="32"/>
        </w:rPr>
      </w:pPr>
    </w:p>
    <w:p>
      <w:pPr>
        <w:ind w:firstLine="560"/>
        <w:rPr>
          <w:rFonts w:ascii="仿宋_GB2312" w:hAnsi="仿宋_GB2312"/>
          <w:bCs/>
          <w:kern w:val="0"/>
          <w:szCs w:val="32"/>
        </w:rPr>
      </w:pPr>
      <w:r>
        <w:rPr>
          <w:rFonts w:hint="eastAsia" w:ascii="仿宋_GB2312" w:hAnsi="仿宋_GB2312"/>
          <w:bCs/>
          <w:kern w:val="0"/>
          <w:szCs w:val="32"/>
        </w:rPr>
        <w:t>②质量指标</w:t>
      </w:r>
    </w:p>
    <w:p>
      <w:pPr>
        <w:ind w:firstLine="560"/>
        <w:rPr>
          <w:rFonts w:hint="eastAsia" w:ascii="仿宋_GB2312" w:hAnsi="仿宋_GB2312"/>
          <w:bCs/>
          <w:kern w:val="0"/>
          <w:szCs w:val="32"/>
        </w:rPr>
      </w:pPr>
      <w:r>
        <w:rPr>
          <w:rFonts w:hint="eastAsia" w:ascii="仿宋_GB2312" w:hAnsi="仿宋_GB2312"/>
          <w:bCs/>
          <w:kern w:val="0"/>
          <w:szCs w:val="32"/>
        </w:rPr>
        <w:t>“重大疫情月报完成率”指标，预期指标值为100%；</w:t>
      </w:r>
    </w:p>
    <w:p>
      <w:pPr>
        <w:pStyle w:val="2"/>
        <w:ind w:left="0" w:leftChars="0" w:firstLine="560" w:firstLineChars="200"/>
      </w:pPr>
      <w:r>
        <w:rPr>
          <w:rFonts w:hint="eastAsia" w:ascii="仿宋_GB2312" w:hAnsi="仿宋_GB2312"/>
          <w:bCs/>
          <w:kern w:val="0"/>
          <w:szCs w:val="32"/>
        </w:rPr>
        <w:t>“小麦玉米等重大病虫害周报完成率”指标，预期指标值为100%</w:t>
      </w:r>
    </w:p>
    <w:p>
      <w:pPr>
        <w:ind w:firstLine="560"/>
        <w:rPr>
          <w:rFonts w:ascii="仿宋_GB2312" w:hAnsi="仿宋_GB2312"/>
          <w:bCs/>
          <w:kern w:val="0"/>
          <w:szCs w:val="32"/>
        </w:rPr>
      </w:pPr>
      <w:r>
        <w:rPr>
          <w:rFonts w:hint="eastAsia" w:ascii="仿宋_GB2312" w:hAnsi="仿宋_GB2312"/>
          <w:bCs/>
          <w:kern w:val="0"/>
          <w:szCs w:val="32"/>
        </w:rPr>
        <w:t>③</w:t>
      </w:r>
      <w:r>
        <w:rPr>
          <w:rFonts w:hint="eastAsia" w:ascii="仿宋_GB2312" w:hAnsi="仿宋_GB2312"/>
          <w:bCs/>
          <w:kern w:val="0"/>
          <w:szCs w:val="32"/>
          <w:lang w:eastAsia="zh-CN"/>
        </w:rPr>
        <w:t>时效</w:t>
      </w:r>
      <w:r>
        <w:rPr>
          <w:rFonts w:hint="eastAsia" w:ascii="仿宋_GB2312" w:hAnsi="仿宋_GB2312"/>
          <w:bCs/>
          <w:kern w:val="0"/>
          <w:szCs w:val="32"/>
        </w:rPr>
        <w:t>指标</w:t>
      </w:r>
    </w:p>
    <w:p>
      <w:pPr>
        <w:ind w:firstLine="560"/>
        <w:rPr>
          <w:rFonts w:hint="eastAsia" w:ascii="仿宋_GB2312" w:hAnsi="仿宋_GB2312"/>
          <w:bCs/>
          <w:kern w:val="0"/>
          <w:szCs w:val="32"/>
        </w:rPr>
      </w:pPr>
      <w:r>
        <w:rPr>
          <w:rFonts w:hint="eastAsia" w:ascii="仿宋_GB2312" w:hAnsi="仿宋_GB2312"/>
          <w:bCs/>
          <w:kern w:val="0"/>
          <w:szCs w:val="32"/>
        </w:rPr>
        <w:t>“规定时限内支出资金”指标，预期指标值为100%；</w:t>
      </w:r>
    </w:p>
    <w:p>
      <w:pPr>
        <w:ind w:firstLine="560"/>
      </w:pPr>
      <w:r>
        <w:rPr>
          <w:rFonts w:hint="eastAsia" w:ascii="仿宋_GB2312" w:hAnsi="仿宋_GB2312"/>
          <w:bCs/>
          <w:kern w:val="0"/>
          <w:szCs w:val="32"/>
        </w:rPr>
        <w:t>“资金按时到位率”指标，预期指标值为100%；</w:t>
      </w:r>
    </w:p>
    <w:p>
      <w:pPr>
        <w:ind w:firstLine="560"/>
        <w:rPr>
          <w:rFonts w:ascii="仿宋_GB2312" w:hAnsi="仿宋_GB2312"/>
          <w:bCs/>
          <w:kern w:val="0"/>
          <w:szCs w:val="32"/>
        </w:rPr>
      </w:pPr>
      <w:r>
        <w:rPr>
          <w:rFonts w:hint="eastAsia" w:ascii="仿宋_GB2312" w:hAnsi="仿宋_GB2312"/>
          <w:bCs/>
          <w:kern w:val="0"/>
          <w:szCs w:val="32"/>
        </w:rPr>
        <w:t>④成本指标</w:t>
      </w:r>
    </w:p>
    <w:p>
      <w:pPr>
        <w:ind w:firstLine="560"/>
        <w:rPr>
          <w:rFonts w:hint="eastAsia" w:ascii="仿宋_GB2312" w:hAnsi="仿宋_GB2312"/>
          <w:bCs/>
          <w:kern w:val="0"/>
          <w:szCs w:val="32"/>
        </w:rPr>
      </w:pPr>
      <w:r>
        <w:rPr>
          <w:rFonts w:hint="eastAsia" w:ascii="仿宋_GB2312" w:hAnsi="仿宋_GB2312"/>
          <w:bCs/>
          <w:kern w:val="0"/>
          <w:szCs w:val="32"/>
        </w:rPr>
        <w:t>“每户补助”指标，预期指标值为</w:t>
      </w:r>
      <w:r>
        <w:rPr>
          <w:rFonts w:hint="eastAsia" w:ascii="仿宋_GB2312" w:hAnsi="仿宋_GB2312"/>
          <w:bCs/>
          <w:kern w:val="0"/>
          <w:szCs w:val="32"/>
          <w:lang w:val="en-US" w:eastAsia="zh-CN"/>
        </w:rPr>
        <w:t>3元</w:t>
      </w:r>
      <w:r>
        <w:rPr>
          <w:rFonts w:hint="eastAsia" w:ascii="仿宋_GB2312" w:hAnsi="仿宋_GB2312"/>
          <w:bCs/>
          <w:kern w:val="0"/>
          <w:szCs w:val="32"/>
        </w:rPr>
        <w:t>；</w:t>
      </w:r>
    </w:p>
    <w:p>
      <w:pPr>
        <w:pStyle w:val="2"/>
        <w:ind w:left="0" w:leftChars="0" w:firstLine="560" w:firstLineChars="200"/>
      </w:pPr>
      <w:r>
        <w:rPr>
          <w:rFonts w:hint="eastAsia" w:ascii="仿宋_GB2312" w:hAnsi="仿宋_GB2312"/>
          <w:bCs/>
          <w:kern w:val="0"/>
          <w:szCs w:val="32"/>
        </w:rPr>
        <w:t>“预算执行率”指标，预期指标值为100%</w:t>
      </w:r>
    </w:p>
    <w:p>
      <w:pPr>
        <w:ind w:firstLine="560"/>
        <w:rPr>
          <w:rFonts w:ascii="仿宋_GB2312" w:hAnsi="仿宋_GB2312"/>
          <w:bCs/>
          <w:kern w:val="0"/>
          <w:szCs w:val="32"/>
        </w:rPr>
      </w:pPr>
      <w:r>
        <w:rPr>
          <w:rFonts w:hint="eastAsia" w:ascii="仿宋_GB2312" w:hAnsi="仿宋_GB2312"/>
          <w:bCs/>
          <w:kern w:val="0"/>
          <w:szCs w:val="32"/>
        </w:rPr>
        <w:t>（2）项目效益目标</w:t>
      </w:r>
    </w:p>
    <w:p>
      <w:pPr>
        <w:ind w:firstLine="560"/>
        <w:rPr>
          <w:rFonts w:ascii="仿宋_GB2312" w:hAnsi="仿宋_GB2312"/>
          <w:bCs/>
          <w:kern w:val="0"/>
          <w:szCs w:val="32"/>
        </w:rPr>
      </w:pPr>
      <w:r>
        <w:rPr>
          <w:rFonts w:hint="eastAsia"/>
        </w:rPr>
        <w:t>①</w:t>
      </w:r>
      <w:r>
        <w:rPr>
          <w:rFonts w:hint="eastAsia" w:ascii="仿宋_GB2312" w:hAnsi="仿宋_GB2312"/>
          <w:bCs/>
          <w:kern w:val="0"/>
          <w:szCs w:val="32"/>
          <w:lang w:eastAsia="zh-CN"/>
        </w:rPr>
        <w:t>经济</w:t>
      </w:r>
      <w:r>
        <w:rPr>
          <w:rFonts w:hint="eastAsia" w:ascii="仿宋_GB2312" w:hAnsi="仿宋_GB2312"/>
          <w:bCs/>
          <w:kern w:val="0"/>
          <w:szCs w:val="32"/>
        </w:rPr>
        <w:t>效益指标</w:t>
      </w:r>
    </w:p>
    <w:p>
      <w:pPr>
        <w:ind w:firstLine="560"/>
        <w:rPr>
          <w:rFonts w:hint="eastAsia" w:ascii="仿宋_GB2312" w:hAnsi="仿宋_GB2312"/>
          <w:bCs/>
          <w:kern w:val="0"/>
          <w:szCs w:val="32"/>
        </w:rPr>
      </w:pPr>
      <w:r>
        <w:rPr>
          <w:rFonts w:hint="eastAsia" w:ascii="仿宋_GB2312" w:hAnsi="仿宋_GB2312"/>
          <w:bCs/>
          <w:kern w:val="0"/>
          <w:szCs w:val="32"/>
        </w:rPr>
        <w:t>“提高产业率”指标，预期指标值为</w:t>
      </w:r>
      <w:r>
        <w:rPr>
          <w:rFonts w:hint="eastAsia" w:ascii="仿宋_GB2312" w:hAnsi="仿宋_GB2312"/>
          <w:bCs/>
          <w:kern w:val="0"/>
          <w:szCs w:val="32"/>
          <w:lang w:val="en-US" w:eastAsia="zh-CN"/>
        </w:rPr>
        <w:t>30</w:t>
      </w:r>
      <w:r>
        <w:rPr>
          <w:rFonts w:hint="eastAsia" w:ascii="仿宋_GB2312" w:hAnsi="仿宋_GB2312"/>
          <w:bCs/>
          <w:kern w:val="0"/>
          <w:szCs w:val="32"/>
        </w:rPr>
        <w:t>%；</w:t>
      </w:r>
    </w:p>
    <w:p>
      <w:pPr>
        <w:ind w:firstLine="560"/>
        <w:rPr>
          <w:rFonts w:ascii="仿宋_GB2312" w:hAnsi="仿宋_GB2312"/>
          <w:bCs/>
          <w:kern w:val="0"/>
          <w:szCs w:val="32"/>
        </w:rPr>
      </w:pPr>
      <w:r>
        <w:rPr>
          <w:rFonts w:hint="eastAsia" w:ascii="仿宋_GB2312" w:hAnsi="仿宋_GB2312"/>
          <w:bCs/>
          <w:kern w:val="0"/>
          <w:szCs w:val="32"/>
        </w:rPr>
        <w:t>②社会效益指标</w:t>
      </w:r>
    </w:p>
    <w:p>
      <w:pPr>
        <w:pStyle w:val="2"/>
        <w:ind w:left="0" w:leftChars="0" w:firstLine="560" w:firstLineChars="200"/>
        <w:rPr>
          <w:rFonts w:hint="eastAsia" w:ascii="仿宋_GB2312" w:hAnsi="仿宋_GB2312"/>
          <w:bCs/>
          <w:kern w:val="0"/>
          <w:szCs w:val="32"/>
          <w:lang w:val="en-US" w:eastAsia="zh-CN"/>
        </w:rPr>
      </w:pPr>
      <w:r>
        <w:rPr>
          <w:rFonts w:hint="eastAsia" w:ascii="仿宋_GB2312" w:hAnsi="仿宋_GB2312"/>
          <w:bCs/>
          <w:kern w:val="0"/>
          <w:szCs w:val="32"/>
        </w:rPr>
        <w:t>“项目覆盖乡镇”指标，预期指标值为</w:t>
      </w:r>
      <w:r>
        <w:rPr>
          <w:rFonts w:hint="eastAsia" w:ascii="仿宋_GB2312" w:hAnsi="仿宋_GB2312"/>
          <w:bCs/>
          <w:kern w:val="0"/>
          <w:szCs w:val="32"/>
          <w:lang w:val="en-US" w:eastAsia="zh-CN"/>
        </w:rPr>
        <w:t>2各乡镇</w:t>
      </w:r>
    </w:p>
    <w:p>
      <w:pPr>
        <w:pStyle w:val="2"/>
        <w:ind w:left="0" w:leftChars="0" w:firstLine="560" w:firstLineChars="200"/>
        <w:rPr>
          <w:rFonts w:hint="eastAsia" w:ascii="仿宋_GB2312" w:hAnsi="仿宋_GB2312" w:eastAsia="仿宋_GB2312"/>
          <w:bCs/>
          <w:kern w:val="0"/>
          <w:szCs w:val="32"/>
          <w:lang w:eastAsia="zh-CN"/>
        </w:rPr>
      </w:pPr>
      <w:r>
        <w:rPr>
          <w:rFonts w:hint="eastAsia" w:ascii="仿宋_GB2312" w:hAnsi="仿宋_GB2312"/>
          <w:bCs/>
          <w:kern w:val="0"/>
          <w:szCs w:val="32"/>
        </w:rPr>
        <w:t>“项目全覆盖村”指标，预期指标值为</w:t>
      </w:r>
      <w:r>
        <w:rPr>
          <w:rFonts w:hint="eastAsia" w:ascii="仿宋_GB2312" w:hAnsi="仿宋_GB2312"/>
          <w:bCs/>
          <w:kern w:val="0"/>
          <w:szCs w:val="32"/>
          <w:lang w:val="en-US" w:eastAsia="zh-CN"/>
        </w:rPr>
        <w:t>6各村</w:t>
      </w:r>
    </w:p>
    <w:p>
      <w:pPr>
        <w:rPr>
          <w:rFonts w:ascii="仿宋_GB2312" w:hAnsi="仿宋_GB2312"/>
          <w:bCs/>
          <w:kern w:val="0"/>
          <w:szCs w:val="32"/>
        </w:rPr>
      </w:pPr>
      <w:r>
        <w:rPr>
          <w:rFonts w:hint="eastAsia" w:ascii="仿宋_GB2312" w:hAnsi="仿宋_GB2312"/>
          <w:bCs/>
          <w:kern w:val="0"/>
          <w:szCs w:val="32"/>
        </w:rPr>
        <w:t>③</w:t>
      </w:r>
      <w:r>
        <w:rPr>
          <w:rFonts w:hint="eastAsia" w:ascii="仿宋_GB2312" w:hAnsi="仿宋_GB2312"/>
          <w:bCs/>
          <w:kern w:val="0"/>
          <w:szCs w:val="32"/>
          <w:lang w:eastAsia="zh-CN"/>
        </w:rPr>
        <w:t>生态</w:t>
      </w:r>
      <w:r>
        <w:rPr>
          <w:rFonts w:hint="eastAsia" w:ascii="仿宋_GB2312" w:hAnsi="仿宋_GB2312"/>
          <w:bCs/>
          <w:kern w:val="0"/>
          <w:szCs w:val="32"/>
        </w:rPr>
        <w:t>效益指标</w:t>
      </w:r>
    </w:p>
    <w:p>
      <w:pPr>
        <w:ind w:firstLine="560"/>
        <w:rPr>
          <w:rFonts w:hint="eastAsia" w:ascii="仿宋_GB2312" w:hAnsi="仿宋_GB2312"/>
          <w:bCs/>
          <w:kern w:val="0"/>
          <w:szCs w:val="32"/>
        </w:rPr>
      </w:pPr>
      <w:r>
        <w:rPr>
          <w:rFonts w:hint="eastAsia" w:ascii="仿宋_GB2312" w:hAnsi="仿宋_GB2312"/>
          <w:bCs/>
          <w:kern w:val="0"/>
          <w:szCs w:val="32"/>
        </w:rPr>
        <w:t>“保生态、护产业，健康宜居”指标，预期指标值为</w:t>
      </w:r>
      <w:r>
        <w:rPr>
          <w:rFonts w:hint="eastAsia" w:ascii="仿宋_GB2312" w:hAnsi="仿宋_GB2312"/>
          <w:bCs/>
          <w:kern w:val="0"/>
          <w:szCs w:val="32"/>
          <w:lang w:val="en-US" w:eastAsia="zh-CN"/>
        </w:rPr>
        <w:t>10000户</w:t>
      </w:r>
      <w:r>
        <w:rPr>
          <w:rFonts w:hint="eastAsia" w:ascii="仿宋_GB2312" w:hAnsi="仿宋_GB2312"/>
          <w:bCs/>
          <w:kern w:val="0"/>
          <w:szCs w:val="32"/>
        </w:rPr>
        <w:t>；</w:t>
      </w:r>
    </w:p>
    <w:p>
      <w:pPr>
        <w:ind w:firstLine="560"/>
        <w:rPr>
          <w:rFonts w:ascii="仿宋_GB2312" w:hAnsi="仿宋_GB2312"/>
          <w:bCs/>
          <w:kern w:val="0"/>
          <w:szCs w:val="32"/>
        </w:rPr>
      </w:pPr>
      <w:r>
        <w:rPr>
          <w:rFonts w:hint="eastAsia" w:ascii="仿宋_GB2312" w:hAnsi="仿宋_GB2312"/>
          <w:bCs/>
          <w:kern w:val="0"/>
          <w:szCs w:val="32"/>
        </w:rPr>
        <w:t>④可持续影响</w:t>
      </w:r>
    </w:p>
    <w:p>
      <w:pPr>
        <w:ind w:firstLine="560"/>
      </w:pPr>
      <w:r>
        <w:rPr>
          <w:rFonts w:hint="eastAsia" w:ascii="仿宋_GB2312" w:hAnsi="仿宋_GB2312"/>
          <w:bCs/>
          <w:kern w:val="0"/>
          <w:szCs w:val="32"/>
        </w:rPr>
        <w:t>“项目可持续年限”指标，预期指标值为95%；</w:t>
      </w:r>
    </w:p>
    <w:p>
      <w:pPr>
        <w:ind w:firstLine="560"/>
        <w:rPr>
          <w:rFonts w:ascii="仿宋_GB2312" w:hAnsi="仿宋_GB2312"/>
          <w:bCs/>
          <w:kern w:val="0"/>
          <w:szCs w:val="32"/>
        </w:rPr>
      </w:pPr>
      <w:r>
        <w:rPr>
          <w:rFonts w:hint="eastAsia" w:ascii="仿宋_GB2312" w:hAnsi="仿宋_GB2312"/>
          <w:bCs/>
          <w:kern w:val="0"/>
          <w:szCs w:val="32"/>
        </w:rPr>
        <w:t>④满意度指标</w:t>
      </w:r>
    </w:p>
    <w:p>
      <w:pPr>
        <w:ind w:firstLine="560"/>
        <w:rPr>
          <w:rFonts w:ascii="仿宋_GB2312" w:hAnsi="仿宋_GB2312"/>
          <w:bCs/>
          <w:kern w:val="0"/>
          <w:szCs w:val="32"/>
        </w:rPr>
      </w:pPr>
      <w:r>
        <w:rPr>
          <w:rFonts w:hint="eastAsia" w:ascii="仿宋_GB2312" w:hAnsi="仿宋_GB2312"/>
          <w:bCs/>
          <w:kern w:val="0"/>
          <w:szCs w:val="32"/>
        </w:rPr>
        <w:t>“建档立卡满意度贫困户”指标，预期指标值为98%；</w:t>
      </w:r>
    </w:p>
    <w:p>
      <w:pPr>
        <w:pStyle w:val="4"/>
        <w:ind w:firstLine="640"/>
      </w:pPr>
      <w:r>
        <w:rPr>
          <w:rFonts w:hint="eastAsia"/>
        </w:rPr>
        <w:t>二、绩效评价工作开展情况</w:t>
      </w:r>
    </w:p>
    <w:p>
      <w:pPr>
        <w:pStyle w:val="5"/>
        <w:numPr>
          <w:ilvl w:val="0"/>
          <w:numId w:val="3"/>
        </w:numPr>
        <w:ind w:firstLine="643"/>
        <w:rPr>
          <w:rFonts w:ascii="楷体" w:hAnsi="楷体" w:cs="楷体"/>
          <w:szCs w:val="32"/>
        </w:rPr>
      </w:pPr>
      <w:bookmarkStart w:id="0" w:name="_Toc22169_WPSOffice_Level2"/>
      <w:bookmarkStart w:id="1" w:name="_Toc5462343"/>
      <w:bookmarkStart w:id="2" w:name="_Toc12868"/>
      <w:bookmarkStart w:id="3" w:name="_Toc22922"/>
      <w:bookmarkStart w:id="4" w:name="_Toc21664"/>
      <w:bookmarkStart w:id="5" w:name="_Toc26632"/>
      <w:bookmarkStart w:id="6" w:name="_Toc5258"/>
      <w:bookmarkStart w:id="7" w:name="_Toc480473081"/>
      <w:r>
        <w:rPr>
          <w:rFonts w:hint="eastAsia" w:ascii="楷体" w:hAnsi="楷体" w:cs="楷体"/>
          <w:szCs w:val="32"/>
        </w:rPr>
        <w:t>绩效评价的目的</w:t>
      </w:r>
      <w:bookmarkEnd w:id="0"/>
      <w:bookmarkEnd w:id="1"/>
      <w:bookmarkEnd w:id="2"/>
      <w:bookmarkEnd w:id="3"/>
      <w:bookmarkEnd w:id="4"/>
      <w:bookmarkEnd w:id="5"/>
      <w:bookmarkEnd w:id="6"/>
      <w:bookmarkEnd w:id="7"/>
      <w:r>
        <w:rPr>
          <w:rFonts w:hint="eastAsia" w:ascii="楷体" w:hAnsi="楷体" w:cs="楷体"/>
          <w:szCs w:val="32"/>
        </w:rPr>
        <w:t>、对象和范围</w:t>
      </w:r>
    </w:p>
    <w:p>
      <w:pPr>
        <w:pStyle w:val="6"/>
        <w:ind w:firstLine="562"/>
      </w:pPr>
      <w:r>
        <w:rPr>
          <w:rFonts w:hint="eastAsia"/>
        </w:rPr>
        <w:t>1.绩效评价的目的</w:t>
      </w:r>
    </w:p>
    <w:p>
      <w:pPr>
        <w:spacing w:line="600" w:lineRule="exact"/>
        <w:ind w:firstLine="560"/>
      </w:pPr>
      <w:r>
        <w:rPr>
          <w:rFonts w:hint="eastAsia"/>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p>
    <w:p>
      <w:pPr>
        <w:pStyle w:val="6"/>
        <w:ind w:firstLine="562"/>
      </w:pPr>
      <w:r>
        <w:rPr>
          <w:rFonts w:hint="eastAsia"/>
        </w:rPr>
        <w:t>2.绩效评价的对象和范围</w:t>
      </w:r>
    </w:p>
    <w:p>
      <w:pPr>
        <w:spacing w:before="39"/>
        <w:ind w:firstLine="560"/>
        <w:jc w:val="left"/>
      </w:pPr>
      <w:r>
        <w:rPr>
          <w:rFonts w:hint="eastAsia"/>
        </w:rPr>
        <w:t>此次我单位根据《财政支出绩效评价管理暂行办法》（财预〔2020〕10号）文件要求对2019年度我单位实施的2019年于田县农区统一灭鼠技术项目开展部门绩效评价，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pStyle w:val="5"/>
        <w:numPr>
          <w:ilvl w:val="0"/>
          <w:numId w:val="3"/>
        </w:numPr>
        <w:ind w:firstLine="643"/>
      </w:pPr>
      <w:r>
        <w:rPr>
          <w:rFonts w:hint="eastAsia"/>
        </w:rPr>
        <w:t>评价工作简述</w:t>
      </w:r>
    </w:p>
    <w:p>
      <w:pPr>
        <w:pStyle w:val="6"/>
        <w:ind w:firstLine="562"/>
      </w:pPr>
      <w:r>
        <w:rPr>
          <w:rFonts w:hint="eastAsia"/>
        </w:rPr>
        <w:t>1.绩效评价原则</w:t>
      </w:r>
    </w:p>
    <w:p>
      <w:pPr>
        <w:spacing w:line="600" w:lineRule="exact"/>
        <w:ind w:firstLine="560"/>
      </w:pPr>
      <w:r>
        <w:rPr>
          <w:rFonts w:hint="eastAsia"/>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2019年流通和落地调查经费项目实际开展情况，运用定量和定性分析相结合的方法，总结经验做法，反思项目实施和管理中的问题，以切实提升财政资金管理的科学化、规范化和精细化水平。</w:t>
      </w:r>
    </w:p>
    <w:p>
      <w:pPr>
        <w:spacing w:line="600" w:lineRule="exact"/>
        <w:ind w:firstLine="560"/>
      </w:pPr>
      <w:r>
        <w:rPr>
          <w:rFonts w:hint="eastAsia"/>
        </w:rPr>
        <w:t>根据以上原则，绩效评价应遵循如下要求：</w:t>
      </w:r>
    </w:p>
    <w:p>
      <w:pPr>
        <w:spacing w:line="600" w:lineRule="exact"/>
        <w:ind w:firstLine="560"/>
      </w:pPr>
      <w:r>
        <w:rPr>
          <w:rFonts w:hint="eastAsia"/>
        </w:rPr>
        <w:t>（1）在数据采集时，采取客观数据，主管部门审查、社会中介组织复查，与问卷调查相结合的形式，以保证各项指标的真实性。</w:t>
      </w:r>
    </w:p>
    <w:p>
      <w:pPr>
        <w:spacing w:line="600" w:lineRule="exact"/>
        <w:ind w:firstLine="560"/>
      </w:pPr>
      <w:r>
        <w:rPr>
          <w:rFonts w:hint="eastAsia"/>
        </w:rPr>
        <w:t>（2）保证评价结果的真实性、公正性，提高评价报告的公信力。</w:t>
      </w:r>
    </w:p>
    <w:p>
      <w:pPr>
        <w:spacing w:line="600" w:lineRule="exact"/>
        <w:ind w:firstLine="560"/>
      </w:pPr>
      <w:r>
        <w:rPr>
          <w:rFonts w:hint="eastAsia"/>
        </w:rPr>
        <w:t>（3）绩效评价报告应当简明扼要，除了对绩效评价的过程、结果描述外，还应总结经验，指出问题，并就共性问题提出可操作性改进建议。</w:t>
      </w:r>
    </w:p>
    <w:p>
      <w:pPr>
        <w:pStyle w:val="6"/>
        <w:ind w:firstLine="562"/>
      </w:pPr>
      <w:bookmarkStart w:id="8" w:name="_Toc1913"/>
      <w:bookmarkStart w:id="9" w:name="_Toc419984722"/>
      <w:bookmarkStart w:id="10" w:name="_Toc428278230"/>
      <w:bookmarkStart w:id="11" w:name="_Toc26131"/>
      <w:r>
        <w:rPr>
          <w:rFonts w:hint="eastAsia"/>
        </w:rPr>
        <w:t>2.绩效评价指标体系及绩效评价</w:t>
      </w:r>
      <w:bookmarkEnd w:id="8"/>
      <w:bookmarkEnd w:id="9"/>
      <w:bookmarkEnd w:id="10"/>
      <w:bookmarkEnd w:id="11"/>
      <w:r>
        <w:rPr>
          <w:rFonts w:hint="eastAsia"/>
        </w:rPr>
        <w:t>标准</w:t>
      </w:r>
    </w:p>
    <w:p>
      <w:pPr>
        <w:spacing w:line="600" w:lineRule="exact"/>
        <w:ind w:firstLine="560"/>
      </w:pPr>
      <w:r>
        <w:rPr>
          <w:rFonts w:hint="eastAsia"/>
        </w:rPr>
        <w:t>我单位</w:t>
      </w:r>
      <w:r>
        <w:rPr>
          <w:rFonts w:hint="eastAsia"/>
          <w:lang w:val="zh-TW" w:eastAsia="zh-TW"/>
        </w:rPr>
        <w:t>根据项目的</w:t>
      </w:r>
      <w:r>
        <w:rPr>
          <w:rFonts w:hint="eastAsia"/>
        </w:rPr>
        <w:t>实施</w:t>
      </w:r>
      <w:r>
        <w:rPr>
          <w:rFonts w:hint="eastAsia"/>
          <w:lang w:val="zh-TW" w:eastAsia="zh-TW"/>
        </w:rPr>
        <w:t>资料研读及前期调研，结合项目的实际开展情况，将项目的指标体系进行了调整和完善</w:t>
      </w:r>
      <w:r>
        <w:rPr>
          <w:rFonts w:hint="eastAsia"/>
          <w:lang w:val="zh-TW"/>
        </w:rPr>
        <w:t>，</w:t>
      </w:r>
      <w:r>
        <w:rPr>
          <w:rFonts w:hint="eastAsia"/>
          <w:lang w:val="zh-TW" w:eastAsia="zh-TW"/>
        </w:rPr>
        <w:t>最终形成了项目绩效评价指标体系</w:t>
      </w:r>
      <w:r>
        <w:rPr>
          <w:rFonts w:hint="eastAsia"/>
          <w:lang w:val="zh-TW"/>
        </w:rPr>
        <w:t>，</w:t>
      </w:r>
      <w:r>
        <w:rPr>
          <w:rFonts w:hint="eastAsia"/>
        </w:rPr>
        <w:t>指标体系结构如下：</w:t>
      </w:r>
    </w:p>
    <w:tbl>
      <w:tblPr>
        <w:tblStyle w:val="14"/>
        <w:tblW w:w="874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827"/>
        <w:gridCol w:w="1200"/>
        <w:gridCol w:w="2136"/>
        <w:gridCol w:w="371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tblHeader/>
          <w:jc w:val="center"/>
        </w:trPr>
        <w:tc>
          <w:tcPr>
            <w:tcW w:w="861" w:type="dxa"/>
            <w:shd w:val="clear" w:color="auto" w:fill="FFFFFF"/>
            <w:vAlign w:val="center"/>
          </w:tcPr>
          <w:p>
            <w:pPr>
              <w:widowControl/>
              <w:snapToGrid w:val="0"/>
              <w:spacing w:line="240" w:lineRule="auto"/>
              <w:ind w:firstLine="0" w:firstLineChars="0"/>
              <w:jc w:val="center"/>
              <w:rPr>
                <w:rFonts w:ascii="仿宋" w:hAnsi="仿宋" w:eastAsia="仿宋" w:cs="仿宋"/>
                <w:b/>
                <w:bCs/>
                <w:color w:val="000000"/>
                <w:kern w:val="0"/>
                <w:sz w:val="24"/>
              </w:rPr>
            </w:pPr>
            <w:r>
              <w:rPr>
                <w:rFonts w:hint="eastAsia" w:ascii="仿宋" w:hAnsi="仿宋" w:eastAsia="仿宋" w:cs="仿宋"/>
                <w:b/>
                <w:bCs/>
                <w:color w:val="000000"/>
                <w:kern w:val="0"/>
                <w:sz w:val="24"/>
              </w:rPr>
              <w:t>一级指标</w:t>
            </w:r>
          </w:p>
        </w:tc>
        <w:tc>
          <w:tcPr>
            <w:tcW w:w="827" w:type="dxa"/>
            <w:shd w:val="clear" w:color="auto" w:fill="FFFFFF"/>
            <w:vAlign w:val="center"/>
          </w:tcPr>
          <w:p>
            <w:pPr>
              <w:widowControl/>
              <w:snapToGrid w:val="0"/>
              <w:spacing w:line="240" w:lineRule="auto"/>
              <w:ind w:firstLine="0" w:firstLineChars="0"/>
              <w:jc w:val="center"/>
              <w:rPr>
                <w:rFonts w:ascii="仿宋" w:hAnsi="仿宋" w:eastAsia="仿宋" w:cs="仿宋"/>
                <w:b/>
                <w:bCs/>
                <w:color w:val="000000"/>
                <w:kern w:val="0"/>
                <w:sz w:val="24"/>
              </w:rPr>
            </w:pPr>
            <w:r>
              <w:rPr>
                <w:rFonts w:hint="eastAsia" w:ascii="仿宋" w:hAnsi="仿宋" w:eastAsia="仿宋" w:cs="仿宋"/>
                <w:b/>
                <w:bCs/>
                <w:color w:val="000000"/>
                <w:kern w:val="0"/>
                <w:sz w:val="24"/>
              </w:rPr>
              <w:t>二级指标</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b/>
                <w:bCs/>
                <w:color w:val="000000"/>
                <w:kern w:val="0"/>
                <w:sz w:val="24"/>
              </w:rPr>
            </w:pPr>
            <w:r>
              <w:rPr>
                <w:rFonts w:hint="eastAsia" w:ascii="仿宋" w:hAnsi="仿宋" w:eastAsia="仿宋" w:cs="仿宋"/>
                <w:b/>
                <w:bCs/>
                <w:color w:val="000000"/>
                <w:kern w:val="0"/>
                <w:sz w:val="24"/>
              </w:rPr>
              <w:t>三级指标</w:t>
            </w:r>
          </w:p>
        </w:tc>
        <w:tc>
          <w:tcPr>
            <w:tcW w:w="2136" w:type="dxa"/>
            <w:shd w:val="clear" w:color="auto" w:fill="FFFFFF"/>
            <w:vAlign w:val="center"/>
          </w:tcPr>
          <w:p>
            <w:pPr>
              <w:widowControl/>
              <w:snapToGrid w:val="0"/>
              <w:spacing w:line="240" w:lineRule="auto"/>
              <w:ind w:firstLine="0" w:firstLineChars="0"/>
              <w:jc w:val="center"/>
              <w:rPr>
                <w:rFonts w:ascii="仿宋" w:hAnsi="仿宋" w:eastAsia="仿宋" w:cs="仿宋"/>
                <w:b/>
                <w:bCs/>
                <w:color w:val="000000"/>
                <w:kern w:val="0"/>
                <w:sz w:val="24"/>
              </w:rPr>
            </w:pPr>
            <w:r>
              <w:rPr>
                <w:rFonts w:hint="eastAsia" w:ascii="仿宋" w:hAnsi="仿宋" w:eastAsia="仿宋" w:cs="仿宋"/>
                <w:b/>
                <w:bCs/>
                <w:color w:val="000000"/>
                <w:kern w:val="0"/>
                <w:sz w:val="24"/>
              </w:rPr>
              <w:t>指标解释</w:t>
            </w:r>
          </w:p>
        </w:tc>
        <w:tc>
          <w:tcPr>
            <w:tcW w:w="3719" w:type="dxa"/>
            <w:shd w:val="clear" w:color="auto" w:fill="FFFFFF"/>
            <w:vAlign w:val="center"/>
          </w:tcPr>
          <w:p>
            <w:pPr>
              <w:widowControl/>
              <w:snapToGrid w:val="0"/>
              <w:spacing w:line="240" w:lineRule="auto"/>
              <w:ind w:firstLine="0" w:firstLineChars="0"/>
              <w:jc w:val="center"/>
              <w:rPr>
                <w:rFonts w:ascii="仿宋" w:hAnsi="仿宋" w:eastAsia="仿宋" w:cs="仿宋"/>
                <w:b/>
                <w:bCs/>
                <w:color w:val="000000"/>
                <w:kern w:val="0"/>
                <w:sz w:val="24"/>
              </w:rPr>
            </w:pPr>
            <w:r>
              <w:rPr>
                <w:rFonts w:hint="eastAsia" w:ascii="仿宋" w:hAnsi="仿宋" w:eastAsia="仿宋" w:cs="仿宋"/>
                <w:b/>
                <w:bCs/>
                <w:color w:val="000000"/>
                <w:kern w:val="0"/>
                <w:sz w:val="24"/>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决策</w:t>
            </w:r>
          </w:p>
        </w:tc>
        <w:tc>
          <w:tcPr>
            <w:tcW w:w="827"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项目立项</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立项依据</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充分性</w:t>
            </w:r>
          </w:p>
        </w:tc>
        <w:tc>
          <w:tcPr>
            <w:tcW w:w="2136"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项目立项是否符合法律法规、相关政策、发展规划以及部门职责，用以反映和考核项目立项依据情况。</w:t>
            </w:r>
          </w:p>
        </w:tc>
        <w:tc>
          <w:tcPr>
            <w:tcW w:w="3719" w:type="dxa"/>
            <w:shd w:val="clear" w:color="auto" w:fill="FFFFFF"/>
            <w:vAlign w:val="center"/>
          </w:tcPr>
          <w:p>
            <w:pPr>
              <w:widowControl/>
              <w:snapToGrid w:val="0"/>
              <w:spacing w:line="240" w:lineRule="auto"/>
              <w:ind w:firstLine="0" w:firstLineChars="0"/>
              <w:jc w:val="left"/>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①项目立项是否符合国家法律法规、国民经济发展规划和相关政策；</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②项目立项是否符合行业发展规划和政策要求；</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③项目立项是否与部门职责范围相符，属于部门履职所需；</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④项目是否属于公共财政支持范围，是否符合中央、地方事权支出责任划分原则；</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立项程序</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规范性</w:t>
            </w:r>
          </w:p>
        </w:tc>
        <w:tc>
          <w:tcPr>
            <w:tcW w:w="2136"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项目申请、设立过程是否符合相关要求，用以反映和考核项目立项的规范情况。</w:t>
            </w:r>
          </w:p>
        </w:tc>
        <w:tc>
          <w:tcPr>
            <w:tcW w:w="3719" w:type="dxa"/>
            <w:shd w:val="clear" w:color="auto" w:fill="FFFFFF"/>
            <w:vAlign w:val="center"/>
          </w:tcPr>
          <w:p>
            <w:pPr>
              <w:widowControl/>
              <w:snapToGrid w:val="0"/>
              <w:spacing w:line="240" w:lineRule="auto"/>
              <w:ind w:firstLine="0" w:firstLineChars="0"/>
              <w:jc w:val="left"/>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①项目是否按照规定的程序申请设立；</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②审批文件、材料是否符合相关要求；</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绩效目标　</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绩效目标</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合理性</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项目所设定的绩效目标是否依据充分，是否符合客观实际，用以反映和考核项目绩效目标与项目实施的相符情况。</w:t>
            </w:r>
          </w:p>
        </w:tc>
        <w:tc>
          <w:tcPr>
            <w:tcW w:w="3719" w:type="dxa"/>
            <w:shd w:val="clear" w:color="000000" w:fill="FFFFFF"/>
            <w:vAlign w:val="center"/>
          </w:tcPr>
          <w:p>
            <w:pPr>
              <w:widowControl/>
              <w:snapToGrid w:val="0"/>
              <w:spacing w:line="240" w:lineRule="auto"/>
              <w:ind w:firstLine="0" w:firstLineChars="0"/>
              <w:jc w:val="left"/>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（如未设定预算绩效目标，也可考核其他工作任务目标）</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①项目是否有绩效目标；</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②项目绩效目标与实际工作内容是否具有相关性；</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③项目预期产出效益和效果是否符合正常的业绩水平；</w:t>
            </w:r>
          </w:p>
          <w:p>
            <w:pPr>
              <w:widowControl/>
              <w:snapToGrid w:val="0"/>
              <w:spacing w:line="240" w:lineRule="auto"/>
              <w:ind w:firstLine="0" w:firstLineChars="0"/>
              <w:jc w:val="left"/>
              <w:rPr>
                <w:rFonts w:ascii="仿宋" w:hAnsi="仿宋" w:eastAsia="仿宋" w:cs="仿宋"/>
                <w:color w:val="000000"/>
                <w:kern w:val="0"/>
                <w:sz w:val="24"/>
              </w:rPr>
            </w:pPr>
            <w:r>
              <w:rPr>
                <w:rFonts w:hint="eastAsia" w:ascii="仿宋" w:hAnsi="仿宋" w:eastAsia="仿宋" w:cs="仿宋"/>
                <w:color w:val="000000"/>
                <w:kern w:val="0"/>
                <w:sz w:val="24"/>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决策　</w:t>
            </w:r>
          </w:p>
        </w:tc>
        <w:tc>
          <w:tcPr>
            <w:tcW w:w="827"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绩效目标</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绩效指标</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明确性</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依据绩效目标设定的绩效指标是否清晰、细化、可衡量等，用以反映和考核项目绩效目标的明细化情况。</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①是否将项目绩效目标细化分解为具体的绩效指标；</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②是否通过清晰、可衡量的指标值予以体现；</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资金投入</w:t>
            </w:r>
          </w:p>
          <w:p>
            <w:pPr>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预算编制</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科学性</w:t>
            </w:r>
          </w:p>
        </w:tc>
        <w:tc>
          <w:tcPr>
            <w:tcW w:w="2136"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项目预算编制是否经过科学论证、有明确标准，资金额度与年度目标是否相适应，用以反映和考核项目预算编制的科学性、合理性情况。</w:t>
            </w:r>
          </w:p>
        </w:tc>
        <w:tc>
          <w:tcPr>
            <w:tcW w:w="3719"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①预算编制是否经过科学论证；</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②预算内容与项目内容是否匹配；</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③预算额度测算依据是否充分，是否按照标准编制；</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资金分配</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合理性</w:t>
            </w:r>
          </w:p>
        </w:tc>
        <w:tc>
          <w:tcPr>
            <w:tcW w:w="2136"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项目预算资金分配是否有测算依据，与补助单位或地方实际是否相适应，用以反映和考核项目预算资金分配的科学性、合理性情况。</w:t>
            </w:r>
          </w:p>
        </w:tc>
        <w:tc>
          <w:tcPr>
            <w:tcW w:w="3719"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①预算资金分配依据是否充分；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过程</w:t>
            </w:r>
          </w:p>
        </w:tc>
        <w:tc>
          <w:tcPr>
            <w:tcW w:w="827"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资金到位率</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实际到位资金与预算资金的比率，用以反映和考核资金落实情况对项目实施的总体保障程度。</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资金到位率=（实际到位资金/预算资金）×100%。</w:t>
            </w:r>
          </w:p>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实际到位资金：一定时期（本年度或项目期）内落实到具体项目的资金。</w:t>
            </w:r>
          </w:p>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p>
        </w:tc>
        <w:tc>
          <w:tcPr>
            <w:tcW w:w="827" w:type="dxa"/>
            <w:vMerge w:val="continue"/>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预算执行率</w:t>
            </w:r>
          </w:p>
        </w:tc>
        <w:tc>
          <w:tcPr>
            <w:tcW w:w="2136"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项目预算资金是否按照计划执行，用以反映或考核项目预算执行情况。</w:t>
            </w:r>
          </w:p>
        </w:tc>
        <w:tc>
          <w:tcPr>
            <w:tcW w:w="3719"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预算执行率=（实际支出资金/实际到位资金）×100%。</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　</w:t>
            </w:r>
          </w:p>
          <w:p>
            <w:pPr>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过程　</w:t>
            </w:r>
          </w:p>
        </w:tc>
        <w:tc>
          <w:tcPr>
            <w:tcW w:w="827"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资金管理</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资金使用</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合规性</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项目资金使用是否符合相关的财务管理制度规定，用以反映和考核项目资金的规范运行情况。</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①是否符合国家财经法规和财务管理制度以及有关专项资金管理办法的规定；</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②资金的拨付是否有完整的审批程序和手续；</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③是否符合项目预算批复或合同规定的用途；</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p>
        </w:tc>
        <w:tc>
          <w:tcPr>
            <w:tcW w:w="827"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组织实施</w:t>
            </w:r>
          </w:p>
          <w:p>
            <w:pPr>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　</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管理制度</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健全性</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项目实施单位的财务和业务管理制度是否健全，用以反映和考核财务和业务管理制度对项目顺利实施的保障情况。</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①是否已制定或具有相应的财务和业务管理制度；</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制度执行</w:t>
            </w:r>
          </w:p>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有效性</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项目实施是否符合相关管理规定，用以反映和考核相关管理制度的有效执行情况。</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评价标准：</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①是否遵守相关法律法规和相关管理规定；</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②项目调整及支出调整手续是否完备；</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③项目合同书、验收报告、技术鉴定等资料是否齐全并及时归档；</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产出</w:t>
            </w:r>
          </w:p>
        </w:tc>
        <w:tc>
          <w:tcPr>
            <w:tcW w:w="827"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产出数量</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实际完成率</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项目实施的实际产出数与计划产出数的比率，用以反映和考核项目产出数量目标的实现程度。</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实际完成率=（实际产出数/计划产出数）×100%。</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实际产出数：一定时期（本年度或项目期）内项目实际产出的产品或提供的服务数量。</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产出</w:t>
            </w:r>
          </w:p>
        </w:tc>
        <w:tc>
          <w:tcPr>
            <w:tcW w:w="827"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产出质量</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质量达标率</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项目完成的质量达标产出数与实际产出数的比率，用以反映和考核项目产出质量目标的实现程度。</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质量达标率=（质量达标产出数/实际产出数）×100%。</w:t>
            </w:r>
          </w:p>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p>
        </w:tc>
        <w:tc>
          <w:tcPr>
            <w:tcW w:w="827" w:type="dxa"/>
            <w:shd w:val="clear" w:color="auto" w:fill="FFFFFF"/>
            <w:vAlign w:val="center"/>
          </w:tcPr>
          <w:p>
            <w:pPr>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产出时效</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完成及时性</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项目实际完成时间与计划完成时间的比较，用以反映和考核项目产出时效目标的实现程度。</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实际完成时间：项目实施单位完成该项目实际所耗用的时间。</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827"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产出成本</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成本节约率</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完成项目计划工作目标的实际节约成本与计划成本的比率，用以反映和考核项目的成本节约程度。</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成本节约率=[（计划成本-实际成本）/计划成本]×100%。</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实际成本：项目实施单位如期、保质、保量完成既定工作目标实际所耗费的支出。</w:t>
            </w:r>
            <w:r>
              <w:rPr>
                <w:rFonts w:hint="eastAsia" w:ascii="仿宋" w:hAnsi="仿宋" w:eastAsia="仿宋" w:cs="仿宋"/>
                <w:color w:val="000000"/>
                <w:kern w:val="0"/>
                <w:sz w:val="24"/>
              </w:rPr>
              <w:br w:type="textWrapping"/>
            </w:r>
            <w:r>
              <w:rPr>
                <w:rFonts w:hint="eastAsia" w:ascii="仿宋" w:hAnsi="仿宋" w:eastAsia="仿宋" w:cs="仿宋"/>
                <w:color w:val="000000"/>
                <w:kern w:val="0"/>
                <w:sz w:val="24"/>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效益　</w:t>
            </w:r>
          </w:p>
        </w:tc>
        <w:tc>
          <w:tcPr>
            <w:tcW w:w="827" w:type="dxa"/>
            <w:vMerge w:val="restart"/>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项目效益　</w:t>
            </w: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实施效益</w:t>
            </w:r>
          </w:p>
        </w:tc>
        <w:tc>
          <w:tcPr>
            <w:tcW w:w="2136" w:type="dxa"/>
            <w:shd w:val="clear" w:color="auto" w:fill="FFFFFF"/>
            <w:vAlign w:val="center"/>
          </w:tcPr>
          <w:p>
            <w:pPr>
              <w:widowControl/>
              <w:snapToGrid w:val="0"/>
              <w:spacing w:line="240" w:lineRule="auto"/>
              <w:ind w:firstLine="0" w:firstLineChars="0"/>
              <w:jc w:val="left"/>
              <w:rPr>
                <w:rFonts w:ascii="仿宋" w:hAnsi="仿宋" w:eastAsia="仿宋" w:cs="仿宋"/>
                <w:color w:val="000000"/>
                <w:kern w:val="0"/>
                <w:sz w:val="24"/>
              </w:rPr>
            </w:pPr>
            <w:r>
              <w:rPr>
                <w:rFonts w:hint="eastAsia" w:ascii="仿宋" w:hAnsi="仿宋" w:eastAsia="仿宋" w:cs="仿宋"/>
                <w:color w:val="000000"/>
                <w:kern w:val="0"/>
                <w:sz w:val="24"/>
              </w:rPr>
              <w:t>项目实施所产生的效益。</w:t>
            </w:r>
          </w:p>
        </w:tc>
        <w:tc>
          <w:tcPr>
            <w:tcW w:w="3719" w:type="dxa"/>
            <w:shd w:val="clear" w:color="auto"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 w:hRule="atLeast"/>
          <w:jc w:val="center"/>
        </w:trPr>
        <w:tc>
          <w:tcPr>
            <w:tcW w:w="861"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827" w:type="dxa"/>
            <w:vMerge w:val="continue"/>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p>
        </w:tc>
        <w:tc>
          <w:tcPr>
            <w:tcW w:w="1200" w:type="dxa"/>
            <w:shd w:val="clear" w:color="auto" w:fill="FFFFFF"/>
            <w:vAlign w:val="center"/>
          </w:tcPr>
          <w:p>
            <w:pPr>
              <w:widowControl/>
              <w:snapToGrid w:val="0"/>
              <w:spacing w:line="240" w:lineRule="auto"/>
              <w:ind w:firstLine="0" w:firstLineChars="0"/>
              <w:jc w:val="center"/>
              <w:rPr>
                <w:rFonts w:ascii="仿宋" w:hAnsi="仿宋" w:eastAsia="仿宋" w:cs="仿宋"/>
                <w:color w:val="000000"/>
                <w:kern w:val="0"/>
                <w:sz w:val="24"/>
              </w:rPr>
            </w:pPr>
            <w:r>
              <w:rPr>
                <w:rFonts w:hint="eastAsia" w:ascii="仿宋" w:hAnsi="仿宋" w:eastAsia="仿宋" w:cs="仿宋"/>
                <w:color w:val="000000"/>
                <w:kern w:val="0"/>
                <w:sz w:val="24"/>
              </w:rPr>
              <w:t>满意度</w:t>
            </w:r>
          </w:p>
        </w:tc>
        <w:tc>
          <w:tcPr>
            <w:tcW w:w="2136"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社会公众或服务对象对项目实施效果的满意程度。</w:t>
            </w:r>
          </w:p>
        </w:tc>
        <w:tc>
          <w:tcPr>
            <w:tcW w:w="3719" w:type="dxa"/>
            <w:shd w:val="clear" w:color="000000" w:fill="FFFFFF"/>
            <w:vAlign w:val="center"/>
          </w:tcPr>
          <w:p>
            <w:pPr>
              <w:widowControl/>
              <w:snapToGrid w:val="0"/>
              <w:spacing w:line="240" w:lineRule="auto"/>
              <w:ind w:firstLine="0" w:firstLineChars="0"/>
              <w:rPr>
                <w:rFonts w:ascii="仿宋" w:hAnsi="仿宋" w:eastAsia="仿宋" w:cs="仿宋"/>
                <w:color w:val="000000"/>
                <w:kern w:val="0"/>
                <w:sz w:val="24"/>
              </w:rPr>
            </w:pPr>
            <w:r>
              <w:rPr>
                <w:rFonts w:hint="eastAsia" w:ascii="仿宋" w:hAnsi="仿宋" w:eastAsia="仿宋" w:cs="仿宋"/>
                <w:color w:val="000000"/>
                <w:kern w:val="0"/>
                <w:sz w:val="24"/>
              </w:rPr>
              <w:t>社会公众或服务对象是指因该项目实施而受到影响的部门（单位）、群体或个人。一般采取社会调查的方式。</w:t>
            </w:r>
          </w:p>
        </w:tc>
      </w:tr>
    </w:tbl>
    <w:p>
      <w:pPr>
        <w:pStyle w:val="6"/>
        <w:ind w:firstLine="562"/>
      </w:pPr>
      <w:r>
        <w:rPr>
          <w:rFonts w:hint="eastAsia"/>
        </w:rPr>
        <w:t>3.评价方法</w:t>
      </w:r>
    </w:p>
    <w:p>
      <w:pPr>
        <w:ind w:firstLine="560"/>
      </w:pPr>
      <w:r>
        <w:rPr>
          <w:rFonts w:hint="eastAsia"/>
        </w:rPr>
        <w:t>本次绩效评价采用的方法比较法、公众评判法对项目绩效目标预期指标值与实施情况进行比较，以及采取公众问卷及抽样调查等方式进行评判的方法对该项目进行评价。</w:t>
      </w:r>
    </w:p>
    <w:p>
      <w:pPr>
        <w:pStyle w:val="4"/>
        <w:ind w:firstLine="640"/>
      </w:pPr>
      <w:r>
        <w:rPr>
          <w:rFonts w:hint="eastAsia"/>
        </w:rPr>
        <w:t>三、综合评价情况及评价结论</w:t>
      </w:r>
    </w:p>
    <w:p>
      <w:pPr>
        <w:ind w:firstLine="560"/>
      </w:pPr>
      <w:r>
        <w:rPr>
          <w:rFonts w:hint="eastAsia"/>
        </w:rPr>
        <w:t>此次绩效评价通过组论证的评价指标体系及评分标准，采用的方法比较法、公众评判法，对2019年于田县农区统一灭鼠技术项目绩效进行客观评价，最终评分结果：总分为97.25分，绩效评级为“优秀”。各部分权重和绩效汇总分值如下表所示：</w:t>
      </w:r>
    </w:p>
    <w:tbl>
      <w:tblPr>
        <w:tblStyle w:val="14"/>
        <w:tblW w:w="8289" w:type="dxa"/>
        <w:jc w:val="center"/>
        <w:tblLayout w:type="fixed"/>
        <w:tblCellMar>
          <w:top w:w="0" w:type="dxa"/>
          <w:left w:w="0" w:type="dxa"/>
          <w:bottom w:w="0" w:type="dxa"/>
          <w:right w:w="0" w:type="dxa"/>
        </w:tblCellMar>
      </w:tblPr>
      <w:tblGrid>
        <w:gridCol w:w="1094"/>
        <w:gridCol w:w="1361"/>
        <w:gridCol w:w="1361"/>
        <w:gridCol w:w="1361"/>
        <w:gridCol w:w="1623"/>
        <w:gridCol w:w="1489"/>
      </w:tblGrid>
      <w:tr>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color w:val="000000"/>
                <w:sz w:val="24"/>
              </w:rPr>
            </w:pPr>
            <w:r>
              <w:rPr>
                <w:rFonts w:hint="eastAsia" w:ascii="仿宋" w:hAnsi="仿宋" w:eastAsia="仿宋" w:cs="仿宋"/>
                <w:b/>
                <w:color w:val="000000"/>
                <w:kern w:val="0"/>
                <w:sz w:val="24"/>
                <w:lang w:bidi="ar"/>
              </w:rPr>
              <w:t>表3-1：2019年农区统一灭鼠技术项目得分表</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ascii="仿宋" w:hAnsi="仿宋" w:eastAsia="仿宋" w:cs="仿宋"/>
                <w:color w:val="000000"/>
                <w:kern w:val="0"/>
                <w:sz w:val="24"/>
                <w:lang w:bidi="ar"/>
              </w:rPr>
              <w:t>27.25</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ascii="仿宋" w:hAnsi="仿宋" w:eastAsia="仿宋" w:cs="仿宋"/>
                <w:color w:val="000000"/>
                <w:kern w:val="0"/>
                <w:sz w:val="24"/>
                <w:lang w:bidi="ar"/>
              </w:rPr>
              <w:t>97.25</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center"/>
              <w:textAlignment w:val="center"/>
              <w:rPr>
                <w:rFonts w:ascii="仿宋" w:hAnsi="仿宋" w:eastAsia="仿宋" w:cs="仿宋"/>
                <w:b/>
                <w:bCs/>
                <w:color w:val="000000"/>
                <w:sz w:val="24"/>
              </w:rPr>
            </w:pPr>
            <w:r>
              <w:rPr>
                <w:rFonts w:hint="eastAsia" w:ascii="仿宋" w:hAnsi="仿宋" w:eastAsia="仿宋" w:cs="仿宋"/>
                <w:b/>
                <w:bCs/>
                <w:color w:val="000000"/>
                <w:kern w:val="0"/>
                <w:sz w:val="24"/>
                <w:lang w:bidi="ar"/>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ind w:firstLine="0" w:firstLineChars="0"/>
              <w:jc w:val="right"/>
              <w:textAlignment w:val="center"/>
              <w:rPr>
                <w:rFonts w:ascii="仿宋" w:hAnsi="仿宋" w:eastAsia="仿宋" w:cs="仿宋"/>
                <w:color w:val="000000"/>
                <w:sz w:val="24"/>
              </w:rPr>
            </w:pPr>
            <w:r>
              <w:rPr>
                <w:rFonts w:hint="eastAsia" w:ascii="仿宋" w:hAnsi="仿宋" w:eastAsia="仿宋" w:cs="仿宋"/>
                <w:color w:val="000000"/>
                <w:kern w:val="0"/>
                <w:sz w:val="24"/>
                <w:lang w:bidi="ar"/>
              </w:rPr>
              <w:t>100%</w:t>
            </w:r>
          </w:p>
        </w:tc>
        <w:tc>
          <w:tcPr>
            <w:tcW w:w="13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ind w:firstLine="0" w:firstLineChars="0"/>
              <w:jc w:val="right"/>
              <w:textAlignment w:val="center"/>
              <w:rPr>
                <w:rFonts w:ascii="仿宋" w:hAnsi="仿宋" w:eastAsia="仿宋" w:cs="仿宋"/>
                <w:color w:val="000000"/>
                <w:kern w:val="0"/>
                <w:sz w:val="24"/>
                <w:lang w:bidi="ar"/>
              </w:rPr>
            </w:pPr>
            <w:r>
              <w:rPr>
                <w:rFonts w:ascii="仿宋" w:hAnsi="仿宋" w:eastAsia="仿宋" w:cs="仿宋"/>
                <w:color w:val="000000"/>
                <w:kern w:val="0"/>
                <w:sz w:val="24"/>
                <w:lang w:bidi="ar"/>
              </w:rPr>
              <w:t>91%</w:t>
            </w: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ind w:firstLine="0" w:firstLineChars="0"/>
              <w:jc w:val="right"/>
              <w:textAlignment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100%</w:t>
            </w:r>
          </w:p>
        </w:tc>
        <w:tc>
          <w:tcPr>
            <w:tcW w:w="14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ind w:firstLine="0" w:firstLineChars="0"/>
              <w:jc w:val="right"/>
              <w:textAlignment w:val="center"/>
              <w:rPr>
                <w:rFonts w:ascii="仿宋" w:hAnsi="仿宋" w:eastAsia="仿宋" w:cs="仿宋"/>
                <w:color w:val="000000"/>
                <w:kern w:val="0"/>
                <w:sz w:val="24"/>
                <w:lang w:bidi="ar"/>
              </w:rPr>
            </w:pPr>
            <w:r>
              <w:rPr>
                <w:rFonts w:ascii="仿宋" w:hAnsi="仿宋" w:eastAsia="仿宋" w:cs="仿宋"/>
                <w:color w:val="000000"/>
                <w:kern w:val="0"/>
                <w:sz w:val="24"/>
                <w:lang w:bidi="ar"/>
              </w:rPr>
              <w:t>97%</w:t>
            </w:r>
          </w:p>
        </w:tc>
      </w:tr>
    </w:tbl>
    <w:p>
      <w:pPr>
        <w:pStyle w:val="4"/>
        <w:ind w:firstLine="640"/>
      </w:pPr>
      <w:r>
        <w:rPr>
          <w:rFonts w:hint="eastAsia"/>
        </w:rPr>
        <w:t>四、绩效评价指标分析</w:t>
      </w:r>
    </w:p>
    <w:p>
      <w:pPr>
        <w:pStyle w:val="5"/>
        <w:ind w:firstLine="643"/>
      </w:pPr>
      <w:r>
        <w:rPr>
          <w:rFonts w:hint="eastAsia"/>
        </w:rPr>
        <w:t>（一）项目决策情况</w:t>
      </w:r>
    </w:p>
    <w:p>
      <w:pPr>
        <w:ind w:firstLine="560"/>
      </w:pPr>
      <w:r>
        <w:rPr>
          <w:rFonts w:hint="eastAsia"/>
        </w:rPr>
        <w:t>项目决策由3个二级指标和6个三级指标构成，权重分20分，实际得分20分，各指标业绩值和绩效分值如表4-1所示：</w:t>
      </w:r>
    </w:p>
    <w:p>
      <w:pPr>
        <w:keepNext/>
        <w:keepLines/>
        <w:ind w:firstLine="482"/>
        <w:jc w:val="center"/>
        <w:rPr>
          <w:rFonts w:ascii="仿宋" w:hAnsi="仿宋" w:eastAsia="仿宋" w:cs="仿宋"/>
          <w:sz w:val="24"/>
        </w:rPr>
      </w:pPr>
      <w:r>
        <w:rPr>
          <w:rFonts w:hint="eastAsia" w:ascii="仿宋" w:hAnsi="仿宋" w:eastAsia="仿宋" w:cs="仿宋"/>
          <w:b/>
          <w:bCs/>
          <w:color w:val="000000"/>
          <w:sz w:val="24"/>
          <w:u w:color="000000"/>
          <w:lang w:val="zh-TW" w:eastAsia="zh-TW"/>
        </w:rPr>
        <w:t>表</w:t>
      </w:r>
      <w:r>
        <w:rPr>
          <w:rFonts w:hint="eastAsia" w:ascii="仿宋" w:hAnsi="仿宋" w:eastAsia="仿宋" w:cs="仿宋"/>
          <w:b/>
          <w:bCs/>
          <w:color w:val="000000"/>
          <w:sz w:val="24"/>
          <w:u w:color="000000"/>
        </w:rPr>
        <w:t>4-1</w:t>
      </w:r>
      <w:r>
        <w:rPr>
          <w:rFonts w:hint="eastAsia" w:ascii="仿宋" w:hAnsi="仿宋" w:eastAsia="仿宋" w:cs="仿宋"/>
          <w:b/>
          <w:bCs/>
          <w:color w:val="000000"/>
          <w:sz w:val="24"/>
          <w:u w:color="000000"/>
          <w:lang w:val="zh-TW" w:eastAsia="zh-TW"/>
        </w:rPr>
        <w:t>项目决策指标及分值</w:t>
      </w:r>
    </w:p>
    <w:tbl>
      <w:tblPr>
        <w:tblStyle w:val="14"/>
        <w:tblW w:w="8447" w:type="dxa"/>
        <w:jc w:val="center"/>
        <w:tblLayout w:type="fixed"/>
        <w:tblCellMar>
          <w:top w:w="0" w:type="dxa"/>
          <w:left w:w="0" w:type="dxa"/>
          <w:bottom w:w="0" w:type="dxa"/>
          <w:right w:w="0" w:type="dxa"/>
        </w:tblCellMar>
      </w:tblPr>
      <w:tblGrid>
        <w:gridCol w:w="1077"/>
        <w:gridCol w:w="960"/>
        <w:gridCol w:w="1248"/>
        <w:gridCol w:w="797"/>
        <w:gridCol w:w="1871"/>
        <w:gridCol w:w="1417"/>
        <w:gridCol w:w="1077"/>
      </w:tblGrid>
      <w:tr>
        <w:tblPrEx>
          <w:tblCellMar>
            <w:top w:w="0" w:type="dxa"/>
            <w:left w:w="0" w:type="dxa"/>
            <w:bottom w:w="0" w:type="dxa"/>
            <w:right w:w="0" w:type="dxa"/>
          </w:tblCellMar>
        </w:tblPrEx>
        <w:trPr>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二级指标</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分值</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三级指标</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分值</w:t>
            </w:r>
          </w:p>
        </w:tc>
        <w:tc>
          <w:tcPr>
            <w:tcW w:w="107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得分</w:t>
            </w:r>
          </w:p>
        </w:tc>
      </w:tr>
      <w:tr>
        <w:tblPrEx>
          <w:tblCellMar>
            <w:top w:w="0" w:type="dxa"/>
            <w:left w:w="0" w:type="dxa"/>
            <w:bottom w:w="0" w:type="dxa"/>
            <w:right w:w="0" w:type="dxa"/>
          </w:tblCellMar>
        </w:tblPrEx>
        <w:trPr>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项目立项　</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立项依据充分性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立项程序规范性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3</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绩效目标</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10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绩效目标合理性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绩效指标明确性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5</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5</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资金投入</w:t>
            </w:r>
          </w:p>
        </w:tc>
        <w:tc>
          <w:tcPr>
            <w:tcW w:w="79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5</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预算编制科学性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w:t>
            </w:r>
          </w:p>
        </w:tc>
      </w:tr>
      <w:tr>
        <w:tblPrEx>
          <w:tblCellMar>
            <w:top w:w="0" w:type="dxa"/>
            <w:left w:w="0" w:type="dxa"/>
            <w:bottom w:w="0" w:type="dxa"/>
            <w:right w:w="0" w:type="dxa"/>
          </w:tblCellMar>
        </w:tblPrEx>
        <w:trPr>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79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spacing w:line="240" w:lineRule="atLeast"/>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资金分配合理性</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3</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合计</w:t>
            </w:r>
          </w:p>
        </w:tc>
        <w:tc>
          <w:tcPr>
            <w:tcW w:w="7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20</w:t>
            </w:r>
          </w:p>
        </w:tc>
        <w:tc>
          <w:tcPr>
            <w:tcW w:w="187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left"/>
              <w:textAlignment w:val="center"/>
              <w:rPr>
                <w:rFonts w:ascii="仿宋" w:hAnsi="仿宋" w:eastAsia="仿宋" w:cs="仿宋"/>
                <w:color w:val="000000"/>
                <w:sz w:val="24"/>
              </w:rPr>
            </w:pP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20</w:t>
            </w:r>
          </w:p>
        </w:tc>
      </w:tr>
    </w:tbl>
    <w:p>
      <w:pPr>
        <w:pStyle w:val="5"/>
        <w:ind w:firstLine="643"/>
      </w:pPr>
      <w:r>
        <w:rPr>
          <w:rFonts w:hint="eastAsia"/>
        </w:rPr>
        <w:t>（二）项目过程情况</w:t>
      </w:r>
    </w:p>
    <w:p>
      <w:pPr>
        <w:ind w:firstLine="560"/>
        <w:rPr>
          <w:color w:val="000000"/>
          <w:u w:color="000000"/>
          <w:lang w:val="zh-TW" w:eastAsia="zh-TW"/>
        </w:rPr>
      </w:pPr>
      <w:r>
        <w:rPr>
          <w:rFonts w:hint="eastAsia"/>
          <w:color w:val="000000"/>
          <w:u w:color="000000"/>
          <w:lang w:val="zh-TW" w:eastAsia="zh-TW"/>
        </w:rPr>
        <w:t>项目过程管理类指标由2个二级指标和5个三级指标构成，权重分20分，实际得分20分，各指标业绩值和绩效分值如表4-2所示：</w:t>
      </w:r>
    </w:p>
    <w:p>
      <w:pPr>
        <w:ind w:firstLine="482"/>
        <w:jc w:val="center"/>
        <w:rPr>
          <w:rFonts w:ascii="仿宋" w:hAnsi="仿宋" w:eastAsia="仿宋" w:cs="仿宋"/>
          <w:b/>
          <w:bCs/>
          <w:color w:val="000000"/>
          <w:sz w:val="24"/>
          <w:u w:color="000000"/>
        </w:rPr>
      </w:pPr>
      <w:r>
        <w:rPr>
          <w:rFonts w:hint="eastAsia" w:ascii="仿宋" w:hAnsi="仿宋" w:eastAsia="仿宋" w:cs="仿宋"/>
          <w:b/>
          <w:bCs/>
          <w:color w:val="000000"/>
          <w:sz w:val="24"/>
          <w:u w:color="000000"/>
          <w:lang w:val="zh-TW" w:eastAsia="zh-TW"/>
        </w:rPr>
        <w:t>表</w:t>
      </w:r>
      <w:r>
        <w:rPr>
          <w:rFonts w:hint="eastAsia" w:ascii="仿宋" w:hAnsi="仿宋" w:eastAsia="仿宋" w:cs="仿宋"/>
          <w:b/>
          <w:bCs/>
          <w:color w:val="000000"/>
          <w:sz w:val="24"/>
          <w:u w:color="000000"/>
        </w:rPr>
        <w:t>4-2</w:t>
      </w:r>
      <w:r>
        <w:rPr>
          <w:rFonts w:hint="eastAsia" w:ascii="仿宋" w:hAnsi="仿宋" w:eastAsia="仿宋" w:cs="仿宋"/>
          <w:b/>
          <w:bCs/>
          <w:color w:val="000000"/>
          <w:sz w:val="24"/>
          <w:u w:color="000000"/>
          <w:lang w:val="zh-TW" w:eastAsia="zh-TW"/>
        </w:rPr>
        <w:t>项目</w:t>
      </w:r>
      <w:r>
        <w:rPr>
          <w:rFonts w:hint="eastAsia" w:ascii="仿宋" w:hAnsi="仿宋" w:eastAsia="仿宋" w:cs="仿宋"/>
          <w:b/>
          <w:bCs/>
          <w:color w:val="000000"/>
          <w:sz w:val="24"/>
          <w:u w:color="000000"/>
          <w:lang w:val="zh-TW"/>
        </w:rPr>
        <w:t>管理</w:t>
      </w:r>
      <w:r>
        <w:rPr>
          <w:rFonts w:hint="eastAsia" w:ascii="仿宋" w:hAnsi="仿宋" w:eastAsia="仿宋" w:cs="仿宋"/>
          <w:b/>
          <w:bCs/>
          <w:color w:val="000000"/>
          <w:sz w:val="24"/>
          <w:u w:color="000000"/>
          <w:lang w:val="zh-TW" w:eastAsia="zh-TW"/>
        </w:rPr>
        <w:t>指标及分值</w:t>
      </w:r>
      <w:r>
        <w:rPr>
          <w:rFonts w:hint="eastAsia" w:ascii="仿宋" w:hAnsi="仿宋" w:eastAsia="仿宋" w:cs="仿宋"/>
          <w:b/>
          <w:bCs/>
          <w:color w:val="000000"/>
          <w:sz w:val="24"/>
          <w:u w:color="000000"/>
        </w:rPr>
        <w:t>情况</w:t>
      </w:r>
    </w:p>
    <w:tbl>
      <w:tblPr>
        <w:tblStyle w:val="14"/>
        <w:tblW w:w="8317" w:type="dxa"/>
        <w:jc w:val="center"/>
        <w:tblLayout w:type="fixed"/>
        <w:tblCellMar>
          <w:top w:w="0" w:type="dxa"/>
          <w:left w:w="0" w:type="dxa"/>
          <w:bottom w:w="0" w:type="dxa"/>
          <w:right w:w="0" w:type="dxa"/>
        </w:tblCellMar>
      </w:tblPr>
      <w:tblGrid>
        <w:gridCol w:w="1182"/>
        <w:gridCol w:w="738"/>
        <w:gridCol w:w="1248"/>
        <w:gridCol w:w="1176"/>
        <w:gridCol w:w="1644"/>
        <w:gridCol w:w="1176"/>
        <w:gridCol w:w="1153"/>
      </w:tblGrid>
      <w:tr>
        <w:tblPrEx>
          <w:tblCellMar>
            <w:top w:w="0" w:type="dxa"/>
            <w:left w:w="0" w:type="dxa"/>
            <w:bottom w:w="0" w:type="dxa"/>
            <w:right w:w="0" w:type="dxa"/>
          </w:tblCellMar>
        </w:tblPrEx>
        <w:trPr>
          <w:trHeight w:val="23"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分值</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三级指标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12</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资金到位率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预算执行率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left"/>
              <w:textAlignment w:val="center"/>
              <w:rPr>
                <w:rFonts w:ascii="仿宋" w:hAnsi="仿宋" w:eastAsia="仿宋" w:cs="仿宋"/>
                <w:color w:val="000000"/>
                <w:sz w:val="24"/>
              </w:rPr>
            </w:pPr>
            <w:r>
              <w:rPr>
                <w:rFonts w:hint="eastAsia" w:ascii="仿宋" w:hAnsi="仿宋" w:eastAsia="仿宋" w:cs="仿宋"/>
                <w:color w:val="000000"/>
                <w:kern w:val="0"/>
                <w:sz w:val="24"/>
                <w:lang w:bidi="ar"/>
              </w:rPr>
              <w:t>资金使用合规性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textAlignment w:val="center"/>
              <w:rPr>
                <w:rFonts w:ascii="仿宋" w:hAnsi="仿宋" w:eastAsia="仿宋" w:cs="仿宋"/>
                <w:color w:val="000000"/>
                <w:sz w:val="24"/>
              </w:rPr>
            </w:pPr>
            <w:r>
              <w:rPr>
                <w:rFonts w:hint="eastAsia" w:ascii="仿宋" w:hAnsi="仿宋" w:eastAsia="仿宋" w:cs="仿宋"/>
                <w:color w:val="000000"/>
                <w:sz w:val="24"/>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8</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管理制度健全性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kern w:val="0"/>
                <w:sz w:val="24"/>
                <w:lang w:bidi="ar"/>
              </w:rPr>
              <w:t>制度执行有效性</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pacing w:line="240" w:lineRule="auto"/>
              <w:ind w:firstLine="0" w:firstLineChars="0"/>
              <w:jc w:val="center"/>
              <w:textAlignment w:val="center"/>
              <w:rPr>
                <w:rFonts w:ascii="仿宋" w:hAnsi="仿宋" w:eastAsia="仿宋" w:cs="仿宋"/>
                <w:sz w:val="24"/>
              </w:rPr>
            </w:pPr>
            <w:r>
              <w:rPr>
                <w:rFonts w:hint="eastAsia" w:ascii="仿宋" w:hAnsi="仿宋" w:eastAsia="仿宋" w:cs="仿宋"/>
                <w:sz w:val="24"/>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rPr>
                <w:rFonts w:ascii="仿宋" w:hAnsi="仿宋" w:eastAsia="仿宋" w:cs="仿宋"/>
                <w:color w:val="000000"/>
                <w:sz w:val="24"/>
              </w:rPr>
            </w:pPr>
            <w:r>
              <w:rPr>
                <w:rFonts w:hint="eastAsia" w:ascii="仿宋" w:hAnsi="仿宋" w:eastAsia="仿宋" w:cs="仿宋"/>
                <w:color w:val="000000"/>
                <w:sz w:val="24"/>
              </w:rPr>
              <w:t>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left"/>
              <w:textAlignment w:val="center"/>
              <w:rPr>
                <w:rFonts w:ascii="仿宋" w:hAnsi="仿宋" w:eastAsia="仿宋" w:cs="仿宋"/>
                <w:color w:val="000000"/>
                <w:sz w:val="24"/>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snapToGrid w:val="0"/>
              <w:spacing w:line="240" w:lineRule="auto"/>
              <w:ind w:firstLine="0" w:firstLineChars="0"/>
              <w:jc w:val="center"/>
              <w:textAlignment w:val="center"/>
              <w:rPr>
                <w:rFonts w:ascii="仿宋" w:hAnsi="仿宋" w:eastAsia="仿宋" w:cs="仿宋"/>
                <w:color w:val="000000"/>
                <w:sz w:val="24"/>
              </w:rPr>
            </w:pPr>
            <w:r>
              <w:rPr>
                <w:rFonts w:hint="eastAsia" w:ascii="仿宋" w:hAnsi="仿宋" w:eastAsia="仿宋" w:cs="仿宋"/>
                <w:color w:val="000000"/>
                <w:sz w:val="24"/>
              </w:rPr>
              <w:t>20</w:t>
            </w:r>
          </w:p>
        </w:tc>
      </w:tr>
    </w:tbl>
    <w:p>
      <w:pPr>
        <w:pStyle w:val="5"/>
        <w:numPr>
          <w:ilvl w:val="0"/>
          <w:numId w:val="3"/>
        </w:numPr>
        <w:ind w:firstLine="643"/>
      </w:pPr>
      <w:r>
        <w:rPr>
          <w:rFonts w:hint="eastAsia"/>
        </w:rPr>
        <w:t>项目产出情况</w:t>
      </w:r>
    </w:p>
    <w:p>
      <w:pPr>
        <w:ind w:firstLine="560"/>
        <w:rPr>
          <w:color w:val="000000"/>
          <w:u w:color="000000"/>
          <w:lang w:val="zh-TW" w:eastAsia="zh-TW"/>
        </w:rPr>
      </w:pPr>
      <w:r>
        <w:rPr>
          <w:rFonts w:hint="eastAsia"/>
          <w:color w:val="000000"/>
          <w:u w:color="000000"/>
          <w:lang w:val="zh-TW" w:eastAsia="zh-TW"/>
        </w:rPr>
        <w:t>项目产出类指标由4个二级指标和8个三级指标构成，权重分30分，实际得分27.25分，各指标业绩值和绩效分值如表4-3所示：</w:t>
      </w:r>
    </w:p>
    <w:p>
      <w:pPr>
        <w:keepNext/>
        <w:keepLines/>
        <w:ind w:firstLine="482"/>
        <w:jc w:val="center"/>
        <w:rPr>
          <w:rFonts w:hint="eastAsia" w:ascii="仿宋" w:hAnsi="仿宋" w:eastAsia="仿宋" w:cs="仿宋"/>
          <w:b/>
          <w:bCs/>
          <w:color w:val="000000"/>
          <w:sz w:val="24"/>
          <w:u w:color="000000"/>
        </w:rPr>
      </w:pPr>
      <w:r>
        <w:rPr>
          <w:rFonts w:hint="eastAsia" w:ascii="仿宋" w:hAnsi="仿宋" w:eastAsia="仿宋" w:cs="仿宋"/>
          <w:b/>
          <w:bCs/>
          <w:color w:val="000000"/>
          <w:sz w:val="24"/>
          <w:u w:color="000000"/>
          <w:lang w:val="zh-TW" w:eastAsia="zh-TW"/>
        </w:rPr>
        <w:t>表</w:t>
      </w:r>
      <w:r>
        <w:rPr>
          <w:rFonts w:hint="eastAsia" w:ascii="仿宋" w:hAnsi="仿宋" w:eastAsia="仿宋" w:cs="仿宋"/>
          <w:b/>
          <w:bCs/>
          <w:color w:val="000000"/>
          <w:sz w:val="24"/>
          <w:u w:color="000000"/>
        </w:rPr>
        <w:t>4-3</w:t>
      </w:r>
      <w:r>
        <w:rPr>
          <w:rFonts w:hint="eastAsia" w:ascii="仿宋" w:hAnsi="仿宋" w:eastAsia="仿宋" w:cs="仿宋"/>
          <w:b/>
          <w:bCs/>
          <w:sz w:val="24"/>
        </w:rPr>
        <w:t>项目产出</w:t>
      </w:r>
      <w:r>
        <w:rPr>
          <w:rFonts w:hint="eastAsia" w:ascii="仿宋" w:hAnsi="仿宋" w:eastAsia="仿宋" w:cs="仿宋"/>
          <w:b/>
          <w:bCs/>
          <w:color w:val="000000"/>
          <w:sz w:val="24"/>
          <w:u w:color="000000"/>
          <w:lang w:val="zh-TW" w:eastAsia="zh-TW"/>
        </w:rPr>
        <w:t>指标及分值</w:t>
      </w:r>
      <w:r>
        <w:rPr>
          <w:rFonts w:hint="eastAsia" w:ascii="仿宋" w:hAnsi="仿宋" w:eastAsia="仿宋" w:cs="仿宋"/>
          <w:b/>
          <w:bCs/>
          <w:color w:val="000000"/>
          <w:sz w:val="24"/>
          <w:u w:color="000000"/>
        </w:rPr>
        <w:t>情况</w:t>
      </w:r>
    </w:p>
    <w:tbl>
      <w:tblPr>
        <w:tblStyle w:val="14"/>
        <w:tblW w:w="8869" w:type="dxa"/>
        <w:tblInd w:w="0" w:type="dxa"/>
        <w:tblLayout w:type="fixed"/>
        <w:tblCellMar>
          <w:top w:w="0" w:type="dxa"/>
          <w:left w:w="0" w:type="dxa"/>
          <w:bottom w:w="0" w:type="dxa"/>
          <w:right w:w="0" w:type="dxa"/>
        </w:tblCellMar>
      </w:tblPr>
      <w:tblGrid>
        <w:gridCol w:w="915"/>
        <w:gridCol w:w="1031"/>
        <w:gridCol w:w="2522"/>
        <w:gridCol w:w="1217"/>
        <w:gridCol w:w="709"/>
        <w:gridCol w:w="992"/>
        <w:gridCol w:w="707"/>
        <w:gridCol w:w="776"/>
      </w:tblGrid>
      <w:tr>
        <w:tblPrEx>
          <w:tblCellMar>
            <w:top w:w="0" w:type="dxa"/>
            <w:left w:w="0" w:type="dxa"/>
            <w:bottom w:w="0" w:type="dxa"/>
            <w:right w:w="0" w:type="dxa"/>
          </w:tblCellMar>
        </w:tblPrEx>
        <w:trPr>
          <w:trHeight w:val="23" w:hRule="atLeast"/>
        </w:trPr>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一级指标</w:t>
            </w:r>
          </w:p>
        </w:tc>
        <w:tc>
          <w:tcPr>
            <w:tcW w:w="10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二级指标</w:t>
            </w:r>
          </w:p>
        </w:tc>
        <w:tc>
          <w:tcPr>
            <w:tcW w:w="25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三级指标</w:t>
            </w:r>
          </w:p>
        </w:tc>
        <w:tc>
          <w:tcPr>
            <w:tcW w:w="121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年度指标值</w:t>
            </w:r>
          </w:p>
        </w:tc>
        <w:tc>
          <w:tcPr>
            <w:tcW w:w="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标杆分值</w:t>
            </w:r>
          </w:p>
        </w:tc>
        <w:tc>
          <w:tcPr>
            <w:tcW w:w="9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全年实际完成值</w:t>
            </w:r>
          </w:p>
        </w:tc>
        <w:tc>
          <w:tcPr>
            <w:tcW w:w="70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指标得分</w:t>
            </w:r>
          </w:p>
        </w:tc>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备注</w:t>
            </w:r>
          </w:p>
        </w:tc>
      </w:tr>
      <w:tr>
        <w:tblPrEx>
          <w:tblCellMar>
            <w:top w:w="0" w:type="dxa"/>
            <w:left w:w="0" w:type="dxa"/>
            <w:bottom w:w="0" w:type="dxa"/>
            <w:right w:w="0" w:type="dxa"/>
          </w:tblCellMar>
        </w:tblPrEx>
        <w:trPr>
          <w:trHeight w:val="23"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产出</w:t>
            </w: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数量指标</w:t>
            </w: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收益户</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10000</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rPr>
            </w:pPr>
            <w:r>
              <w:rPr>
                <w:rFonts w:hint="eastAsia" w:asciiTheme="minorEastAsia" w:hAnsiTheme="minorEastAsia" w:eastAsiaTheme="minorEastAsia" w:cstheme="minorEastAsia"/>
                <w:color w:val="000000"/>
                <w:kern w:val="0"/>
                <w:sz w:val="24"/>
                <w:lang w:bidi="ar"/>
              </w:rPr>
              <w:t>防止效果</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80%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80%</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质量指标</w:t>
            </w: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重大疫情月报完成率</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小麦玉米等重大病虫害周报完成率</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时效指标</w:t>
            </w: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规定时限内支出资金</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26.67%</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1.00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资金按时到位率</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0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成本指标</w:t>
            </w: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每户补助</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3</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3</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0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25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预算执行率</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w:t>
            </w: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3.75 </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568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合计</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r>
              <w:rPr>
                <w:rFonts w:asciiTheme="minorEastAsia" w:hAnsiTheme="minorEastAsia" w:eastAsiaTheme="minorEastAsia" w:cstheme="minorEastAsia"/>
                <w:color w:val="000000"/>
                <w:sz w:val="24"/>
              </w:rPr>
              <w:t>30.0</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c>
          <w:tcPr>
            <w:tcW w:w="7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r>
              <w:rPr>
                <w:rFonts w:asciiTheme="minorEastAsia" w:hAnsiTheme="minorEastAsia" w:eastAsiaTheme="minorEastAsia" w:cstheme="minorEastAsia"/>
                <w:color w:val="000000"/>
                <w:sz w:val="24"/>
              </w:rPr>
              <w:t>27.25</w:t>
            </w:r>
          </w:p>
        </w:tc>
        <w:tc>
          <w:tcPr>
            <w:tcW w:w="7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bl>
    <w:p>
      <w:pPr>
        <w:pStyle w:val="2"/>
        <w:ind w:left="560" w:firstLine="560"/>
      </w:pPr>
    </w:p>
    <w:p>
      <w:pPr>
        <w:pStyle w:val="5"/>
        <w:numPr>
          <w:ilvl w:val="0"/>
          <w:numId w:val="3"/>
        </w:numPr>
        <w:ind w:firstLine="643"/>
      </w:pPr>
      <w:r>
        <w:rPr>
          <w:rFonts w:hint="eastAsia"/>
        </w:rPr>
        <w:t>项目效益情况</w:t>
      </w:r>
    </w:p>
    <w:p>
      <w:pPr>
        <w:ind w:firstLine="560"/>
        <w:rPr>
          <w:color w:val="000000"/>
          <w:u w:color="000000"/>
          <w:lang w:val="zh-TW" w:eastAsia="zh-TW"/>
        </w:rPr>
      </w:pPr>
      <w:r>
        <w:rPr>
          <w:rFonts w:hint="eastAsia"/>
          <w:color w:val="000000"/>
          <w:u w:color="000000"/>
          <w:lang w:val="zh-TW" w:eastAsia="zh-TW"/>
        </w:rPr>
        <w:t>项目产出类指标由5个二级指标和6个三级指标构成，权重分30分，实际得分30分，各指标业绩值和绩效分值如表4-3所示：</w:t>
      </w:r>
    </w:p>
    <w:p>
      <w:pPr>
        <w:keepNext/>
        <w:keepLines/>
        <w:ind w:firstLine="482"/>
        <w:jc w:val="center"/>
        <w:rPr>
          <w:rFonts w:ascii="仿宋" w:hAnsi="仿宋" w:eastAsia="仿宋" w:cs="仿宋"/>
          <w:sz w:val="24"/>
        </w:rPr>
      </w:pPr>
      <w:r>
        <w:rPr>
          <w:rFonts w:hint="eastAsia" w:ascii="仿宋" w:hAnsi="仿宋" w:eastAsia="仿宋" w:cs="仿宋"/>
          <w:b/>
          <w:bCs/>
          <w:color w:val="000000"/>
          <w:sz w:val="24"/>
          <w:u w:color="000000"/>
          <w:lang w:val="zh-TW" w:eastAsia="zh-TW"/>
        </w:rPr>
        <w:t>表</w:t>
      </w:r>
      <w:r>
        <w:rPr>
          <w:rFonts w:hint="eastAsia" w:ascii="仿宋" w:hAnsi="仿宋" w:eastAsia="仿宋" w:cs="仿宋"/>
          <w:b/>
          <w:bCs/>
          <w:color w:val="000000"/>
          <w:sz w:val="24"/>
          <w:u w:color="000000"/>
        </w:rPr>
        <w:t>4-4</w:t>
      </w:r>
      <w:r>
        <w:rPr>
          <w:rFonts w:hint="eastAsia" w:ascii="仿宋" w:hAnsi="仿宋" w:eastAsia="仿宋" w:cs="仿宋"/>
          <w:b/>
          <w:bCs/>
          <w:sz w:val="24"/>
        </w:rPr>
        <w:t>项目效益</w:t>
      </w:r>
      <w:r>
        <w:rPr>
          <w:rFonts w:hint="eastAsia" w:ascii="仿宋" w:hAnsi="仿宋" w:eastAsia="仿宋" w:cs="仿宋"/>
          <w:b/>
          <w:bCs/>
          <w:color w:val="000000"/>
          <w:sz w:val="24"/>
          <w:u w:color="000000"/>
          <w:lang w:val="zh-TW" w:eastAsia="zh-TW"/>
        </w:rPr>
        <w:t>指标及分值</w:t>
      </w:r>
      <w:r>
        <w:rPr>
          <w:rFonts w:hint="eastAsia" w:ascii="仿宋" w:hAnsi="仿宋" w:eastAsia="仿宋" w:cs="仿宋"/>
          <w:b/>
          <w:bCs/>
          <w:color w:val="000000"/>
          <w:sz w:val="24"/>
          <w:u w:color="000000"/>
        </w:rPr>
        <w:t>情况</w:t>
      </w:r>
    </w:p>
    <w:tbl>
      <w:tblPr>
        <w:tblStyle w:val="14"/>
        <w:tblW w:w="9138" w:type="dxa"/>
        <w:tblInd w:w="0" w:type="dxa"/>
        <w:tblLayout w:type="fixed"/>
        <w:tblCellMar>
          <w:top w:w="0" w:type="dxa"/>
          <w:left w:w="0" w:type="dxa"/>
          <w:bottom w:w="0" w:type="dxa"/>
          <w:right w:w="0" w:type="dxa"/>
        </w:tblCellMar>
      </w:tblPr>
      <w:tblGrid>
        <w:gridCol w:w="838"/>
        <w:gridCol w:w="1116"/>
        <w:gridCol w:w="1889"/>
        <w:gridCol w:w="1417"/>
        <w:gridCol w:w="1276"/>
        <w:gridCol w:w="1134"/>
        <w:gridCol w:w="768"/>
        <w:gridCol w:w="700"/>
      </w:tblGrid>
      <w:tr>
        <w:tblPrEx>
          <w:tblCellMar>
            <w:top w:w="0" w:type="dxa"/>
            <w:left w:w="0" w:type="dxa"/>
            <w:bottom w:w="0" w:type="dxa"/>
            <w:right w:w="0" w:type="dxa"/>
          </w:tblCellMar>
        </w:tblPrEx>
        <w:trPr>
          <w:trHeight w:val="23"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一级指标</w:t>
            </w:r>
          </w:p>
        </w:tc>
        <w:tc>
          <w:tcPr>
            <w:tcW w:w="1116"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二级指标</w:t>
            </w:r>
          </w:p>
        </w:tc>
        <w:tc>
          <w:tcPr>
            <w:tcW w:w="1889"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三级指标</w:t>
            </w:r>
          </w:p>
        </w:tc>
        <w:tc>
          <w:tcPr>
            <w:tcW w:w="1417"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年度指标值</w:t>
            </w:r>
          </w:p>
        </w:tc>
        <w:tc>
          <w:tcPr>
            <w:tcW w:w="1276"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标杆分值</w:t>
            </w:r>
          </w:p>
        </w:tc>
        <w:tc>
          <w:tcPr>
            <w:tcW w:w="1134"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全年实际完成值</w:t>
            </w:r>
          </w:p>
        </w:tc>
        <w:tc>
          <w:tcPr>
            <w:tcW w:w="768"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指标得分</w:t>
            </w:r>
          </w:p>
        </w:tc>
        <w:tc>
          <w:tcPr>
            <w:tcW w:w="700"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kern w:val="0"/>
                <w:sz w:val="24"/>
                <w:lang w:bidi="ar"/>
              </w:rPr>
              <w:t>备注</w:t>
            </w:r>
          </w:p>
        </w:tc>
      </w:tr>
      <w:tr>
        <w:tblPrEx>
          <w:tblCellMar>
            <w:top w:w="0" w:type="dxa"/>
            <w:left w:w="0" w:type="dxa"/>
            <w:bottom w:w="0" w:type="dxa"/>
            <w:right w:w="0" w:type="dxa"/>
          </w:tblCellMar>
        </w:tblPrEx>
        <w:trPr>
          <w:trHeight w:val="23" w:hRule="atLeast"/>
        </w:trPr>
        <w:tc>
          <w:tcPr>
            <w:tcW w:w="838" w:type="dxa"/>
            <w:vMerge w:val="restart"/>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效益</w:t>
            </w:r>
          </w:p>
        </w:tc>
        <w:tc>
          <w:tcPr>
            <w:tcW w:w="111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经济效益指标</w:t>
            </w:r>
          </w:p>
        </w:tc>
        <w:tc>
          <w:tcPr>
            <w:tcW w:w="188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提高产业率</w:t>
            </w:r>
          </w:p>
        </w:tc>
        <w:tc>
          <w:tcPr>
            <w:tcW w:w="141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30%</w:t>
            </w:r>
          </w:p>
        </w:tc>
        <w:tc>
          <w:tcPr>
            <w:tcW w:w="127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30%</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7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6" w:type="dxa"/>
            <w:vMerge w:val="restart"/>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spacing w:line="240" w:lineRule="atLeast"/>
              <w:ind w:firstLine="480"/>
              <w:jc w:val="left"/>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社会效益指标</w:t>
            </w:r>
          </w:p>
        </w:tc>
        <w:tc>
          <w:tcPr>
            <w:tcW w:w="188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项目覆盖乡镇</w:t>
            </w:r>
          </w:p>
        </w:tc>
        <w:tc>
          <w:tcPr>
            <w:tcW w:w="141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200.00%</w:t>
            </w:r>
          </w:p>
        </w:tc>
        <w:tc>
          <w:tcPr>
            <w:tcW w:w="127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200.00%</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7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p>
        </w:tc>
        <w:tc>
          <w:tcPr>
            <w:tcW w:w="188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项目全覆盖村</w:t>
            </w:r>
          </w:p>
        </w:tc>
        <w:tc>
          <w:tcPr>
            <w:tcW w:w="141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6</w:t>
            </w:r>
          </w:p>
        </w:tc>
        <w:tc>
          <w:tcPr>
            <w:tcW w:w="127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6</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7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生态效益指标</w:t>
            </w:r>
          </w:p>
        </w:tc>
        <w:tc>
          <w:tcPr>
            <w:tcW w:w="188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保生态、护产业，健康宜居</w:t>
            </w:r>
          </w:p>
        </w:tc>
        <w:tc>
          <w:tcPr>
            <w:tcW w:w="141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10000</w:t>
            </w:r>
          </w:p>
        </w:tc>
        <w:tc>
          <w:tcPr>
            <w:tcW w:w="127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10000</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7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textAlignment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kern w:val="0"/>
                <w:sz w:val="24"/>
                <w:lang w:bidi="ar"/>
              </w:rPr>
              <w:t>可持续影响指标</w:t>
            </w:r>
          </w:p>
        </w:tc>
        <w:tc>
          <w:tcPr>
            <w:tcW w:w="188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hint="eastAsia"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项目可持续年限</w:t>
            </w:r>
          </w:p>
        </w:tc>
        <w:tc>
          <w:tcPr>
            <w:tcW w:w="141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50</w:t>
            </w:r>
          </w:p>
        </w:tc>
        <w:tc>
          <w:tcPr>
            <w:tcW w:w="127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50</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5.00 </w:t>
            </w:r>
          </w:p>
        </w:tc>
        <w:tc>
          <w:tcPr>
            <w:tcW w:w="7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838" w:type="dxa"/>
            <w:vMerge w:val="continue"/>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p>
        </w:tc>
        <w:tc>
          <w:tcPr>
            <w:tcW w:w="111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服务对象满意度指标</w:t>
            </w:r>
          </w:p>
        </w:tc>
        <w:tc>
          <w:tcPr>
            <w:tcW w:w="188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left"/>
              <w:textAlignment w:val="center"/>
              <w:rPr>
                <w:rFonts w:asciiTheme="minorEastAsia" w:hAnsiTheme="minorEastAsia" w:eastAsiaTheme="minorEastAsia" w:cstheme="minorEastAsia"/>
                <w:color w:val="000000"/>
                <w:kern w:val="0"/>
                <w:sz w:val="24"/>
                <w:lang w:bidi="ar"/>
              </w:rPr>
            </w:pPr>
            <w:r>
              <w:rPr>
                <w:rFonts w:hint="eastAsia" w:asciiTheme="minorEastAsia" w:hAnsiTheme="minorEastAsia" w:eastAsiaTheme="minorEastAsia" w:cstheme="minorEastAsia"/>
                <w:color w:val="000000"/>
                <w:kern w:val="0"/>
                <w:sz w:val="24"/>
                <w:lang w:bidi="ar"/>
              </w:rPr>
              <w:t>建档立卡满意度贫困户</w:t>
            </w:r>
          </w:p>
        </w:tc>
        <w:tc>
          <w:tcPr>
            <w:tcW w:w="141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98%</w:t>
            </w:r>
          </w:p>
        </w:tc>
        <w:tc>
          <w:tcPr>
            <w:tcW w:w="1276"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 5.00 </w:t>
            </w:r>
          </w:p>
        </w:tc>
        <w:tc>
          <w:tcPr>
            <w:tcW w:w="1134"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98%</w:t>
            </w:r>
          </w:p>
        </w:tc>
        <w:tc>
          <w:tcPr>
            <w:tcW w:w="76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tcPr>
          <w:p>
            <w:pPr>
              <w:widowControl/>
              <w:spacing w:line="240" w:lineRule="atLeast"/>
              <w:ind w:firstLine="0" w:firstLineChars="0"/>
              <w:jc w:val="right"/>
              <w:textAlignment w:val="center"/>
              <w:rPr>
                <w:rFonts w:asciiTheme="minorEastAsia" w:hAnsiTheme="minorEastAsia" w:eastAsiaTheme="minorEastAsia" w:cstheme="minorEastAsia"/>
                <w:color w:val="000000"/>
                <w:kern w:val="0"/>
                <w:sz w:val="24"/>
                <w:lang w:bidi="ar"/>
              </w:rPr>
            </w:pPr>
            <w:r>
              <w:rPr>
                <w:rFonts w:asciiTheme="minorEastAsia" w:hAnsiTheme="minorEastAsia" w:eastAsiaTheme="minorEastAsia" w:cstheme="minorEastAsia"/>
                <w:color w:val="000000"/>
                <w:kern w:val="0"/>
                <w:sz w:val="24"/>
                <w:lang w:bidi="ar"/>
              </w:rPr>
              <w:t xml:space="preserve"> 5.00 </w:t>
            </w:r>
          </w:p>
        </w:tc>
        <w:tc>
          <w:tcPr>
            <w:tcW w:w="70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r>
        <w:tblPrEx>
          <w:tblCellMar>
            <w:top w:w="0" w:type="dxa"/>
            <w:left w:w="0" w:type="dxa"/>
            <w:bottom w:w="0" w:type="dxa"/>
            <w:right w:w="0" w:type="dxa"/>
          </w:tblCellMar>
        </w:tblPrEx>
        <w:trPr>
          <w:trHeight w:val="23" w:hRule="atLeast"/>
        </w:trPr>
        <w:tc>
          <w:tcPr>
            <w:tcW w:w="526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center"/>
              <w:rPr>
                <w:rFonts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合计</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right"/>
              <w:rPr>
                <w:rFonts w:asciiTheme="minorEastAsia" w:hAnsiTheme="minorEastAsia" w:eastAsiaTheme="minorEastAsia" w:cstheme="minorEastAsia"/>
                <w:color w:val="000000"/>
                <w:sz w:val="24"/>
              </w:rPr>
            </w:pPr>
            <w:r>
              <w:rPr>
                <w:rFonts w:asciiTheme="minorEastAsia" w:hAnsiTheme="minorEastAsia" w:eastAsiaTheme="minorEastAsia" w:cstheme="minorEastAsia"/>
                <w:color w:val="000000"/>
                <w:sz w:val="24"/>
              </w:rPr>
              <w:t>30</w:t>
            </w: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right"/>
              <w:rPr>
                <w:rFonts w:asciiTheme="minorEastAsia" w:hAnsiTheme="minorEastAsia" w:eastAsiaTheme="minorEastAsia" w:cstheme="minorEastAsia"/>
                <w:color w:val="000000"/>
                <w:sz w:val="24"/>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jc w:val="right"/>
              <w:rPr>
                <w:rFonts w:asciiTheme="minorEastAsia" w:hAnsiTheme="minorEastAsia" w:eastAsiaTheme="minorEastAsia" w:cstheme="minorEastAsia"/>
                <w:color w:val="000000"/>
                <w:sz w:val="24"/>
              </w:rPr>
            </w:pPr>
            <w:r>
              <w:rPr>
                <w:rFonts w:asciiTheme="minorEastAsia" w:hAnsiTheme="minorEastAsia" w:eastAsiaTheme="minorEastAsia" w:cstheme="minorEastAsia"/>
                <w:color w:val="000000"/>
                <w:sz w:val="24"/>
              </w:rPr>
              <w:t>30</w:t>
            </w:r>
          </w:p>
        </w:tc>
        <w:tc>
          <w:tcPr>
            <w:tcW w:w="7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spacing w:line="240" w:lineRule="atLeast"/>
              <w:ind w:firstLine="0" w:firstLineChars="0"/>
              <w:rPr>
                <w:rFonts w:asciiTheme="minorEastAsia" w:hAnsiTheme="minorEastAsia" w:eastAsiaTheme="minorEastAsia" w:cstheme="minorEastAsia"/>
                <w:color w:val="000000"/>
                <w:sz w:val="24"/>
              </w:rPr>
            </w:pPr>
          </w:p>
        </w:tc>
      </w:tr>
    </w:tbl>
    <w:p>
      <w:pPr>
        <w:pStyle w:val="4"/>
        <w:ind w:firstLine="480"/>
        <w:rPr>
          <w:rFonts w:ascii="仿宋" w:hAnsi="仿宋" w:eastAsia="仿宋" w:cs="仿宋"/>
          <w:sz w:val="24"/>
          <w:szCs w:val="24"/>
        </w:rPr>
      </w:pPr>
    </w:p>
    <w:p>
      <w:pPr>
        <w:pStyle w:val="4"/>
        <w:ind w:firstLine="640"/>
      </w:pPr>
      <w:r>
        <w:rPr>
          <w:rFonts w:hint="eastAsia"/>
        </w:rPr>
        <w:t>五、主要经验及做法、存在的问题及原因分析</w:t>
      </w:r>
    </w:p>
    <w:p>
      <w:pPr>
        <w:pStyle w:val="5"/>
        <w:numPr>
          <w:ilvl w:val="0"/>
          <w:numId w:val="4"/>
        </w:numPr>
        <w:ind w:firstLine="643"/>
      </w:pPr>
      <w:bookmarkStart w:id="12" w:name="_Toc1921"/>
      <w:bookmarkStart w:id="13" w:name="_Toc28290"/>
      <w:r>
        <w:rPr>
          <w:rFonts w:hint="eastAsia"/>
        </w:rPr>
        <w:t>主要经验及做法</w:t>
      </w:r>
    </w:p>
    <w:bookmarkEnd w:id="12"/>
    <w:bookmarkEnd w:id="13"/>
    <w:p>
      <w:pPr>
        <w:ind w:firstLine="560"/>
        <w:rPr>
          <w:rFonts w:hint="eastAsia"/>
          <w:color w:val="000000"/>
          <w:u w:color="000000"/>
          <w:lang w:val="zh-TW" w:eastAsia="zh-TW"/>
        </w:rPr>
      </w:pPr>
      <w:r>
        <w:rPr>
          <w:color w:val="000000"/>
          <w:u w:color="000000"/>
          <w:lang w:val="zh-TW" w:eastAsia="zh-TW"/>
        </w:rPr>
        <w:t>强化项目单位对资金绩效实现情况的责任约束，对专项资金偏离预算绩效目标的支出，及时采取有效措施予以纠正</w:t>
      </w:r>
    </w:p>
    <w:p>
      <w:pPr>
        <w:pStyle w:val="4"/>
        <w:ind w:firstLine="64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六、有关建议</w:t>
      </w:r>
    </w:p>
    <w:p>
      <w:pPr>
        <w:ind w:firstLine="480"/>
        <w:rPr>
          <w:rFonts w:hint="eastAsia"/>
          <w:color w:val="000000"/>
          <w:u w:color="000000"/>
          <w:lang w:val="zh-TW" w:eastAsia="zh-CN"/>
        </w:rPr>
      </w:pPr>
      <w:r>
        <w:rPr>
          <w:rFonts w:hint="eastAsia"/>
          <w:color w:val="000000"/>
          <w:u w:color="000000"/>
          <w:lang w:val="zh-TW" w:eastAsia="zh-CN"/>
        </w:rPr>
        <w:t>反馈局业务科室针对资金绩效运行状况，及时预控，查找资金使用和管理过程中的薄弱环节，提出纠偏措施，对本年度尚启用的预算资金，结余资金给予及时收回，加快资金拨付进度，确保后继绩效目标的有效实现提供有力支撑。</w:t>
      </w:r>
    </w:p>
    <w:p>
      <w:pPr>
        <w:pStyle w:val="4"/>
        <w:ind w:firstLine="640"/>
      </w:pPr>
      <w:r>
        <w:rPr>
          <w:rFonts w:hint="eastAsia"/>
        </w:rPr>
        <w:t>七、其他需要说明的问题</w:t>
      </w:r>
    </w:p>
    <w:p>
      <w:pPr>
        <w:ind w:firstLine="560"/>
        <w:rPr>
          <w:color w:val="000000"/>
          <w:u w:color="000000"/>
          <w:lang w:val="zh-TW" w:eastAsia="zh-TW"/>
        </w:rPr>
      </w:pPr>
      <w:r>
        <w:rPr>
          <w:rFonts w:hint="eastAsia"/>
          <w:color w:val="000000"/>
          <w:u w:color="000000"/>
          <w:lang w:val="zh-TW" w:eastAsia="zh-TW"/>
        </w:rPr>
        <w:t>无其他说明内容</w:t>
      </w:r>
    </w:p>
    <w:p>
      <w:pPr>
        <w:pStyle w:val="4"/>
        <w:ind w:firstLine="640"/>
      </w:pPr>
      <w:r>
        <w:rPr>
          <w:rFonts w:hint="eastAsia"/>
        </w:rPr>
        <w:t>八、附表</w:t>
      </w:r>
    </w:p>
    <w:p>
      <w:pPr>
        <w:ind w:firstLine="560"/>
      </w:pPr>
      <w:r>
        <w:rPr>
          <w:rFonts w:hint="eastAsia"/>
        </w:rPr>
        <w:t>1.绩效评价体系-共性指标</w:t>
      </w:r>
    </w:p>
    <w:p>
      <w:pPr>
        <w:ind w:firstLine="560"/>
      </w:pPr>
      <w:r>
        <w:rPr>
          <w:rFonts w:hint="eastAsia"/>
        </w:rPr>
        <w:t>2.绩效评价体系-个性指标</w:t>
      </w:r>
      <w:bookmarkStart w:id="14" w:name="_GoBack"/>
      <w:bookmarkEnd w:id="14"/>
    </w:p>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auto"/>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Arial Unicode MS">
    <w:altName w:val="DejaVu Sans"/>
    <w:panose1 w:val="020B0604020202020204"/>
    <w:charset w:val="86"/>
    <w:family w:val="swiss"/>
    <w:pitch w:val="default"/>
    <w:sig w:usb0="00000000" w:usb1="00000000" w:usb2="0000003F" w:usb3="00000000" w:csb0="003F01FF"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1F22E0BB"/>
    <w:multiLevelType w:val="singleLevel"/>
    <w:tmpl w:val="1F22E0BB"/>
    <w:lvl w:ilvl="0" w:tentative="0">
      <w:start w:val="1"/>
      <w:numFmt w:val="decimal"/>
      <w:lvlText w:val="%1."/>
      <w:lvlJc w:val="left"/>
      <w:pPr>
        <w:tabs>
          <w:tab w:val="left" w:pos="312"/>
        </w:tabs>
      </w:p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195898"/>
    <w:rsid w:val="0049241F"/>
    <w:rsid w:val="00612D1D"/>
    <w:rsid w:val="0062536A"/>
    <w:rsid w:val="00696A12"/>
    <w:rsid w:val="007302AB"/>
    <w:rsid w:val="007546F1"/>
    <w:rsid w:val="0078017B"/>
    <w:rsid w:val="008A5514"/>
    <w:rsid w:val="008C3D70"/>
    <w:rsid w:val="00A23D27"/>
    <w:rsid w:val="00A7615A"/>
    <w:rsid w:val="00AE518C"/>
    <w:rsid w:val="00AF62AE"/>
    <w:rsid w:val="00D31A12"/>
    <w:rsid w:val="00DF4484"/>
    <w:rsid w:val="00E3473A"/>
    <w:rsid w:val="00FD4FAB"/>
    <w:rsid w:val="00FE5E2F"/>
    <w:rsid w:val="06D34631"/>
    <w:rsid w:val="0E53742A"/>
    <w:rsid w:val="12A80237"/>
    <w:rsid w:val="12F1313F"/>
    <w:rsid w:val="14F43433"/>
    <w:rsid w:val="16202FF9"/>
    <w:rsid w:val="1D3F026C"/>
    <w:rsid w:val="1E9032E6"/>
    <w:rsid w:val="2126398A"/>
    <w:rsid w:val="23917691"/>
    <w:rsid w:val="245E1E24"/>
    <w:rsid w:val="294F51EB"/>
    <w:rsid w:val="2C927671"/>
    <w:rsid w:val="2E483E7E"/>
    <w:rsid w:val="33944516"/>
    <w:rsid w:val="347B5C9F"/>
    <w:rsid w:val="37ED6BFF"/>
    <w:rsid w:val="3EF25A0D"/>
    <w:rsid w:val="44DD5FFE"/>
    <w:rsid w:val="44FC64F4"/>
    <w:rsid w:val="45601001"/>
    <w:rsid w:val="47DB5999"/>
    <w:rsid w:val="4DD545C6"/>
    <w:rsid w:val="4E1F0C0E"/>
    <w:rsid w:val="50F332C6"/>
    <w:rsid w:val="534629B2"/>
    <w:rsid w:val="5AF162AA"/>
    <w:rsid w:val="62AC573E"/>
    <w:rsid w:val="62BF0E5C"/>
    <w:rsid w:val="63F62C79"/>
    <w:rsid w:val="677D358F"/>
    <w:rsid w:val="68291A1A"/>
    <w:rsid w:val="691B1594"/>
    <w:rsid w:val="6C0A5257"/>
    <w:rsid w:val="6CD535A1"/>
    <w:rsid w:val="6EC8618D"/>
    <w:rsid w:val="6F0D6C22"/>
    <w:rsid w:val="6FA92C47"/>
    <w:rsid w:val="70670707"/>
    <w:rsid w:val="73AA69BC"/>
    <w:rsid w:val="77861774"/>
    <w:rsid w:val="79300B45"/>
    <w:rsid w:val="B76E8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5"/>
    <w:basedOn w:val="1"/>
    <w:next w:val="1"/>
    <w:qFormat/>
    <w:uiPriority w:val="1"/>
    <w:pPr>
      <w:spacing w:before="2"/>
      <w:ind w:left="1520" w:hanging="700"/>
      <w:outlineLvl w:val="4"/>
    </w:pPr>
    <w:rPr>
      <w:rFonts w:ascii="宋体" w:hAnsi="宋体" w:eastAsia="宋体" w:cs="宋体"/>
      <w:b/>
      <w:bCs/>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pPr>
  </w:style>
  <w:style w:type="paragraph" w:styleId="8">
    <w:name w:val="annotation text"/>
    <w:basedOn w:val="1"/>
    <w:qFormat/>
    <w:uiPriority w:val="0"/>
    <w:pPr>
      <w:jc w:val="left"/>
    </w:pPr>
  </w:style>
  <w:style w:type="paragraph" w:styleId="9">
    <w:name w:val="Body Text"/>
    <w:basedOn w:val="1"/>
    <w:qFormat/>
    <w:uiPriority w:val="1"/>
    <w:rPr>
      <w:rFonts w:ascii="宋体" w:hAnsi="宋体" w:eastAsia="宋体" w:cs="宋体"/>
      <w:szCs w:val="28"/>
    </w:rPr>
  </w:style>
  <w:style w:type="paragraph" w:styleId="10">
    <w:name w:val="Balloon Text"/>
    <w:basedOn w:val="1"/>
    <w:link w:val="20"/>
    <w:qFormat/>
    <w:uiPriority w:val="0"/>
    <w:pPr>
      <w:spacing w:line="240" w:lineRule="auto"/>
    </w:pPr>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3">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character" w:styleId="16">
    <w:name w:val="Hyperlink"/>
    <w:basedOn w:val="15"/>
    <w:qFormat/>
    <w:uiPriority w:val="0"/>
    <w:rPr>
      <w:color w:val="0000FF"/>
      <w:u w:val="single"/>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styleId="19">
    <w:name w:val="List Paragraph"/>
    <w:basedOn w:val="1"/>
    <w:qFormat/>
    <w:uiPriority w:val="1"/>
    <w:pPr>
      <w:spacing w:before="212"/>
      <w:ind w:left="2081" w:hanging="702"/>
    </w:pPr>
    <w:rPr>
      <w:rFonts w:ascii="宋体" w:hAnsi="宋体" w:eastAsia="宋体" w:cs="宋体"/>
    </w:rPr>
  </w:style>
  <w:style w:type="character" w:customStyle="1" w:styleId="20">
    <w:name w:val="批注框文本 Char"/>
    <w:basedOn w:val="15"/>
    <w:link w:val="10"/>
    <w:qFormat/>
    <w:uiPriority w:val="0"/>
    <w:rPr>
      <w:rFonts w:ascii="Times New Roman" w:hAnsi="Times New Roman" w:eastAsia="仿宋_GB2312"/>
      <w:kern w:val="2"/>
      <w:sz w:val="18"/>
      <w:szCs w:val="18"/>
    </w:rPr>
  </w:style>
  <w:style w:type="paragraph" w:customStyle="1" w:styleId="21">
    <w:name w:val="普通(网站)1"/>
    <w:basedOn w:val="1"/>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1297</Words>
  <Characters>7396</Characters>
  <Lines>61</Lines>
  <Paragraphs>17</Paragraphs>
  <TotalTime>0</TotalTime>
  <ScaleCrop>false</ScaleCrop>
  <LinksUpToDate>false</LinksUpToDate>
  <CharactersWithSpaces>8676</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2020-04-01T19:28:00Z</dcterms:created>
  <dc:creator>驰远天合-柴万顺-18690160103</dc:creator>
  <cp:lastModifiedBy>zfbgs</cp:lastModifiedBy>
  <dcterms:modified xsi:type="dcterms:W3CDTF">2024-04-19T12:52:17Z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